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14A26" w14:textId="7ED077FC" w:rsidR="005A3153" w:rsidRDefault="004F6041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10428542" wp14:editId="60784804">
            <wp:simplePos x="0" y="0"/>
            <wp:positionH relativeFrom="margin">
              <wp:posOffset>4628946</wp:posOffset>
            </wp:positionH>
            <wp:positionV relativeFrom="paragraph">
              <wp:posOffset>7621</wp:posOffset>
            </wp:positionV>
            <wp:extent cx="1092403" cy="10668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_700x500_d1_logo-imag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84" cy="108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0992F28C" wp14:editId="5CFCDE5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57300" cy="1249918"/>
            <wp:effectExtent l="0" t="0" r="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l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49" cy="126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4938A" w14:textId="231D17D0" w:rsidR="005A3153" w:rsidRDefault="005A3153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7A6EA2A9" w14:textId="7A9DDA4D" w:rsidR="005A3153" w:rsidRDefault="005A3153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79448B56" w14:textId="55A25482" w:rsidR="00715A5E" w:rsidRPr="00715A5E" w:rsidRDefault="00715A5E" w:rsidP="00715A5E">
      <w:pPr>
        <w:rPr>
          <w:rFonts w:ascii="Times New Roman" w:hAnsi="Times New Roman" w:cs="Times New Roman"/>
          <w:bCs/>
          <w:sz w:val="32"/>
          <w:szCs w:val="24"/>
          <w:lang w:val="en-GB"/>
        </w:rPr>
      </w:pPr>
    </w:p>
    <w:p w14:paraId="4F90D937" w14:textId="5B87000E" w:rsidR="00715A5E" w:rsidRPr="00715A5E" w:rsidRDefault="00715A5E" w:rsidP="00715A5E">
      <w:pPr>
        <w:tabs>
          <w:tab w:val="left" w:pos="2340"/>
        </w:tabs>
        <w:rPr>
          <w:rFonts w:ascii="Times New Roman" w:hAnsi="Times New Roman" w:cs="Times New Roman"/>
          <w:bCs/>
          <w:sz w:val="32"/>
          <w:szCs w:val="24"/>
          <w:lang w:val="en-GB"/>
        </w:rPr>
      </w:pPr>
      <w:r>
        <w:rPr>
          <w:rFonts w:ascii="Times New Roman" w:hAnsi="Times New Roman" w:cs="Times New Roman"/>
          <w:bCs/>
          <w:sz w:val="32"/>
          <w:szCs w:val="24"/>
          <w:lang w:val="en-GB"/>
        </w:rPr>
        <w:tab/>
      </w:r>
    </w:p>
    <w:p w14:paraId="640C5C00" w14:textId="15DD1D44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5EB8872D" w14:textId="6826C281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3200C40D" w14:textId="626E03DB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3196E04C" w14:textId="04278121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7A918755" w14:textId="77777777" w:rsidR="00715A5E" w:rsidRPr="00DA058F" w:rsidRDefault="00715A5E" w:rsidP="006120A8">
      <w:pPr>
        <w:jc w:val="center"/>
        <w:rPr>
          <w:rFonts w:ascii="Times New Roman" w:hAnsi="Times New Roman" w:cs="Times New Roman"/>
          <w:b/>
          <w:sz w:val="36"/>
          <w:szCs w:val="28"/>
          <w:lang w:val="en-GB"/>
        </w:rPr>
      </w:pPr>
    </w:p>
    <w:p w14:paraId="671B567D" w14:textId="08A71F71" w:rsidR="00715A5E" w:rsidRPr="00DA058F" w:rsidRDefault="00411094" w:rsidP="006120A8">
      <w:pPr>
        <w:jc w:val="center"/>
        <w:rPr>
          <w:rFonts w:ascii="Times New Roman" w:hAnsi="Times New Roman" w:cs="Times New Roman"/>
          <w:b/>
          <w:sz w:val="44"/>
          <w:szCs w:val="36"/>
          <w:lang w:val="en-GB"/>
        </w:rPr>
      </w:pPr>
      <w:r>
        <w:rPr>
          <w:rFonts w:ascii="Times New Roman" w:hAnsi="Times New Roman" w:cs="Times New Roman"/>
          <w:b/>
          <w:sz w:val="44"/>
          <w:szCs w:val="36"/>
          <w:lang w:val="bg-BG"/>
        </w:rPr>
        <w:t>Указания към обучителния пакет</w:t>
      </w:r>
      <w:r w:rsidR="006120A8" w:rsidRPr="00DA058F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</w:p>
    <w:p w14:paraId="7653C55F" w14:textId="488474E6" w:rsidR="00715A5E" w:rsidRPr="00DA058F" w:rsidRDefault="00411094" w:rsidP="006120A8">
      <w:pPr>
        <w:jc w:val="center"/>
        <w:rPr>
          <w:rFonts w:ascii="Times New Roman" w:hAnsi="Times New Roman" w:cs="Times New Roman"/>
          <w:b/>
          <w:sz w:val="44"/>
          <w:szCs w:val="36"/>
          <w:lang w:val="en-GB"/>
        </w:rPr>
      </w:pPr>
      <w:r>
        <w:rPr>
          <w:rFonts w:ascii="Times New Roman" w:hAnsi="Times New Roman" w:cs="Times New Roman"/>
          <w:b/>
          <w:sz w:val="44"/>
          <w:szCs w:val="36"/>
          <w:lang w:val="bg-BG"/>
        </w:rPr>
        <w:t>„</w:t>
      </w:r>
      <w:proofErr w:type="spellStart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>По-добро</w:t>
      </w:r>
      <w:proofErr w:type="spellEnd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  <w:proofErr w:type="spellStart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>прилагане</w:t>
      </w:r>
      <w:proofErr w:type="spellEnd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  <w:proofErr w:type="spellStart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>на</w:t>
      </w:r>
      <w:proofErr w:type="spellEnd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br/>
      </w:r>
      <w:proofErr w:type="spellStart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>европейското</w:t>
      </w:r>
      <w:proofErr w:type="spellEnd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  <w:proofErr w:type="spellStart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>наказателно</w:t>
      </w:r>
      <w:proofErr w:type="spellEnd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  <w:proofErr w:type="spellStart"/>
      <w:r w:rsidRPr="00411094">
        <w:rPr>
          <w:rFonts w:ascii="Times New Roman" w:hAnsi="Times New Roman" w:cs="Times New Roman"/>
          <w:b/>
          <w:sz w:val="44"/>
          <w:szCs w:val="36"/>
          <w:lang w:val="en-GB"/>
        </w:rPr>
        <w:t>право</w:t>
      </w:r>
      <w:proofErr w:type="spellEnd"/>
      <w:r w:rsidR="004C08D6">
        <w:rPr>
          <w:rFonts w:ascii="Times New Roman" w:hAnsi="Times New Roman" w:cs="Times New Roman"/>
          <w:b/>
          <w:sz w:val="44"/>
          <w:szCs w:val="36"/>
          <w:lang w:val="bg-BG"/>
        </w:rPr>
        <w:t>:</w:t>
      </w:r>
      <w:r w:rsidR="006120A8" w:rsidRPr="00DA058F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</w:p>
    <w:p w14:paraId="1EAC5D4E" w14:textId="0C5659B1" w:rsidR="006120A8" w:rsidRPr="00411094" w:rsidRDefault="00411094" w:rsidP="006120A8">
      <w:pPr>
        <w:jc w:val="center"/>
        <w:rPr>
          <w:rFonts w:ascii="Times New Roman" w:hAnsi="Times New Roman" w:cs="Times New Roman"/>
          <w:b/>
          <w:sz w:val="44"/>
          <w:szCs w:val="36"/>
          <w:lang w:val="bg-BG"/>
        </w:rPr>
      </w:pPr>
      <w:r>
        <w:rPr>
          <w:rFonts w:ascii="Times New Roman" w:hAnsi="Times New Roman" w:cs="Times New Roman"/>
          <w:b/>
          <w:sz w:val="44"/>
          <w:szCs w:val="36"/>
          <w:lang w:val="bg-BG"/>
        </w:rPr>
        <w:t xml:space="preserve">Национален семинар за </w:t>
      </w:r>
      <w:r w:rsidR="004C08D6">
        <w:rPr>
          <w:rFonts w:ascii="Times New Roman" w:hAnsi="Times New Roman" w:cs="Times New Roman"/>
          <w:b/>
          <w:sz w:val="44"/>
          <w:szCs w:val="36"/>
          <w:lang w:val="bg-BG"/>
        </w:rPr>
        <w:t>представители на съдебната система</w:t>
      </w:r>
      <w:r>
        <w:rPr>
          <w:rFonts w:ascii="Times New Roman" w:hAnsi="Times New Roman" w:cs="Times New Roman"/>
          <w:b/>
          <w:sz w:val="44"/>
          <w:szCs w:val="36"/>
          <w:lang w:val="bg-BG"/>
        </w:rPr>
        <w:t>“</w:t>
      </w:r>
    </w:p>
    <w:p w14:paraId="4D641A74" w14:textId="22FA8971" w:rsidR="006120A8" w:rsidRPr="00715A5E" w:rsidRDefault="006120A8" w:rsidP="006120A8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0777851" w14:textId="06C7C028" w:rsidR="005A3153" w:rsidRDefault="005A3153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236EB6" w14:textId="7A251E07" w:rsidR="00715A5E" w:rsidRDefault="00715A5E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FDF357" w14:textId="356D5A1A" w:rsidR="00DA058F" w:rsidRDefault="00DA058F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2656E9" w14:textId="77777777" w:rsidR="00DA058F" w:rsidRDefault="00DA058F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60CF2E" w14:textId="5E547314" w:rsidR="00DA058F" w:rsidRDefault="00411094" w:rsidP="00715A5E">
      <w:pPr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Обучителният пакет</w:t>
      </w:r>
      <w:r w:rsidR="00715A5E" w:rsidRPr="00715A5E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</w:t>
      </w:r>
    </w:p>
    <w:p w14:paraId="2C9C5148" w14:textId="77777777" w:rsidR="00DA058F" w:rsidRDefault="00DA058F" w:rsidP="00715A5E">
      <w:pPr>
        <w:rPr>
          <w:rFonts w:ascii="Times New Roman" w:hAnsi="Times New Roman" w:cs="Times New Roman"/>
          <w:bCs/>
          <w:sz w:val="32"/>
          <w:szCs w:val="32"/>
          <w:lang w:val="en-GB"/>
        </w:rPr>
      </w:pPr>
    </w:p>
    <w:p w14:paraId="0E547E23" w14:textId="23E4EEA4" w:rsidR="00715A5E" w:rsidRPr="00DA058F" w:rsidRDefault="00411094" w:rsidP="00715A5E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е изготвен от</w:t>
      </w:r>
      <w:r w:rsidR="00715A5E" w:rsidRPr="00DA058F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</w:p>
    <w:p w14:paraId="3645B74B" w14:textId="26980F55" w:rsidR="00715A5E" w:rsidRPr="00715A5E" w:rsidRDefault="00411094" w:rsidP="00715A5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15A5E">
        <w:rPr>
          <w:rFonts w:ascii="Times New Roman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435078" wp14:editId="10336285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269240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9BA1" w14:textId="5C578BF7" w:rsidR="00715A5E" w:rsidRPr="00715A5E" w:rsidRDefault="00411094" w:rsidP="00715A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Даниел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Константин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Мотой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2F3F3BAC" w14:textId="27C25731" w:rsidR="00715A5E" w:rsidRPr="00715A5E" w:rsidRDefault="00411094" w:rsidP="0041109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Съдия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Първоинстанционен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съд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Четвърти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район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Букурещки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съд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Букурещ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3507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9.25pt;width:212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" stroked="f">
                <v:textbox style="mso-fit-shape-to-text:t">
                  <w:txbxContent>
                    <w:p w14:paraId="4E8E9BA1" w14:textId="5C578BF7" w:rsidR="00715A5E" w:rsidRPr="00715A5E" w:rsidRDefault="00411094" w:rsidP="00715A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Даниел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Константин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Мотой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2F3F3BAC" w14:textId="27C25731" w:rsidR="00715A5E" w:rsidRPr="00715A5E" w:rsidRDefault="00411094" w:rsidP="00411094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Съдия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Първоинстанционен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съд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Четвърти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район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Букурещки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съд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Букурещ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5A5E" w:rsidRPr="00715A5E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E2B9A4" wp14:editId="3290E887">
                <wp:simplePos x="0" y="0"/>
                <wp:positionH relativeFrom="margin">
                  <wp:posOffset>3198495</wp:posOffset>
                </wp:positionH>
                <wp:positionV relativeFrom="paragraph">
                  <wp:posOffset>112395</wp:posOffset>
                </wp:positionV>
                <wp:extent cx="2506980" cy="1404620"/>
                <wp:effectExtent l="0" t="0" r="762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4B05" w14:textId="6513ADA6" w:rsidR="00715A5E" w:rsidRPr="00411094" w:rsidRDefault="00411094" w:rsidP="00715A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bg-BG"/>
                              </w:rPr>
                              <w:t>Андре Клип</w:t>
                            </w:r>
                          </w:p>
                          <w:p w14:paraId="56A90F13" w14:textId="0EF6CEBB" w:rsidR="00715A5E" w:rsidRPr="00715A5E" w:rsidRDefault="00411094" w:rsidP="00411094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bg-BG"/>
                              </w:rPr>
                              <w:t xml:space="preserve">Професор в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Маастрихтски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bg-BG"/>
                              </w:rPr>
                              <w:t>я</w:t>
                            </w:r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университет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Почетен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съдия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Апелативен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съд</w:t>
                            </w:r>
                            <w:proofErr w:type="spellEnd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411094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Хертогенбош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2B9A4" id="_x0000_s1027" type="#_x0000_t202" style="position:absolute;margin-left:251.85pt;margin-top:8.85pt;width:19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" stroked="f">
                <v:textbox style="mso-fit-shape-to-text:t">
                  <w:txbxContent>
                    <w:p w14:paraId="3AA44B05" w14:textId="6513ADA6" w:rsidR="00715A5E" w:rsidRPr="00411094" w:rsidRDefault="00411094" w:rsidP="00715A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bg-BG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lang w:val="bg-BG"/>
                        </w:rPr>
                        <w:t>Андре Клип</w:t>
                      </w:r>
                    </w:p>
                    <w:p w14:paraId="56A90F13" w14:textId="0EF6CEBB" w:rsidR="00715A5E" w:rsidRPr="00715A5E" w:rsidRDefault="00411094" w:rsidP="00411094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bg-BG"/>
                        </w:rPr>
                        <w:t xml:space="preserve">Професор в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Маастрихтски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bg-BG"/>
                        </w:rPr>
                        <w:t>я</w:t>
                      </w:r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университет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,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Почетен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съдия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,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Апелативен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съд</w:t>
                      </w:r>
                      <w:proofErr w:type="spellEnd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 – </w:t>
                      </w:r>
                      <w:proofErr w:type="spellStart"/>
                      <w:r w:rsidRPr="00411094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Хертогенбош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C8F0F" w14:textId="203071AD" w:rsidR="00715A5E" w:rsidRPr="00715A5E" w:rsidRDefault="00715A5E" w:rsidP="00715A5E">
      <w:pPr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p w14:paraId="4A51C0F8" w14:textId="771690CD" w:rsidR="00715A5E" w:rsidRPr="00715A5E" w:rsidRDefault="00715A5E" w:rsidP="00715A5E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5E4BFDA" w14:textId="77777777" w:rsidR="00715A5E" w:rsidRDefault="00715A5E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0FBA47" w14:textId="77777777" w:rsidR="00715A5E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1ACBBB" w14:textId="77777777" w:rsidR="00715A5E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C21747" w14:textId="1E4BCAAE" w:rsidR="00715A5E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AB32A7" w14:textId="77777777" w:rsidR="00DA058F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F28D9D" w14:textId="2EA864E2" w:rsidR="00DA058F" w:rsidRDefault="00411094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Събрано и редактирано от</w:t>
      </w:r>
      <w:r w:rsidR="00DA058F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5678DB48" w14:textId="77777777" w:rsidR="00DA058F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AB67CFE" w14:textId="7921BC72" w:rsidR="00DA058F" w:rsidRPr="00411094" w:rsidRDefault="00411094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Академия по европейско право</w:t>
      </w:r>
    </w:p>
    <w:p w14:paraId="7ECC51D3" w14:textId="17A13313" w:rsidR="005A3153" w:rsidRPr="00DA058F" w:rsidRDefault="008C7125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>Metzer</w:t>
      </w:r>
      <w:proofErr w:type="spellEnd"/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>All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proofErr w:type="spellEnd"/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4</w:t>
      </w:r>
      <w:r w:rsidR="00DA058F" w:rsidRPr="00DA058F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4EC65D" wp14:editId="1D7A4A4C">
            <wp:simplePos x="0" y="0"/>
            <wp:positionH relativeFrom="margin">
              <wp:posOffset>2073910</wp:posOffset>
            </wp:positionH>
            <wp:positionV relativeFrom="paragraph">
              <wp:posOffset>806450</wp:posOffset>
            </wp:positionV>
            <wp:extent cx="2240280" cy="487633"/>
            <wp:effectExtent l="0" t="0" r="0" b="8255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eneficaireserasmusright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 D-</w:t>
      </w:r>
      <w:r w:rsidR="00DA058F" w:rsidRPr="00DA058F">
        <w:rPr>
          <w:rFonts w:ascii="Times New Roman" w:hAnsi="Times New Roman" w:cs="Times New Roman"/>
          <w:bCs/>
          <w:sz w:val="24"/>
          <w:szCs w:val="24"/>
          <w:lang w:val="en-GB"/>
        </w:rPr>
        <w:t>54295 Trier</w:t>
      </w:r>
      <w:r w:rsidR="005A3153" w:rsidRPr="00DA058F"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14:paraId="49529589" w14:textId="2ECF79E5" w:rsidR="000A5DFD" w:rsidRPr="000A5DFD" w:rsidRDefault="00411094" w:rsidP="000A5DF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lastRenderedPageBreak/>
        <w:t>Как да използва</w:t>
      </w:r>
      <w:r w:rsidR="00CB3339">
        <w:rPr>
          <w:rFonts w:ascii="Times New Roman" w:hAnsi="Times New Roman" w:cs="Times New Roman"/>
          <w:b/>
          <w:bCs/>
          <w:sz w:val="32"/>
          <w:szCs w:val="32"/>
          <w:lang w:val="bg-BG"/>
        </w:rPr>
        <w:t>те обучителния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пакет</w:t>
      </w:r>
      <w:r w:rsidR="00CB3339">
        <w:rPr>
          <w:rFonts w:ascii="Times New Roman" w:hAnsi="Times New Roman" w:cs="Times New Roman"/>
          <w:b/>
          <w:bCs/>
          <w:sz w:val="32"/>
          <w:szCs w:val="32"/>
          <w:lang w:val="bg-BG"/>
        </w:rPr>
        <w:t>?</w:t>
      </w:r>
    </w:p>
    <w:p w14:paraId="208AE073" w14:textId="77777777" w:rsidR="000A5DFD" w:rsidRDefault="000A5DFD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8A4C4B" w14:textId="407B9FCF" w:rsidR="006120A8" w:rsidRPr="00DF3F36" w:rsidRDefault="0025282A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Указанията имат за цел да дадат насоки на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партньор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ск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институции относно използването на обучителния пакет и как да организират национални семинари със съответни промени според потребностите си</w:t>
      </w:r>
      <w:r w:rsidR="000A5DF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89D091" w14:textId="49136250" w:rsidR="006120A8" w:rsidRPr="00DF3F36" w:rsidRDefault="006120A8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A3A473" w14:textId="38F41AF4" w:rsidR="000A5DFD" w:rsidRDefault="0025282A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Обучителният пакет се състои от 7 модула</w:t>
      </w:r>
      <w:r w:rsidR="000A5DF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AD8255F" w14:textId="31AEAFBA" w:rsidR="00B9784A" w:rsidRDefault="0025282A" w:rsidP="00B978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Правна взаимопомощ</w:t>
      </w:r>
    </w:p>
    <w:p w14:paraId="224AE2ED" w14:textId="14DF5C83" w:rsidR="000A5DFD" w:rsidRDefault="0025282A" w:rsidP="000A5D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Европейска заповед за арест (ЕРА)</w:t>
      </w:r>
    </w:p>
    <w:p w14:paraId="47A420B9" w14:textId="6B1E81F5" w:rsidR="000A5DFD" w:rsidRDefault="0025282A" w:rsidP="000A5D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Европейска заповед за разследване (ЕЗР)</w:t>
      </w:r>
    </w:p>
    <w:p w14:paraId="6740518C" w14:textId="15CEFA68" w:rsidR="00B9784A" w:rsidRDefault="0025282A" w:rsidP="000A5D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Взаимно признаване </w:t>
      </w:r>
      <w:r w:rsidR="00220F2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РРС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 xml:space="preserve"> 2008/909/</w:t>
      </w:r>
      <w:r>
        <w:rPr>
          <w:rFonts w:ascii="Times New Roman" w:hAnsi="Times New Roman" w:cs="Times New Roman"/>
          <w:sz w:val="24"/>
          <w:szCs w:val="24"/>
          <w:lang w:val="bg-BG"/>
        </w:rPr>
        <w:t>ПВР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DC4DF84" w14:textId="4F3884FC" w:rsidR="00B9784A" w:rsidRDefault="0025282A" w:rsidP="000A5D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Взаимно признаване </w:t>
      </w:r>
      <w:r w:rsidR="00220F2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>I (</w:t>
      </w:r>
      <w:r>
        <w:rPr>
          <w:rFonts w:ascii="Times New Roman" w:hAnsi="Times New Roman" w:cs="Times New Roman"/>
          <w:sz w:val="24"/>
          <w:szCs w:val="24"/>
          <w:lang w:val="bg-BG"/>
        </w:rPr>
        <w:t>РРС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 xml:space="preserve"> 2009/829/</w:t>
      </w:r>
      <w:r>
        <w:rPr>
          <w:rFonts w:ascii="Times New Roman" w:hAnsi="Times New Roman" w:cs="Times New Roman"/>
          <w:sz w:val="24"/>
          <w:szCs w:val="24"/>
          <w:lang w:val="bg-BG"/>
        </w:rPr>
        <w:t>ПВР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1FCF272" w14:textId="1D43C08C" w:rsidR="00220F26" w:rsidRDefault="0025282A" w:rsidP="000A5D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Взаимно признаване </w:t>
      </w:r>
      <w:r w:rsidR="00220F26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РРС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 xml:space="preserve"> 2008/947/</w:t>
      </w:r>
      <w:r>
        <w:rPr>
          <w:rFonts w:ascii="Times New Roman" w:hAnsi="Times New Roman" w:cs="Times New Roman"/>
          <w:sz w:val="24"/>
          <w:szCs w:val="24"/>
          <w:lang w:val="bg-BG"/>
        </w:rPr>
        <w:t>ПВР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A8ABCE8" w14:textId="06156CC9" w:rsidR="00220F26" w:rsidRPr="000A5DFD" w:rsidRDefault="0025282A" w:rsidP="000A5DF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Обезпечаване и конфискация</w:t>
      </w:r>
    </w:p>
    <w:p w14:paraId="715D168F" w14:textId="6C1124E7" w:rsidR="000A5DFD" w:rsidRDefault="000A5DFD" w:rsidP="000A5DF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B1DC09" w14:textId="2E18D866" w:rsidR="00A04411" w:rsidRDefault="00F35AA1" w:rsidP="000A5DF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Обучителите могат да променят последователността на националните семинари, както и да изберат върху какво да акцентират в отделните модули в зависимост от потребностите на аудиторията и цялостното организиране на модулите</w:t>
      </w:r>
      <w:r w:rsidR="000F75F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Всички материали са оформени по един и същи начин и се състоят от следните части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A0CDEE9" w14:textId="4F1A3B25" w:rsidR="00A04411" w:rsidRDefault="00F35AA1" w:rsidP="00A0441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Заглавна страница</w:t>
      </w:r>
    </w:p>
    <w:p w14:paraId="069E9AE1" w14:textId="08B34358" w:rsidR="00A04411" w:rsidRDefault="00C97857" w:rsidP="00A0441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Работен лист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F35AA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="004F6041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767120F" w14:textId="610B25D6" w:rsidR="004F6041" w:rsidRDefault="00F35AA1" w:rsidP="00A0441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Бележки към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работния лист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F6041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91690E0" w14:textId="4BF5D362" w:rsidR="004F6041" w:rsidRDefault="00F35AA1" w:rsidP="00A0441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Методология на обучението 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F6041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1E01B4D" w14:textId="2728D780" w:rsidR="004F6041" w:rsidRDefault="00F35AA1" w:rsidP="00A0441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Решения на казусите и упражненията </w:t>
      </w:r>
      <w:r w:rsidR="00ED43C0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ED43C0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ED43C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45E6754" w14:textId="5471E2F3" w:rsidR="00ED43C0" w:rsidRDefault="00F35AA1" w:rsidP="00A0441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Подробни решения стъпка по стъпка 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>материал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ите</w:t>
      </w:r>
    </w:p>
    <w:p w14:paraId="5FE35552" w14:textId="0EA7F12A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DB95B3" w14:textId="301C6D8E" w:rsidR="00872C56" w:rsidRDefault="00F35AA1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72C56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C9785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Само казуси и упражнения, лесно може да се раздаде преди/в началото на семинара</w:t>
      </w:r>
    </w:p>
    <w:p w14:paraId="54DD3DB2" w14:textId="4694AD68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CD3D28" w14:textId="1A599A1F" w:rsidR="00872C56" w:rsidRDefault="00F35AA1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72C56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 w:rsidR="00C9785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казусите и упражненията в Част 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val="bg-BG"/>
        </w:rPr>
        <w:t>най-вече как да се пригодят към правната система на държавата домакин</w:t>
      </w:r>
    </w:p>
    <w:p w14:paraId="3109A35F" w14:textId="59CD354C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8290E2" w14:textId="7A7A5539" w:rsidR="00872C56" w:rsidRDefault="00F35AA1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72C56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C9785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Подробна методология на дадения модул; основни цели и подробен обучителен график (събрани по-долу за по-лесно използване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8548437" w14:textId="1D610202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96B9E7" w14:textId="4892AC87" w:rsidR="00872C56" w:rsidRDefault="00F35AA1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72C56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съдържа подробните решения на казусите и упражненията от Част 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14:paraId="3DF19DD8" w14:textId="77777777" w:rsidR="00F35AA1" w:rsidRDefault="00F35AA1" w:rsidP="00872C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4CD6696" w14:textId="0B8BAD1D" w:rsidR="000F75F6" w:rsidRPr="00F35AA1" w:rsidRDefault="00F35AA1" w:rsidP="00872C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Важно</w:t>
      </w:r>
      <w:r w:rsidR="00872C56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  <w:r w:rsidR="00872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Промените в казусите се отразяват на решенията; методологията се запазва.</w:t>
      </w:r>
    </w:p>
    <w:p w14:paraId="2E32CC6A" w14:textId="77777777" w:rsidR="000F75F6" w:rsidRDefault="000F75F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18C3E4" w14:textId="412DC2A2" w:rsidR="00872C56" w:rsidRPr="00F35AA1" w:rsidRDefault="00F35AA1" w:rsidP="00872C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допълнение за три от материалите има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bg-BG"/>
        </w:rPr>
        <w:t>, което съдържа подробни решения стъпка по стъпка на казусите със скрийншотове, които може да се покажат на участниците, ако е необходимо.</w:t>
      </w:r>
    </w:p>
    <w:p w14:paraId="79539DD7" w14:textId="01E9646C" w:rsidR="000A5DFD" w:rsidRDefault="000A5DFD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027233" w14:textId="77777777" w:rsidR="0047689C" w:rsidRDefault="0047689C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B39012" w14:textId="5F21CD57" w:rsidR="000A5DFD" w:rsidRPr="00192D81" w:rsidRDefault="00CB3339" w:rsidP="00192D8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Как да използвате слайдовете</w:t>
      </w:r>
      <w:r w:rsidR="00192D81" w:rsidRPr="00192D81">
        <w:rPr>
          <w:rFonts w:ascii="Times New Roman" w:hAnsi="Times New Roman" w:cs="Times New Roman"/>
          <w:b/>
          <w:bCs/>
          <w:sz w:val="32"/>
          <w:szCs w:val="32"/>
          <w:lang w:val="en-GB"/>
        </w:rPr>
        <w:t>?</w:t>
      </w:r>
    </w:p>
    <w:p w14:paraId="78764E2D" w14:textId="6DA219F1" w:rsidR="00192D81" w:rsidRDefault="00192D8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8AB130" w14:textId="73F40F01" w:rsidR="009E60D1" w:rsidRDefault="00CB333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Слайдовете са подготвени от двамата експерти и може да се използват при представяне на дадена тема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 са оформени по стандартен начин и обучителите могат да ги редактират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пакета има и фонови изображения. Препоръчваме да направите копие на настоящите слайдове и да правите промени в копието, за да запазите позиционирането на текста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491E93" w14:textId="77777777" w:rsidR="003A308E" w:rsidRPr="003A308E" w:rsidRDefault="003A308E" w:rsidP="006120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ECA2DA8" w14:textId="15A3185D" w:rsidR="00192D81" w:rsidRDefault="00CB3339" w:rsidP="003A308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Как да създадете програма на национален семинар</w:t>
      </w:r>
      <w:r w:rsidR="003A308E" w:rsidRPr="003A308E">
        <w:rPr>
          <w:rFonts w:ascii="Times New Roman" w:hAnsi="Times New Roman" w:cs="Times New Roman"/>
          <w:b/>
          <w:bCs/>
          <w:sz w:val="32"/>
          <w:szCs w:val="32"/>
          <w:lang w:val="en-GB"/>
        </w:rPr>
        <w:t>?</w:t>
      </w:r>
    </w:p>
    <w:p w14:paraId="37AC2293" w14:textId="77777777" w:rsidR="003A308E" w:rsidRPr="003A308E" w:rsidRDefault="003A308E" w:rsidP="003A30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547259" w14:textId="1EE1B772" w:rsidR="009F3889" w:rsidRDefault="00CB333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Семинарът е с продължително</w:t>
      </w:r>
      <w:r w:rsidR="009421CF">
        <w:rPr>
          <w:rFonts w:ascii="Times New Roman" w:hAnsi="Times New Roman" w:cs="Times New Roman"/>
          <w:sz w:val="24"/>
          <w:szCs w:val="24"/>
          <w:lang w:val="bg-BG"/>
        </w:rPr>
        <w:t>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1,5 ден</w:t>
      </w:r>
      <w:r w:rsidR="009421CF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Всеки модул е с продължителност около половин ден (приблизително </w:t>
      </w:r>
      <w:r w:rsidR="009F3889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F3889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F3889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9F3889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20FC223" w14:textId="77777777" w:rsidR="009F3889" w:rsidRDefault="009F388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27645E" w14:textId="4419C867" w:rsidR="00643C09" w:rsidRDefault="00CB333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пакета има образец на програма с включено фоново изображение и съответните текстови полета. В образеца има и примерна програма на обучението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EC25FF5" w14:textId="5D493B06" w:rsidR="007B6B51" w:rsidRDefault="007B6B5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6A4ABE" w14:textId="62C283FF" w:rsidR="007B6B51" w:rsidRPr="007B6B51" w:rsidRDefault="00CB3339" w:rsidP="006120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ВАЖНО</w:t>
      </w:r>
      <w:r w:rsidR="007B6B51"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5EFCC0BB" w14:textId="1B576C99" w:rsidR="009E60D1" w:rsidRDefault="00CB3339" w:rsidP="006120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Попълнената програма е само примерна</w:t>
      </w:r>
      <w:r w:rsidR="007B6B51"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Действителната програма се определя от обучителя от гледна точка на избора или подредбата на модулите, продължителността на почивките или подредбата на елементите в рамките на даден модул</w:t>
      </w:r>
      <w:r w:rsidR="00DB1C3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18346521" w14:textId="2D1854BE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0A553D" w14:textId="6FD8B540" w:rsidR="00192D81" w:rsidRDefault="00CB333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Подредбата на модулите по-долу следва подредбата, в която обучителният пакет е представен на националните експерти от г-н Мотой и г-н Клип</w:t>
      </w:r>
      <w:r w:rsidR="001B5D2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6DAF43" w14:textId="55E96D5D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156252" w14:textId="0A69E651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B57517" w14:textId="1B59A7A8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81A9A0" w14:textId="5E5557E8" w:rsidR="00643C09" w:rsidRDefault="00643C09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B1A57FF" w14:textId="51A7D8FF" w:rsidR="00643C09" w:rsidRPr="00C50DA2" w:rsidRDefault="00C50DA2" w:rsidP="00643C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lastRenderedPageBreak/>
        <w:t>Модули</w:t>
      </w:r>
    </w:p>
    <w:p w14:paraId="1F239E5E" w14:textId="77777777" w:rsidR="00192D81" w:rsidRDefault="00192D8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7AD936" w14:textId="049D66A8" w:rsidR="006120A8" w:rsidRDefault="00C50DA2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По-долу са посочени всички модули със съответните им части и препоръчано време</w:t>
      </w:r>
      <w:r w:rsidR="00643C0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E4A1EF" w14:textId="77777777" w:rsidR="00D0686E" w:rsidRPr="00D0686E" w:rsidRDefault="00D0686E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5D3A25" w14:textId="74D43E9F" w:rsidR="005441D9" w:rsidRPr="000C6CBF" w:rsidRDefault="000C6CBF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4"/>
          <w:lang w:val="bg-BG"/>
        </w:rPr>
        <w:t>Модул</w:t>
      </w:r>
      <w:r w:rsidR="005441D9"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I: </w:t>
      </w:r>
      <w:r>
        <w:rPr>
          <w:rFonts w:ascii="Times New Roman" w:hAnsi="Times New Roman" w:cs="Times New Roman"/>
          <w:b/>
          <w:sz w:val="28"/>
          <w:szCs w:val="24"/>
          <w:lang w:val="bg-BG"/>
        </w:rPr>
        <w:t>Правна взаимопомощ</w:t>
      </w:r>
    </w:p>
    <w:p w14:paraId="538B7AB6" w14:textId="7C46E94B" w:rsidR="00B463E8" w:rsidRPr="00DF3F36" w:rsidRDefault="000C6CBF" w:rsidP="00B463E8">
      <w:pPr>
        <w:pStyle w:val="ListParagraph"/>
        <w:numPr>
          <w:ilvl w:val="0"/>
          <w:numId w:val="5"/>
        </w:numPr>
        <w:spacing w:after="160"/>
        <w:ind w:left="42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Презентация от </w:t>
      </w:r>
      <w:r w:rsidR="00C83A50">
        <w:rPr>
          <w:rFonts w:ascii="Times New Roman" w:hAnsi="Times New Roman" w:cs="Times New Roman"/>
          <w:sz w:val="24"/>
          <w:szCs w:val="24"/>
          <w:lang w:val="bg-BG"/>
        </w:rPr>
        <w:t>лектора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63E8"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B463E8" w:rsidRPr="00DF3F36">
        <w:rPr>
          <w:rFonts w:ascii="Times New Roman" w:hAnsi="Times New Roman" w:cs="Times New Roman"/>
          <w:b/>
          <w:sz w:val="24"/>
          <w:szCs w:val="24"/>
          <w:lang w:val="en-GB"/>
        </w:rPr>
        <w:t>15-20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минути</w:t>
      </w:r>
      <w:r w:rsidR="00B463E8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8EF76E7" w14:textId="1E297C48" w:rsidR="00B463E8" w:rsidRPr="00DF3F36" w:rsidRDefault="0044389D" w:rsidP="000B1530">
      <w:pPr>
        <w:pStyle w:val="ListParagraph"/>
        <w:numPr>
          <w:ilvl w:val="1"/>
          <w:numId w:val="5"/>
        </w:numPr>
        <w:suppressAutoHyphens/>
        <w:spacing w:after="16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Презентацията е част от обучителния пакет, но може да бъде променена съответно</w:t>
      </w:r>
    </w:p>
    <w:p w14:paraId="701C5920" w14:textId="650B8464" w:rsidR="005441D9" w:rsidRPr="00DF3F36" w:rsidRDefault="000B1530" w:rsidP="00B242BF">
      <w:pPr>
        <w:pStyle w:val="ListParagraph"/>
        <w:numPr>
          <w:ilvl w:val="0"/>
          <w:numId w:val="5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въвеждащи казуси </w:t>
      </w:r>
      <w:r w:rsidR="005441D9"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815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B463E8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5441D9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8159F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5441D9" w:rsidRPr="00DF3F36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7188C3AD" w14:textId="7C619974" w:rsidR="005441D9" w:rsidRPr="00DF3F36" w:rsidRDefault="000B1530" w:rsidP="006120A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="005441D9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Обучителят трябва да насочи участниците да видят връзката между следните правни инструменти</w:t>
      </w:r>
      <w:r w:rsidR="005441D9" w:rsidRPr="00DF3F3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FB1C0E4" w14:textId="11ADA142" w:rsidR="00BA3E2A" w:rsidRPr="000F75F6" w:rsidRDefault="000B1530" w:rsidP="000B1530">
      <w:pPr>
        <w:pStyle w:val="ListParagraph"/>
        <w:numPr>
          <w:ilvl w:val="1"/>
          <w:numId w:val="4"/>
        </w:numPr>
        <w:suppressAutoHyphens/>
        <w:ind w:left="1786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Директива </w:t>
      </w:r>
      <w:r w:rsidR="005441D9" w:rsidRPr="00DF3F36">
        <w:rPr>
          <w:rFonts w:ascii="Times New Roman" w:hAnsi="Times New Roman" w:cs="Times New Roman"/>
          <w:sz w:val="24"/>
          <w:szCs w:val="24"/>
          <w:lang w:val="en-GB"/>
        </w:rPr>
        <w:t>2014/41/</w:t>
      </w:r>
      <w:r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5441D9"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европейска заповед за разследване</w:t>
      </w:r>
      <w:r w:rsidR="005441D9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Конвенция от 29 май 2000 г. </w:t>
      </w:r>
      <w:r w:rsidRPr="000B1530">
        <w:rPr>
          <w:rFonts w:ascii="Times New Roman" w:hAnsi="Times New Roman" w:cs="Times New Roman"/>
          <w:sz w:val="24"/>
          <w:szCs w:val="24"/>
          <w:lang w:val="bg-BG"/>
        </w:rPr>
        <w:t>за взаимопомощ по наказателноправни въпроси между държавите членки на Европейския съюз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Конвенция от </w:t>
      </w:r>
      <w:r w:rsidR="003D6922" w:rsidRPr="00BA3E2A">
        <w:rPr>
          <w:rFonts w:ascii="Times New Roman" w:hAnsi="Times New Roman" w:cs="Times New Roman"/>
          <w:sz w:val="24"/>
          <w:szCs w:val="24"/>
          <w:lang w:val="en-GB"/>
        </w:rPr>
        <w:t>1959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 г. </w:t>
      </w:r>
      <w:r w:rsidRPr="000B1530">
        <w:rPr>
          <w:rFonts w:ascii="Times New Roman" w:hAnsi="Times New Roman" w:cs="Times New Roman"/>
          <w:sz w:val="24"/>
          <w:szCs w:val="24"/>
          <w:lang w:val="bg-BG"/>
        </w:rPr>
        <w:t>за взаимопомощ по наказателноправни въпроси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плюс</w:t>
      </w:r>
      <w:r w:rsidR="003D6922" w:rsidRPr="00BA3E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нейните протоколи</w:t>
      </w:r>
    </w:p>
    <w:p w14:paraId="48FB2597" w14:textId="3EBD192F" w:rsidR="000F75F6" w:rsidRPr="003F45BF" w:rsidRDefault="00AC40E4" w:rsidP="00AC40E4">
      <w:pPr>
        <w:pStyle w:val="ListParagraph"/>
        <w:numPr>
          <w:ilvl w:val="0"/>
          <w:numId w:val="4"/>
        </w:numPr>
        <w:suppressAutoHyphens/>
        <w:ind w:left="1066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трябва да бъдат разделени на </w:t>
      </w:r>
      <w:r w:rsidR="003D6922" w:rsidRPr="00DF3F36">
        <w:rPr>
          <w:rFonts w:ascii="Times New Roman" w:hAnsi="Times New Roman" w:cs="Times New Roman"/>
          <w:sz w:val="24"/>
          <w:szCs w:val="24"/>
          <w:lang w:val="en-GB"/>
        </w:rPr>
        <w:t>4-6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групи от по </w:t>
      </w:r>
      <w:r w:rsidR="003D6922" w:rsidRPr="00DF3F36">
        <w:rPr>
          <w:rFonts w:ascii="Times New Roman" w:hAnsi="Times New Roman" w:cs="Times New Roman"/>
          <w:sz w:val="24"/>
          <w:szCs w:val="24"/>
          <w:lang w:val="en-GB"/>
        </w:rPr>
        <w:t>5-8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души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всяка група трябва да има поне един компютър/лаптоп с достъп до интернет.</w:t>
      </w:r>
    </w:p>
    <w:p w14:paraId="75C54EA7" w14:textId="77777777" w:rsidR="003F45BF" w:rsidRPr="003F45BF" w:rsidRDefault="003F45BF" w:rsidP="003F45BF">
      <w:pPr>
        <w:suppressAutoHyphens/>
        <w:jc w:val="both"/>
        <w:rPr>
          <w:rFonts w:ascii="Times New Roman" w:hAnsi="Times New Roman" w:cs="Times New Roman"/>
          <w:sz w:val="6"/>
          <w:szCs w:val="6"/>
          <w:lang w:val="bg-BG"/>
        </w:rPr>
      </w:pPr>
    </w:p>
    <w:p w14:paraId="7D944139" w14:textId="6A859105" w:rsidR="00980880" w:rsidRPr="00DF3F36" w:rsidRDefault="003F45BF" w:rsidP="00B242BF">
      <w:pPr>
        <w:pStyle w:val="ListParagraph"/>
        <w:numPr>
          <w:ilvl w:val="0"/>
          <w:numId w:val="5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Решаване на казус</w:t>
      </w:r>
      <w:r w:rsidR="00B242BF"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0815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B242BF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часа и </w:t>
      </w:r>
      <w:r w:rsidR="00B242BF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 </w:t>
      </w:r>
      <w:r w:rsidR="0008159F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B242BF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75E9FCC" w14:textId="6BF6363D" w:rsidR="00B242BF" w:rsidRPr="00DF3F36" w:rsidRDefault="00A66C51" w:rsidP="00366A54">
      <w:pPr>
        <w:pStyle w:val="ListParagraph"/>
        <w:numPr>
          <w:ilvl w:val="1"/>
          <w:numId w:val="5"/>
        </w:numPr>
        <w:suppressAutoHyphens/>
        <w:spacing w:after="16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="00FB28CF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366A54">
        <w:rPr>
          <w:rFonts w:ascii="Times New Roman" w:hAnsi="Times New Roman" w:cs="Times New Roman"/>
          <w:sz w:val="24"/>
          <w:szCs w:val="24"/>
          <w:lang w:val="bg-BG"/>
        </w:rPr>
        <w:t xml:space="preserve">Осигуряване на по-задълбочен анализ на правната взаимопомощ и Конвенцията от </w:t>
      </w:r>
      <w:r w:rsidR="007E1073" w:rsidRPr="00DF3F36">
        <w:rPr>
          <w:rFonts w:ascii="Times New Roman" w:hAnsi="Times New Roman" w:cs="Times New Roman"/>
          <w:sz w:val="24"/>
          <w:szCs w:val="24"/>
          <w:lang w:val="en-GB"/>
        </w:rPr>
        <w:t>1959</w:t>
      </w:r>
      <w:r w:rsidR="00366A54">
        <w:rPr>
          <w:rFonts w:ascii="Times New Roman" w:hAnsi="Times New Roman" w:cs="Times New Roman"/>
          <w:sz w:val="24"/>
          <w:szCs w:val="24"/>
          <w:lang w:val="bg-BG"/>
        </w:rPr>
        <w:t xml:space="preserve"> г. и упражняване за попълване на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молби</w:t>
      </w:r>
    </w:p>
    <w:p w14:paraId="5BCAB247" w14:textId="4EB0415A" w:rsidR="005441D9" w:rsidRPr="00D0686E" w:rsidRDefault="009020C7" w:rsidP="005F4717">
      <w:pPr>
        <w:pStyle w:val="ListParagraph"/>
        <w:numPr>
          <w:ilvl w:val="0"/>
          <w:numId w:val="5"/>
        </w:numPr>
        <w:suppressAutoHyphens/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Обсъждане, отговаряне на въпросите на участниците </w:t>
      </w:r>
      <w:r w:rsidR="001E34C2"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815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1E34C2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5-20 </w:t>
      </w:r>
      <w:r w:rsidR="0008159F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1E34C2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4B93955" w14:textId="77777777" w:rsidR="0042135E" w:rsidRPr="00673FD2" w:rsidRDefault="0042135E" w:rsidP="0042135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bg-BG"/>
        </w:rPr>
        <w:t>Модул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II: </w:t>
      </w:r>
      <w:r>
        <w:rPr>
          <w:rFonts w:ascii="Times New Roman" w:hAnsi="Times New Roman" w:cs="Times New Roman"/>
          <w:b/>
          <w:sz w:val="28"/>
          <w:szCs w:val="24"/>
          <w:lang w:val="bg-BG"/>
        </w:rPr>
        <w:t xml:space="preserve">Европейска заповед за арест 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8"/>
          <w:szCs w:val="24"/>
          <w:lang w:val="bg-BG"/>
        </w:rPr>
        <w:t>ЕЗА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>)</w:t>
      </w:r>
    </w:p>
    <w:p w14:paraId="10D9432E" w14:textId="77777777" w:rsidR="0042135E" w:rsidRDefault="0042135E" w:rsidP="0042135E">
      <w:pPr>
        <w:pStyle w:val="ListParagraph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Презентация на лектора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06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около 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15-20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9F2F241" w14:textId="77777777" w:rsidR="0042135E" w:rsidRDefault="0042135E" w:rsidP="0042135E">
      <w:pPr>
        <w:pStyle w:val="ListParagraph"/>
        <w:numPr>
          <w:ilvl w:val="1"/>
          <w:numId w:val="6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Презентацията е приложена в пакета документи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препоръчва се преди обучението на участниците да бъде изпратен въпросник, за да се установи доколко познават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Рамково решение на Съвета </w:t>
      </w:r>
      <w:r>
        <w:rPr>
          <w:rFonts w:ascii="Times New Roman" w:hAnsi="Times New Roman" w:cs="Times New Roman"/>
          <w:sz w:val="24"/>
          <w:szCs w:val="24"/>
          <w:lang w:val="en-GB"/>
        </w:rPr>
        <w:t>2002/584/</w:t>
      </w:r>
      <w:r>
        <w:rPr>
          <w:rFonts w:ascii="Times New Roman" w:hAnsi="Times New Roman" w:cs="Times New Roman"/>
          <w:sz w:val="24"/>
          <w:szCs w:val="24"/>
          <w:lang w:val="bg-BG"/>
        </w:rPr>
        <w:t>ПВР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Резултатите следва да бъдат отразени в презентацията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44B0CE" w14:textId="1FD1EC5F" w:rsidR="0042135E" w:rsidRDefault="0042135E" w:rsidP="0042135E">
      <w:pPr>
        <w:pStyle w:val="ListParagraph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казус </w:t>
      </w:r>
      <w:r w:rsidR="00C83A50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вариант № 1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около 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час и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E3FBF26" w14:textId="0FE898BF" w:rsidR="0042135E" w:rsidRPr="00C3383F" w:rsidRDefault="0042135E" w:rsidP="0042135E">
      <w:pPr>
        <w:pStyle w:val="ListParagraph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У</w:t>
      </w:r>
      <w:r>
        <w:rPr>
          <w:rFonts w:ascii="Times New Roman" w:hAnsi="Times New Roman" w:cs="Times New Roman"/>
          <w:sz w:val="24"/>
          <w:szCs w:val="24"/>
          <w:lang w:val="bg-BG"/>
        </w:rPr>
        <w:t>частниците трябва да се научат да използват сайта на Европейската съдебна мрежа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Евролекс и Съда на ЕС</w:t>
      </w:r>
    </w:p>
    <w:p w14:paraId="6E951FCB" w14:textId="77777777" w:rsidR="0042135E" w:rsidRPr="00D0686E" w:rsidRDefault="0042135E" w:rsidP="0042135E">
      <w:pPr>
        <w:pStyle w:val="ListParagraph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следва да бъдат разделени на групи от по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човека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g-BG"/>
        </w:rPr>
        <w:t>всяка група трябва да разполага поне с по един компютър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лаптоп, свързан с интернет</w:t>
      </w:r>
    </w:p>
    <w:p w14:paraId="69F1ACD9" w14:textId="77777777" w:rsidR="0042135E" w:rsidRDefault="0042135E" w:rsidP="0042135E">
      <w:pPr>
        <w:pStyle w:val="ListParagraph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Упражнение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около 10 минути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780F5A4" w14:textId="77777777" w:rsidR="0042135E" w:rsidRDefault="0042135E" w:rsidP="0042135E">
      <w:pPr>
        <w:pStyle w:val="ListParagraph"/>
        <w:numPr>
          <w:ilvl w:val="1"/>
          <w:numId w:val="6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Може да бъде пропуснато или дадено за домашна работа, за да остане повече време за разглеждане на казусите </w:t>
      </w:r>
    </w:p>
    <w:p w14:paraId="295C9B9A" w14:textId="77777777" w:rsidR="0042135E" w:rsidRPr="00C3383F" w:rsidRDefault="0042135E" w:rsidP="0042135E">
      <w:pPr>
        <w:pStyle w:val="ListParagraph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Решаване на казус – вариант № 2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около 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40-45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0CA22B5" w14:textId="77777777" w:rsidR="0042135E" w:rsidRPr="00D0686E" w:rsidRDefault="0042135E" w:rsidP="0042135E">
      <w:pPr>
        <w:pStyle w:val="ListParagraph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следва да бъдат разделени на групи от по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човека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g-BG"/>
        </w:rPr>
        <w:t>всяка група трябва да разполага поне с по един компютър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лаптоп, свързан с интернет </w:t>
      </w:r>
    </w:p>
    <w:p w14:paraId="7A3D8A8C" w14:textId="4844FF5D" w:rsidR="0033311B" w:rsidRDefault="0042135E" w:rsidP="0042135E">
      <w:pPr>
        <w:pStyle w:val="ListParagraph"/>
        <w:numPr>
          <w:ilvl w:val="0"/>
          <w:numId w:val="6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Дискусия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отговор на въпросите на участниците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около 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5-20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A0578B1" w14:textId="77777777" w:rsidR="00C83A50" w:rsidRPr="00C83A50" w:rsidRDefault="00C83A50" w:rsidP="00C83A50">
      <w:pPr>
        <w:spacing w:after="160"/>
        <w:ind w:left="6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367B1A" w14:textId="761E658A" w:rsidR="0033311B" w:rsidRPr="00673FD2" w:rsidRDefault="00B1795C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bg-BG"/>
        </w:rPr>
        <w:t>Модул</w:t>
      </w:r>
      <w:r w:rsidR="0033311B"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II</w:t>
      </w:r>
      <w:r w:rsidR="0033311B">
        <w:rPr>
          <w:rFonts w:ascii="Times New Roman" w:hAnsi="Times New Roman" w:cs="Times New Roman"/>
          <w:b/>
          <w:sz w:val="28"/>
          <w:szCs w:val="24"/>
          <w:lang w:val="en-GB"/>
        </w:rPr>
        <w:t>I</w:t>
      </w:r>
      <w:r w:rsidR="0033311B"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  <w:lang w:val="bg-BG"/>
        </w:rPr>
        <w:t>Европейска заповед за разследване (ЕЗР</w:t>
      </w:r>
      <w:r w:rsidR="0033311B" w:rsidRPr="00DF3F36">
        <w:rPr>
          <w:rFonts w:ascii="Times New Roman" w:hAnsi="Times New Roman" w:cs="Times New Roman"/>
          <w:b/>
          <w:sz w:val="28"/>
          <w:szCs w:val="24"/>
          <w:lang w:val="en-GB"/>
        </w:rPr>
        <w:t>)</w:t>
      </w:r>
    </w:p>
    <w:p w14:paraId="5EFCC28D" w14:textId="4222B34A" w:rsidR="007476D6" w:rsidRPr="00DF3F36" w:rsidRDefault="00B1795C" w:rsidP="007476D6">
      <w:pPr>
        <w:pStyle w:val="ListParagraph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Презентация от </w:t>
      </w:r>
      <w:r w:rsidR="00C83A50">
        <w:rPr>
          <w:rFonts w:ascii="Times New Roman" w:hAnsi="Times New Roman" w:cs="Times New Roman"/>
          <w:sz w:val="24"/>
          <w:szCs w:val="24"/>
          <w:lang w:val="bg-BG"/>
        </w:rPr>
        <w:t>лектора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7476D6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7476D6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1C09163" w14:textId="6E2E8F4C" w:rsidR="007476D6" w:rsidRDefault="00B1795C" w:rsidP="007476D6">
      <w:pPr>
        <w:pStyle w:val="ListParagraph"/>
        <w:numPr>
          <w:ilvl w:val="1"/>
          <w:numId w:val="7"/>
        </w:numPr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Презентацията е част от обучителния пакет, но може да бъде променена съответно</w:t>
      </w:r>
    </w:p>
    <w:p w14:paraId="73964799" w14:textId="369DF4AE" w:rsidR="007476D6" w:rsidRDefault="00B1795C" w:rsidP="007476D6">
      <w:pPr>
        <w:pStyle w:val="ListParagraph"/>
        <w:numPr>
          <w:ilvl w:val="1"/>
          <w:numId w:val="7"/>
        </w:numPr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Важно е участниците да се запознаят със следните два документа</w:t>
      </w:r>
      <w:r w:rsidR="007476D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EA76EA1" w14:textId="5A49F9B9" w:rsidR="009E60D1" w:rsidRPr="00D0686E" w:rsidRDefault="00B1795C" w:rsidP="00B1795C">
      <w:pPr>
        <w:pStyle w:val="ListParagraph"/>
        <w:numPr>
          <w:ilvl w:val="2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Компетентни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органи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приемани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езици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спешни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въпроси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обхват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Директивата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относно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ЕЗР (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актуализиран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7 </w:t>
      </w:r>
      <w:proofErr w:type="spellStart"/>
      <w:r w:rsidRPr="00B1795C">
        <w:rPr>
          <w:rFonts w:ascii="Times New Roman" w:hAnsi="Times New Roman" w:cs="Times New Roman"/>
          <w:sz w:val="24"/>
          <w:szCs w:val="24"/>
          <w:lang w:val="en-GB"/>
        </w:rPr>
        <w:t>август</w:t>
      </w:r>
      <w:proofErr w:type="spellEnd"/>
      <w:r w:rsidRPr="00B1795C">
        <w:rPr>
          <w:rFonts w:ascii="Times New Roman" w:hAnsi="Times New Roman" w:cs="Times New Roman"/>
          <w:sz w:val="24"/>
          <w:szCs w:val="24"/>
          <w:lang w:val="en-GB"/>
        </w:rPr>
        <w:t xml:space="preserve"> 2019 г.</w:t>
      </w:r>
      <w:r w:rsidR="007476D6" w:rsidRPr="00CF3020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Указания относно формулярите на ЕЗР</w:t>
      </w:r>
    </w:p>
    <w:p w14:paraId="2710A5B4" w14:textId="263E6737" w:rsidR="00A8172F" w:rsidRDefault="00B1795C" w:rsidP="00A8172F">
      <w:pPr>
        <w:pStyle w:val="ListParagraph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казус </w:t>
      </w:r>
      <w:r w:rsidR="00A8172F">
        <w:rPr>
          <w:rFonts w:ascii="Times New Roman" w:hAnsi="Times New Roman" w:cs="Times New Roman"/>
          <w:sz w:val="24"/>
          <w:szCs w:val="24"/>
          <w:lang w:val="en-GB"/>
        </w:rPr>
        <w:t>1 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DA73E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7476D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A8172F"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A8172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20C7366" w14:textId="0E34C277" w:rsidR="00A8172F" w:rsidRDefault="00B1795C" w:rsidP="00A8172F">
      <w:pPr>
        <w:pStyle w:val="ListParagraph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="00A8172F" w:rsidRPr="00A8172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817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Представяне на Директива 2</w:t>
      </w:r>
      <w:r w:rsidR="00A8172F">
        <w:rPr>
          <w:rFonts w:ascii="Times New Roman" w:hAnsi="Times New Roman" w:cs="Times New Roman"/>
          <w:sz w:val="24"/>
          <w:szCs w:val="24"/>
          <w:lang w:val="en-GB"/>
        </w:rPr>
        <w:t>014/41/</w:t>
      </w:r>
      <w:r>
        <w:rPr>
          <w:rFonts w:ascii="Times New Roman" w:hAnsi="Times New Roman" w:cs="Times New Roman"/>
          <w:sz w:val="24"/>
          <w:szCs w:val="24"/>
          <w:lang w:val="bg-BG"/>
        </w:rPr>
        <w:t>ЕС и упражняване как се използва уебсайта на ЕСН</w:t>
      </w:r>
    </w:p>
    <w:p w14:paraId="7F123CE3" w14:textId="3DE25E2C" w:rsidR="00A8172F" w:rsidRPr="00D0686E" w:rsidRDefault="00B1795C" w:rsidP="00D0686E">
      <w:pPr>
        <w:pStyle w:val="ListParagraph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трябва да са разделени на групи от по </w:t>
      </w:r>
      <w:r w:rsidR="00DA73E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A8172F" w:rsidRPr="00A8172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A73E0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души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всяка група трябва да има поне един компютър/лаптоп с достъп до интернет</w:t>
      </w:r>
    </w:p>
    <w:p w14:paraId="25A8F90D" w14:textId="63B884D3" w:rsidR="00C3383F" w:rsidRDefault="00B1795C" w:rsidP="00A3048F">
      <w:pPr>
        <w:pStyle w:val="ListParagraph"/>
        <w:numPr>
          <w:ilvl w:val="0"/>
          <w:numId w:val="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упражнения </w:t>
      </w:r>
      <w:r w:rsidR="009C535A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9C535A" w:rsidRPr="00761EF1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минути</w:t>
      </w:r>
      <w:r w:rsidR="009C535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0D53552" w14:textId="45AE7024" w:rsidR="00A3048F" w:rsidRDefault="00B1795C" w:rsidP="00A3048F">
      <w:pPr>
        <w:pStyle w:val="ListParagraph"/>
        <w:numPr>
          <w:ilvl w:val="0"/>
          <w:numId w:val="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казус </w:t>
      </w:r>
      <w:r w:rsidR="00A3048F">
        <w:rPr>
          <w:rFonts w:ascii="Times New Roman" w:hAnsi="Times New Roman" w:cs="Times New Roman"/>
          <w:sz w:val="24"/>
          <w:szCs w:val="24"/>
          <w:lang w:val="en-GB"/>
        </w:rPr>
        <w:t>2 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A3048F" w:rsidRPr="00A3048F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часа</w:t>
      </w:r>
      <w:r w:rsidR="00A3048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A7BC80" w14:textId="2DB8BCEF" w:rsidR="00A3048F" w:rsidRPr="009E60D1" w:rsidRDefault="00B1795C" w:rsidP="009E60D1">
      <w:pPr>
        <w:pStyle w:val="ListParagraph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трябва да са разделени на 4-6 групи от по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души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всяка група трябва да има поне един компютър/лаптоп с достъп до интернет</w:t>
      </w:r>
    </w:p>
    <w:p w14:paraId="021653BB" w14:textId="7E3C422C" w:rsidR="00A3048F" w:rsidRDefault="00B1795C" w:rsidP="00A3048F">
      <w:pPr>
        <w:pStyle w:val="ListParagraph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Групите трябва предварително да са свалили редактируемия формуляр на ЕЗР от уебсайта на ЕСН</w:t>
      </w:r>
    </w:p>
    <w:p w14:paraId="427DCD01" w14:textId="5022DA54" w:rsidR="00A3048F" w:rsidRDefault="00B1795C" w:rsidP="00A3048F">
      <w:pPr>
        <w:pStyle w:val="ListParagraph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въпроси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1-3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половината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попълват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ЕЗР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претърсване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жилище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другата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половина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относно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изслушване чрез видеоконференция</w:t>
      </w:r>
    </w:p>
    <w:p w14:paraId="14343BEB" w14:textId="758E1524" w:rsidR="00A3048F" w:rsidRDefault="00B1795C" w:rsidP="00A3048F">
      <w:pPr>
        <w:pStyle w:val="ListParagraph"/>
        <w:numPr>
          <w:ilvl w:val="1"/>
          <w:numId w:val="7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това групите си разменят формулярите, за да имат различен вид от този, който са попълнили, и след това обсъждат дали формулярите отговарят на изискванията </w:t>
      </w:r>
      <w:r w:rsidR="00A3048F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A3048F" w:rsidRPr="00A3048F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7476D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минути</w:t>
      </w:r>
      <w:r w:rsidR="00A3048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70C4837" w14:textId="70214661" w:rsidR="00374621" w:rsidRDefault="00C077A2" w:rsidP="00374621">
      <w:pPr>
        <w:pStyle w:val="ListParagraph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Обсъждане, отговаряне на въпросите на участниците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5-20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A3048F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795E9A7" w14:textId="77777777" w:rsidR="00C83A50" w:rsidRPr="00C83A50" w:rsidRDefault="00C83A50" w:rsidP="00C83A50">
      <w:pPr>
        <w:spacing w:after="160"/>
        <w:ind w:left="6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6012E2" w14:textId="77777777" w:rsidR="00C83A50" w:rsidRPr="00C83A50" w:rsidRDefault="00C83A50" w:rsidP="00C83A5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83A50">
        <w:rPr>
          <w:rFonts w:ascii="Times New Roman" w:hAnsi="Times New Roman" w:cs="Times New Roman"/>
          <w:b/>
          <w:sz w:val="28"/>
          <w:szCs w:val="24"/>
          <w:lang w:val="bg-BG"/>
        </w:rPr>
        <w:t>Модул</w:t>
      </w:r>
      <w:r w:rsidRPr="00C83A50">
        <w:rPr>
          <w:rFonts w:ascii="Times New Roman" w:hAnsi="Times New Roman" w:cs="Times New Roman"/>
          <w:b/>
          <w:sz w:val="28"/>
          <w:szCs w:val="24"/>
          <w:lang w:val="en-GB"/>
        </w:rPr>
        <w:t xml:space="preserve"> IV: </w:t>
      </w:r>
      <w:r w:rsidRPr="00C83A50">
        <w:rPr>
          <w:rFonts w:ascii="Times New Roman" w:hAnsi="Times New Roman" w:cs="Times New Roman"/>
          <w:b/>
          <w:sz w:val="28"/>
          <w:szCs w:val="24"/>
          <w:lang w:val="bg-BG"/>
        </w:rPr>
        <w:t>Взаимно признаване</w:t>
      </w:r>
      <w:r w:rsidRPr="00C83A50">
        <w:rPr>
          <w:rFonts w:ascii="Times New Roman" w:hAnsi="Times New Roman" w:cs="Times New Roman"/>
          <w:b/>
          <w:sz w:val="28"/>
          <w:szCs w:val="24"/>
          <w:lang w:val="en-GB"/>
        </w:rPr>
        <w:t xml:space="preserve"> I.: </w:t>
      </w:r>
      <w:r w:rsidRPr="00C83A50">
        <w:rPr>
          <w:rFonts w:ascii="Times New Roman" w:hAnsi="Times New Roman" w:cs="Times New Roman"/>
          <w:b/>
          <w:sz w:val="28"/>
          <w:szCs w:val="24"/>
          <w:lang w:val="bg-BG"/>
        </w:rPr>
        <w:t>Прехвърляне на изпълнението на съдебни решения</w:t>
      </w:r>
    </w:p>
    <w:p w14:paraId="37C139B3" w14:textId="77777777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Отговор на въвеждащи въпроси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10-15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0ACF5A74" w14:textId="77777777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Презентация от лектора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15-20 минути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4FCDC01F" w14:textId="77777777" w:rsidR="00C83A50" w:rsidRPr="00C83A50" w:rsidRDefault="00C83A50" w:rsidP="00C83A50">
      <w:pPr>
        <w:pStyle w:val="ListParagraph"/>
        <w:numPr>
          <w:ilvl w:val="1"/>
          <w:numId w:val="12"/>
        </w:numPr>
        <w:spacing w:after="160"/>
        <w:ind w:left="99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Презентацията е част от комплекта материали – препоръчваме преди обучението на участниците да бъде изпратен въпросник, с които да се проучи тяхната запознатост с Рамково решение 2008/909/ПВР. Резултатите следва да са включени в презентацията.</w:t>
      </w:r>
    </w:p>
    <w:p w14:paraId="23505701" w14:textId="5D245862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Решаване на казус 1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 час и 40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C2690DC" w14:textId="19F31260" w:rsidR="00C83A50" w:rsidRPr="00C83A50" w:rsidRDefault="00C83A50" w:rsidP="00C83A50">
      <w:pPr>
        <w:pStyle w:val="ListParagraph"/>
        <w:numPr>
          <w:ilvl w:val="1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Основна цел: </w:t>
      </w:r>
      <w:r w:rsidR="00C97857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 w:rsidRPr="00C83A50">
        <w:rPr>
          <w:rFonts w:ascii="Times New Roman" w:hAnsi="Times New Roman" w:cs="Times New Roman"/>
          <w:bCs/>
          <w:sz w:val="24"/>
          <w:szCs w:val="24"/>
          <w:lang w:val="bg-BG"/>
        </w:rPr>
        <w:t>а предостави задълбочен анализ на молбите за правна помощ и Конвенцията от 1959 г.; упражнения в попълването на искания за правна помощ</w:t>
      </w:r>
    </w:p>
    <w:p w14:paraId="4E903D69" w14:textId="77777777" w:rsidR="00C83A50" w:rsidRPr="00C83A50" w:rsidRDefault="00C83A50" w:rsidP="00C83A50">
      <w:pPr>
        <w:pStyle w:val="ListParagraph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Участниците трябва да са разделени на групи от по 4-5 човека; всяка група трябва да разполага с поне един компютър/лаптоп с интернет достъп</w:t>
      </w:r>
    </w:p>
    <w:p w14:paraId="0E90B7CB" w14:textId="77777777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 xml:space="preserve">Упражнения 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0E7A7A2" w14:textId="47C6ED3F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казус 2 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40-45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216D73B" w14:textId="35887389" w:rsidR="00C83A50" w:rsidRPr="00C83A50" w:rsidRDefault="00C83A50" w:rsidP="00C83A50">
      <w:pPr>
        <w:pStyle w:val="ListParagraph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Участниците трябва да са разделени на групи от по 4-5 човека; всяка група трябва да разполага с поне един компютър/лаптоп с интернет достъп</w:t>
      </w:r>
    </w:p>
    <w:p w14:paraId="4EC52CF4" w14:textId="77777777" w:rsidR="00C83A50" w:rsidRPr="00C83A50" w:rsidRDefault="00C83A50" w:rsidP="00C83A50">
      <w:pPr>
        <w:ind w:left="709"/>
        <w:rPr>
          <w:rFonts w:ascii="Times New Roman" w:hAnsi="Times New Roman" w:cs="Times New Roman"/>
          <w:sz w:val="24"/>
          <w:szCs w:val="24"/>
          <w:lang w:val="en-GB"/>
        </w:rPr>
      </w:pPr>
    </w:p>
    <w:p w14:paraId="314BC30F" w14:textId="63BD5E03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Дискусия, отговори на въпроси от участниците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5-20 минути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72CC84C2" w14:textId="77777777" w:rsidR="00C83A50" w:rsidRPr="00C83A50" w:rsidRDefault="00C83A50" w:rsidP="00C83A50">
      <w:pPr>
        <w:spacing w:after="160"/>
        <w:ind w:left="6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86DB02" w14:textId="39BFD0A1" w:rsidR="00C83A50" w:rsidRPr="00C83A50" w:rsidRDefault="00C83A50" w:rsidP="00C83A5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A50">
        <w:rPr>
          <w:rFonts w:ascii="Times New Roman" w:hAnsi="Times New Roman" w:cs="Times New Roman"/>
          <w:b/>
          <w:sz w:val="28"/>
          <w:szCs w:val="24"/>
          <w:lang w:val="bg-BG"/>
        </w:rPr>
        <w:t>Модул</w:t>
      </w:r>
      <w:r w:rsidRPr="00C83A50">
        <w:rPr>
          <w:rFonts w:ascii="Times New Roman" w:hAnsi="Times New Roman" w:cs="Times New Roman"/>
          <w:b/>
          <w:sz w:val="28"/>
          <w:szCs w:val="24"/>
          <w:lang w:val="en-GB"/>
        </w:rPr>
        <w:t xml:space="preserve"> V: </w:t>
      </w:r>
      <w:r w:rsidRPr="00C83A50">
        <w:rPr>
          <w:rFonts w:ascii="Times New Roman" w:hAnsi="Times New Roman" w:cs="Times New Roman"/>
          <w:b/>
          <w:sz w:val="28"/>
          <w:szCs w:val="24"/>
          <w:lang w:val="bg-BG"/>
        </w:rPr>
        <w:t>Взаимно признаване</w:t>
      </w:r>
      <w:r w:rsidRPr="00C83A50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II</w:t>
      </w:r>
      <w:r w:rsidRPr="00C83A50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</w:t>
      </w:r>
      <w:r w:rsidRPr="00C83A50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Принцип за взаимно признаване към актове за налагане на мерки за процесуална принуда като алтернатива на предварителното задържане</w:t>
      </w:r>
    </w:p>
    <w:p w14:paraId="4A8CBD48" w14:textId="54A317EA" w:rsidR="00C83A50" w:rsidRPr="00C83A50" w:rsidRDefault="00C83A50" w:rsidP="00C83A50">
      <w:pPr>
        <w:pStyle w:val="ListParagraph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 xml:space="preserve">Решаване </w:t>
      </w:r>
      <w:r>
        <w:rPr>
          <w:rFonts w:ascii="Times New Roman" w:hAnsi="Times New Roman" w:cs="Times New Roman"/>
          <w:sz w:val="24"/>
          <w:szCs w:val="24"/>
          <w:lang w:val="bg-BG"/>
        </w:rPr>
        <w:t>на въвеждащ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ия казус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15-20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466008" w14:textId="0D2B016C" w:rsidR="00C83A50" w:rsidRPr="00C83A50" w:rsidRDefault="00C83A50" w:rsidP="00C83A50">
      <w:pPr>
        <w:pStyle w:val="ListParagraph"/>
        <w:numPr>
          <w:ilvl w:val="1"/>
          <w:numId w:val="10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Pr="00C83A5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9785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а запознае участниците с Рамково решение 2009/829/ПВР на Съвета; практически упражнения за работа с уебсайта на ЕСМ</w:t>
      </w:r>
    </w:p>
    <w:p w14:paraId="6ADEC375" w14:textId="77777777" w:rsidR="00C83A50" w:rsidRPr="00C83A50" w:rsidRDefault="00C83A50" w:rsidP="00C83A50">
      <w:pPr>
        <w:pStyle w:val="ListParagraph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Презентация от лектора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15-20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  <w:bookmarkStart w:id="0" w:name="_GoBack"/>
      <w:bookmarkEnd w:id="0"/>
    </w:p>
    <w:p w14:paraId="7EFD5450" w14:textId="77777777" w:rsidR="00C83A50" w:rsidRPr="00C83A50" w:rsidRDefault="00C83A50" w:rsidP="00C83A50">
      <w:pPr>
        <w:pStyle w:val="ListParagraph"/>
        <w:numPr>
          <w:ilvl w:val="1"/>
          <w:numId w:val="10"/>
        </w:numPr>
        <w:spacing w:after="16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Презентацията е част от комплекта материали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но може да бъде допълнително адаптирана</w:t>
      </w:r>
    </w:p>
    <w:p w14:paraId="57988828" w14:textId="77777777" w:rsidR="00C83A50" w:rsidRPr="00C83A50" w:rsidRDefault="00C83A50" w:rsidP="00C83A50">
      <w:pPr>
        <w:pStyle w:val="ListParagraph"/>
        <w:numPr>
          <w:ilvl w:val="0"/>
          <w:numId w:val="10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Упражнения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>около</w:t>
      </w:r>
      <w:r w:rsidRPr="00C83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 </w:t>
      </w: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1AC538E" w14:textId="2BAA8542" w:rsidR="00C83A50" w:rsidRPr="00C83A50" w:rsidRDefault="00C83A50" w:rsidP="00C83A50">
      <w:pPr>
        <w:pStyle w:val="ListParagraph"/>
        <w:numPr>
          <w:ilvl w:val="0"/>
          <w:numId w:val="10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Решаване на казус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2 часа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B0E2D14" w14:textId="77777777" w:rsidR="00C83A50" w:rsidRPr="00C83A50" w:rsidRDefault="00C83A50" w:rsidP="00C83A50">
      <w:pPr>
        <w:pStyle w:val="ListParagraph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Участниците трябва да са разделени на групи от по 4-5 човека; всяка група трябва да разполага с поне един компютър/лаптоп с интернет достъп</w:t>
      </w:r>
    </w:p>
    <w:p w14:paraId="09E41E7A" w14:textId="77777777" w:rsidR="00C83A50" w:rsidRPr="00C83A50" w:rsidRDefault="00C83A50" w:rsidP="00C83A50">
      <w:pPr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F71E95E" w14:textId="0FD95343" w:rsidR="00C83A50" w:rsidRPr="00C83A50" w:rsidRDefault="00C83A50" w:rsidP="00C83A50">
      <w:pPr>
        <w:pStyle w:val="ListParagraph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Дискусия, отговори на въпроси от участниците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5-20 минути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1F5BF05B" w14:textId="77777777" w:rsidR="00C83A50" w:rsidRPr="00C83A50" w:rsidRDefault="00C83A50" w:rsidP="00C83A50">
      <w:pPr>
        <w:spacing w:after="160"/>
        <w:ind w:left="6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1273B9" w14:textId="77777777" w:rsidR="00C83A50" w:rsidRPr="00C83A50" w:rsidRDefault="00C83A50" w:rsidP="00C83A5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A50">
        <w:rPr>
          <w:rFonts w:ascii="Times New Roman" w:hAnsi="Times New Roman" w:cs="Times New Roman"/>
          <w:b/>
          <w:sz w:val="28"/>
          <w:szCs w:val="24"/>
          <w:lang w:val="bg-BG"/>
        </w:rPr>
        <w:lastRenderedPageBreak/>
        <w:t>Модул</w:t>
      </w:r>
      <w:r w:rsidRPr="00C83A50">
        <w:rPr>
          <w:rFonts w:ascii="Times New Roman" w:hAnsi="Times New Roman" w:cs="Times New Roman"/>
          <w:b/>
          <w:sz w:val="28"/>
          <w:szCs w:val="24"/>
          <w:lang w:val="en-GB"/>
        </w:rPr>
        <w:t xml:space="preserve"> VI: </w:t>
      </w:r>
      <w:r w:rsidRPr="00C83A50">
        <w:rPr>
          <w:rFonts w:ascii="Times New Roman" w:hAnsi="Times New Roman"/>
          <w:b/>
          <w:bCs/>
          <w:sz w:val="28"/>
          <w:szCs w:val="28"/>
          <w:lang w:val="bg-BG"/>
        </w:rPr>
        <w:t>Принцип за взаимно признаване към съдебни решения и решения за пробация с оглед на надзора върху пробационните мерки и алтернативните санкции</w:t>
      </w:r>
    </w:p>
    <w:p w14:paraId="7EEE3900" w14:textId="77777777" w:rsidR="00C83A50" w:rsidRPr="00C83A50" w:rsidRDefault="00C83A50" w:rsidP="00C83A50">
      <w:pPr>
        <w:pStyle w:val="ListParagraph"/>
        <w:numPr>
          <w:ilvl w:val="0"/>
          <w:numId w:val="11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Презентация от лектора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15-20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0DA911" w14:textId="77777777" w:rsidR="00C83A50" w:rsidRPr="00C83A50" w:rsidRDefault="00C83A50" w:rsidP="00C83A50">
      <w:pPr>
        <w:pStyle w:val="ListParagraph"/>
        <w:numPr>
          <w:ilvl w:val="1"/>
          <w:numId w:val="11"/>
        </w:numPr>
        <w:spacing w:after="16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Презентацията е част от комплекта материали, но може да бъде допълнително адаптирана по преценка на обучителя</w:t>
      </w:r>
    </w:p>
    <w:p w14:paraId="6B1BB296" w14:textId="4D615FF1" w:rsidR="00C83A50" w:rsidRPr="00C83A50" w:rsidRDefault="00C83A50" w:rsidP="00C83A50">
      <w:pPr>
        <w:pStyle w:val="ListParagraph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Решаване на казус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1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1 час и 40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09F144A" w14:textId="77777777" w:rsidR="00C83A50" w:rsidRPr="00C83A50" w:rsidRDefault="00C83A50" w:rsidP="00C83A50">
      <w:pPr>
        <w:pStyle w:val="ListParagraph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Pr="00C83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да се научат да използват уебсайтовете на ЕСМ, </w:t>
      </w:r>
      <w:proofErr w:type="spellStart"/>
      <w:r w:rsidRPr="00C83A50">
        <w:rPr>
          <w:rFonts w:ascii="Times New Roman" w:hAnsi="Times New Roman" w:cs="Times New Roman"/>
          <w:sz w:val="24"/>
          <w:szCs w:val="24"/>
          <w:lang w:val="en-GB"/>
        </w:rPr>
        <w:t>Eurlex</w:t>
      </w:r>
      <w:proofErr w:type="spellEnd"/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и Съда на ЕС</w:t>
      </w:r>
    </w:p>
    <w:p w14:paraId="11DA0EA9" w14:textId="77777777" w:rsidR="00C83A50" w:rsidRPr="00C83A50" w:rsidRDefault="00C83A50" w:rsidP="00C83A50">
      <w:pPr>
        <w:pStyle w:val="ListParagraph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Участниците трябва да са разделени на групи от по 4-5 човека; всяка група трябва да разполага с поне един компютър/лаптоп с интернет достъп</w:t>
      </w:r>
    </w:p>
    <w:p w14:paraId="75713093" w14:textId="77777777" w:rsidR="00C83A50" w:rsidRPr="00C83A50" w:rsidRDefault="00C83A50" w:rsidP="00C83A50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6166AD" w14:textId="77777777" w:rsidR="00C83A50" w:rsidRPr="00C83A50" w:rsidRDefault="00C83A50" w:rsidP="00C83A50">
      <w:pPr>
        <w:pStyle w:val="ListParagraph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Упражнения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около 10 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DACA449" w14:textId="77777777" w:rsidR="00C83A50" w:rsidRPr="00C83A50" w:rsidRDefault="00C83A50" w:rsidP="00C83A50">
      <w:pPr>
        <w:pStyle w:val="ListParagraph"/>
        <w:numPr>
          <w:ilvl w:val="1"/>
          <w:numId w:val="11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Може да бъдат пропуснати или дадени за домашна работа, за да се отдели повече време за практическите казуси</w:t>
      </w:r>
    </w:p>
    <w:p w14:paraId="23274928" w14:textId="511FD5FE" w:rsidR="00C83A50" w:rsidRPr="00C83A50" w:rsidRDefault="00C83A50" w:rsidP="00C83A50">
      <w:pPr>
        <w:pStyle w:val="ListParagraph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Решаване на казус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 xml:space="preserve"> 2 (</w:t>
      </w: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>около</w:t>
      </w:r>
      <w:r w:rsidRPr="00C83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40-45 </w:t>
      </w:r>
      <w:r w:rsidRPr="00C83A50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Pr="00C83A5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52E45B2" w14:textId="77777777" w:rsidR="00C83A50" w:rsidRPr="00C83A50" w:rsidRDefault="00C83A50" w:rsidP="00C83A50">
      <w:pPr>
        <w:pStyle w:val="ListParagraph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Участниците трябва да са разделени на групи от по 4-5 човека; всяка група трябва да разполага с поне един компютър/лаптоп с интернет достъп</w:t>
      </w:r>
    </w:p>
    <w:p w14:paraId="4B34800D" w14:textId="77777777" w:rsidR="00C83A50" w:rsidRPr="00C83A50" w:rsidRDefault="00C83A50" w:rsidP="00C83A50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214A04" w14:textId="77777777" w:rsidR="00C83A50" w:rsidRPr="00C83A50" w:rsidRDefault="00C83A50" w:rsidP="00C83A50">
      <w:pPr>
        <w:pStyle w:val="ListParagraph"/>
        <w:numPr>
          <w:ilvl w:val="0"/>
          <w:numId w:val="11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A50">
        <w:rPr>
          <w:rFonts w:ascii="Times New Roman" w:hAnsi="Times New Roman" w:cs="Times New Roman"/>
          <w:sz w:val="24"/>
          <w:szCs w:val="24"/>
          <w:lang w:val="bg-BG"/>
        </w:rPr>
        <w:t>Дискусия, отговори на въпроси от участниците (</w:t>
      </w:r>
      <w:r w:rsidRPr="00C83A5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около 5-20 минути</w:t>
      </w:r>
      <w:r w:rsidRPr="00C83A50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74E9EA9" w14:textId="77777777" w:rsidR="00D0686E" w:rsidRPr="00D0686E" w:rsidRDefault="00D0686E" w:rsidP="00D0686E">
      <w:p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C0BF37" w14:textId="742830A9" w:rsidR="007E3D67" w:rsidRPr="00673FD2" w:rsidRDefault="00C20A70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bg-BG"/>
        </w:rPr>
        <w:t>Модул</w:t>
      </w:r>
      <w:r w:rsidR="007E3D67"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="007E3D67">
        <w:rPr>
          <w:rFonts w:ascii="Times New Roman" w:hAnsi="Times New Roman" w:cs="Times New Roman"/>
          <w:b/>
          <w:sz w:val="28"/>
          <w:szCs w:val="24"/>
          <w:lang w:val="en-GB"/>
        </w:rPr>
        <w:t>VII</w:t>
      </w:r>
      <w:r w:rsidR="007E3D67"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  <w:lang w:val="bg-BG"/>
        </w:rPr>
        <w:t>Обезпечаване и конфискация</w:t>
      </w:r>
    </w:p>
    <w:p w14:paraId="03747880" w14:textId="0F873599" w:rsidR="007E3D67" w:rsidRDefault="00C20A70" w:rsidP="007E3D67">
      <w:pPr>
        <w:pStyle w:val="ListParagraph"/>
        <w:numPr>
          <w:ilvl w:val="0"/>
          <w:numId w:val="17"/>
        </w:num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Презентация от </w:t>
      </w:r>
      <w:r w:rsidR="00C83A50">
        <w:rPr>
          <w:rFonts w:ascii="Times New Roman" w:hAnsi="Times New Roman" w:cs="Times New Roman"/>
          <w:sz w:val="24"/>
          <w:szCs w:val="24"/>
          <w:lang w:val="bg-BG"/>
        </w:rPr>
        <w:t>лектора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3D67"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7E3D67" w:rsidRPr="00DF3F36">
        <w:rPr>
          <w:rFonts w:ascii="Times New Roman" w:hAnsi="Times New Roman" w:cs="Times New Roman"/>
          <w:b/>
          <w:sz w:val="24"/>
          <w:szCs w:val="24"/>
          <w:lang w:val="en-GB"/>
        </w:rPr>
        <w:t>15-20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минути</w:t>
      </w:r>
      <w:r w:rsidR="007E3D67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A05332A" w14:textId="27A63F14" w:rsidR="00BA3E2A" w:rsidRPr="00BA3E2A" w:rsidRDefault="00C20A70" w:rsidP="00BA3E2A">
      <w:pPr>
        <w:pStyle w:val="ListParagraph"/>
        <w:numPr>
          <w:ilvl w:val="1"/>
          <w:numId w:val="17"/>
        </w:numPr>
        <w:spacing w:after="160"/>
        <w:ind w:left="99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Презентацията е част от пакета – Препоръчително е предварително изпращане на въпросник до участниците с акцент върху знанията им за Рамковите решения на Съвета 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2003/577/</w:t>
      </w:r>
      <w:r>
        <w:rPr>
          <w:rFonts w:ascii="Times New Roman" w:hAnsi="Times New Roman" w:cs="Times New Roman"/>
          <w:sz w:val="24"/>
          <w:szCs w:val="24"/>
          <w:lang w:val="bg-BG"/>
        </w:rPr>
        <w:t>ПВР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, 2006/783/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ПВР и Регламент 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ЕС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 xml:space="preserve">) 2018/1805. </w:t>
      </w:r>
      <w:r>
        <w:rPr>
          <w:rFonts w:ascii="Times New Roman" w:hAnsi="Times New Roman" w:cs="Times New Roman"/>
          <w:sz w:val="24"/>
          <w:szCs w:val="24"/>
          <w:lang w:val="bg-BG"/>
        </w:rPr>
        <w:t>Резултатите следва да бъдат взети предвид при презентацията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1D3325" w14:textId="71C8F42E" w:rsidR="007E3D67" w:rsidRDefault="00C20A70" w:rsidP="007E3D67">
      <w:pPr>
        <w:pStyle w:val="ListParagraph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казус 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1 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7E3D67"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1 </w:t>
      </w:r>
      <w:r w:rsidR="007403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 и </w:t>
      </w:r>
      <w:r w:rsidR="007E3D67"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40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3FFB6B" w14:textId="225AE4F7" w:rsidR="007E3D67" w:rsidRPr="00C3383F" w:rsidRDefault="00740366" w:rsidP="007E3D67">
      <w:pPr>
        <w:pStyle w:val="ListParagraph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Основна цел</w:t>
      </w:r>
      <w:r w:rsidR="007E3D67" w:rsidRPr="00C3383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E3D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Запознаване с уебсайтовете на ЕСН, </w:t>
      </w:r>
      <w:proofErr w:type="spellStart"/>
      <w:r w:rsidR="007E3D67">
        <w:rPr>
          <w:rFonts w:ascii="Times New Roman" w:hAnsi="Times New Roman" w:cs="Times New Roman"/>
          <w:sz w:val="24"/>
          <w:szCs w:val="24"/>
          <w:lang w:val="en-GB"/>
        </w:rPr>
        <w:t>Eurlex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СЕС</w:t>
      </w:r>
    </w:p>
    <w:p w14:paraId="097202D7" w14:textId="64869B06" w:rsidR="000F75F6" w:rsidRPr="00D0686E" w:rsidRDefault="00740366" w:rsidP="00D0686E">
      <w:pPr>
        <w:pStyle w:val="ListParagraph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Участниците трябва да бъдат разделени на групи от по 4-5 души; всяка група трябва да има поне един компютър/лаптоп с достъп до интернет</w:t>
      </w:r>
    </w:p>
    <w:p w14:paraId="53DACBDB" w14:textId="0CBB11CC" w:rsidR="007E3D67" w:rsidRDefault="00740366" w:rsidP="007E3D67">
      <w:pPr>
        <w:pStyle w:val="ListParagraph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упражненията 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20A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7E3D67" w:rsidRPr="004A34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10 </w:t>
      </w:r>
      <w:r w:rsidR="00C20A70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BCB6E39" w14:textId="6F446467" w:rsidR="007E3D67" w:rsidRDefault="00740366" w:rsidP="007E3D67">
      <w:pPr>
        <w:pStyle w:val="ListParagraph"/>
        <w:numPr>
          <w:ilvl w:val="1"/>
          <w:numId w:val="17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 да бъдат пропуснати или дадени като домашна работа, за да се отдели повече време на казусите</w:t>
      </w:r>
    </w:p>
    <w:p w14:paraId="16503622" w14:textId="357C4D5C" w:rsidR="007E3D67" w:rsidRPr="00C3383F" w:rsidRDefault="00740366" w:rsidP="007E3D67">
      <w:pPr>
        <w:pStyle w:val="ListParagraph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Решаване на казус 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2 (</w:t>
      </w:r>
      <w:r w:rsidR="00C20A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7E3D67" w:rsidRPr="004A34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40-45 </w:t>
      </w:r>
      <w:r w:rsidR="00C20A70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42E7889" w14:textId="745E4DB3" w:rsidR="000F75F6" w:rsidRPr="000F75F6" w:rsidRDefault="00740366" w:rsidP="000F75F6">
      <w:pPr>
        <w:pStyle w:val="ListParagraph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Участниците трябва да бъдат разделени на групи от по 4-5 души; всяка група трябва да има поне един компютър/лаптоп с достъп до интернет</w:t>
      </w:r>
    </w:p>
    <w:p w14:paraId="0E8FDD1C" w14:textId="4475974F" w:rsidR="00D82654" w:rsidRPr="00503ED8" w:rsidRDefault="00740366" w:rsidP="006120A8">
      <w:pPr>
        <w:pStyle w:val="ListParagraph"/>
        <w:numPr>
          <w:ilvl w:val="0"/>
          <w:numId w:val="1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Обсъждане, отговори на въпроси на участниците </w:t>
      </w:r>
      <w:r w:rsidR="007E3D67" w:rsidRPr="00DF3F3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20A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приблизително </w:t>
      </w:r>
      <w:r w:rsidR="007E3D67"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5-20 </w:t>
      </w:r>
      <w:r w:rsidR="00C20A70">
        <w:rPr>
          <w:rFonts w:ascii="Times New Roman" w:hAnsi="Times New Roman" w:cs="Times New Roman"/>
          <w:b/>
          <w:sz w:val="24"/>
          <w:szCs w:val="24"/>
          <w:lang w:val="bg-BG"/>
        </w:rPr>
        <w:t>минути</w:t>
      </w:r>
      <w:r w:rsidR="007E3D67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D82654" w:rsidRPr="00503ED8" w:rsidSect="00D750CC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C0"/>
    <w:multiLevelType w:val="hybridMultilevel"/>
    <w:tmpl w:val="2F7C3532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02A"/>
    <w:multiLevelType w:val="hybridMultilevel"/>
    <w:tmpl w:val="774636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169F9"/>
    <w:multiLevelType w:val="hybridMultilevel"/>
    <w:tmpl w:val="4ED8305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AFC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592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294"/>
    <w:multiLevelType w:val="hybridMultilevel"/>
    <w:tmpl w:val="BFAE12BA"/>
    <w:lvl w:ilvl="0" w:tplc="BDAE50C4">
      <w:start w:val="1"/>
      <w:numFmt w:val="upperRoman"/>
      <w:lvlText w:val="%1."/>
      <w:lvlJc w:val="left"/>
      <w:pPr>
        <w:ind w:left="394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894"/>
    <w:multiLevelType w:val="hybridMultilevel"/>
    <w:tmpl w:val="45D8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7E9"/>
    <w:multiLevelType w:val="hybridMultilevel"/>
    <w:tmpl w:val="49B2988A"/>
    <w:lvl w:ilvl="0" w:tplc="4F222D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BB07FE"/>
    <w:multiLevelType w:val="hybridMultilevel"/>
    <w:tmpl w:val="C8D2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8DE"/>
    <w:multiLevelType w:val="hybridMultilevel"/>
    <w:tmpl w:val="C40C7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5BF1"/>
    <w:multiLevelType w:val="hybridMultilevel"/>
    <w:tmpl w:val="16344590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3939"/>
    <w:multiLevelType w:val="hybridMultilevel"/>
    <w:tmpl w:val="264EED26"/>
    <w:lvl w:ilvl="0" w:tplc="91FC0E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3C01"/>
    <w:multiLevelType w:val="hybridMultilevel"/>
    <w:tmpl w:val="98D6C042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C01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12F29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1F64"/>
    <w:multiLevelType w:val="hybridMultilevel"/>
    <w:tmpl w:val="1382AD60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334F"/>
    <w:multiLevelType w:val="hybridMultilevel"/>
    <w:tmpl w:val="2F7C3532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4264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59"/>
    <w:rsid w:val="00012664"/>
    <w:rsid w:val="00021110"/>
    <w:rsid w:val="000722C7"/>
    <w:rsid w:val="0008159F"/>
    <w:rsid w:val="000A5DFD"/>
    <w:rsid w:val="000B1530"/>
    <w:rsid w:val="000C6CBF"/>
    <w:rsid w:val="000F75F6"/>
    <w:rsid w:val="00103AF4"/>
    <w:rsid w:val="00142107"/>
    <w:rsid w:val="00153359"/>
    <w:rsid w:val="001569FC"/>
    <w:rsid w:val="00192D81"/>
    <w:rsid w:val="001A47D3"/>
    <w:rsid w:val="001B5D2B"/>
    <w:rsid w:val="001C1723"/>
    <w:rsid w:val="001D09F3"/>
    <w:rsid w:val="001E34C2"/>
    <w:rsid w:val="001F5BD3"/>
    <w:rsid w:val="00201DE9"/>
    <w:rsid w:val="00220F26"/>
    <w:rsid w:val="00251A7D"/>
    <w:rsid w:val="0025282A"/>
    <w:rsid w:val="00260E58"/>
    <w:rsid w:val="0033311B"/>
    <w:rsid w:val="00353BBD"/>
    <w:rsid w:val="0035745E"/>
    <w:rsid w:val="00366A54"/>
    <w:rsid w:val="00367FCE"/>
    <w:rsid w:val="00367FF6"/>
    <w:rsid w:val="00374621"/>
    <w:rsid w:val="00391B94"/>
    <w:rsid w:val="003A308E"/>
    <w:rsid w:val="003A5EC6"/>
    <w:rsid w:val="003D4B07"/>
    <w:rsid w:val="003D6922"/>
    <w:rsid w:val="003F45BF"/>
    <w:rsid w:val="00411094"/>
    <w:rsid w:val="0042135E"/>
    <w:rsid w:val="0044389D"/>
    <w:rsid w:val="0047689C"/>
    <w:rsid w:val="00493D6A"/>
    <w:rsid w:val="00495911"/>
    <w:rsid w:val="004A3419"/>
    <w:rsid w:val="004C08D6"/>
    <w:rsid w:val="004D4ACF"/>
    <w:rsid w:val="004F6041"/>
    <w:rsid w:val="00503ED8"/>
    <w:rsid w:val="005441D9"/>
    <w:rsid w:val="00547327"/>
    <w:rsid w:val="005742FF"/>
    <w:rsid w:val="00577C24"/>
    <w:rsid w:val="005A3153"/>
    <w:rsid w:val="005F4717"/>
    <w:rsid w:val="005F7A8A"/>
    <w:rsid w:val="006120A8"/>
    <w:rsid w:val="006212B1"/>
    <w:rsid w:val="006331DA"/>
    <w:rsid w:val="00643C09"/>
    <w:rsid w:val="00670932"/>
    <w:rsid w:val="00672C95"/>
    <w:rsid w:val="00673FD2"/>
    <w:rsid w:val="00686017"/>
    <w:rsid w:val="00715A5E"/>
    <w:rsid w:val="00732D43"/>
    <w:rsid w:val="00740366"/>
    <w:rsid w:val="0074637B"/>
    <w:rsid w:val="007476D6"/>
    <w:rsid w:val="0075705A"/>
    <w:rsid w:val="00761EF1"/>
    <w:rsid w:val="007B6B51"/>
    <w:rsid w:val="007E1073"/>
    <w:rsid w:val="007E3D67"/>
    <w:rsid w:val="008216A3"/>
    <w:rsid w:val="00843288"/>
    <w:rsid w:val="00872C56"/>
    <w:rsid w:val="008B3FB6"/>
    <w:rsid w:val="008C7125"/>
    <w:rsid w:val="009020C7"/>
    <w:rsid w:val="009421CF"/>
    <w:rsid w:val="00980880"/>
    <w:rsid w:val="009C535A"/>
    <w:rsid w:val="009D1138"/>
    <w:rsid w:val="009E220F"/>
    <w:rsid w:val="009E60D1"/>
    <w:rsid w:val="009F12D2"/>
    <w:rsid w:val="009F3889"/>
    <w:rsid w:val="00A04411"/>
    <w:rsid w:val="00A3048F"/>
    <w:rsid w:val="00A66C51"/>
    <w:rsid w:val="00A8172F"/>
    <w:rsid w:val="00AA5FDE"/>
    <w:rsid w:val="00AC40E4"/>
    <w:rsid w:val="00B1795C"/>
    <w:rsid w:val="00B242BF"/>
    <w:rsid w:val="00B463E8"/>
    <w:rsid w:val="00B5082E"/>
    <w:rsid w:val="00B9784A"/>
    <w:rsid w:val="00BA210E"/>
    <w:rsid w:val="00BA3E2A"/>
    <w:rsid w:val="00BB3110"/>
    <w:rsid w:val="00C077A2"/>
    <w:rsid w:val="00C16C6D"/>
    <w:rsid w:val="00C20A70"/>
    <w:rsid w:val="00C3383F"/>
    <w:rsid w:val="00C50DA2"/>
    <w:rsid w:val="00C662AA"/>
    <w:rsid w:val="00C6738B"/>
    <w:rsid w:val="00C7474C"/>
    <w:rsid w:val="00C83A50"/>
    <w:rsid w:val="00C97857"/>
    <w:rsid w:val="00CB3339"/>
    <w:rsid w:val="00CF3020"/>
    <w:rsid w:val="00D0686E"/>
    <w:rsid w:val="00D2086A"/>
    <w:rsid w:val="00D750CC"/>
    <w:rsid w:val="00D82654"/>
    <w:rsid w:val="00DA058F"/>
    <w:rsid w:val="00DA73E0"/>
    <w:rsid w:val="00DB0A71"/>
    <w:rsid w:val="00DB1C3F"/>
    <w:rsid w:val="00DF3F36"/>
    <w:rsid w:val="00E15A0F"/>
    <w:rsid w:val="00E60B81"/>
    <w:rsid w:val="00E67016"/>
    <w:rsid w:val="00ED43C0"/>
    <w:rsid w:val="00F35AA1"/>
    <w:rsid w:val="00F362F5"/>
    <w:rsid w:val="00FB28CF"/>
    <w:rsid w:val="00FD750A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B689"/>
  <w15:docId w15:val="{B96FF917-F14A-4854-AF99-D86906CF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yi-He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D9"/>
    <w:pPr>
      <w:spacing w:line="276" w:lineRule="auto"/>
      <w:contextualSpacing/>
    </w:pPr>
    <w:rPr>
      <w:rFonts w:ascii="Arial" w:eastAsiaTheme="minorHAnsi" w:hAnsi="Arial" w:cstheme="minorBidi"/>
      <w:color w:val="4C4C4C"/>
      <w:sz w:val="18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1D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eite 1"/>
    <w:basedOn w:val="Normal"/>
    <w:next w:val="Normal"/>
    <w:link w:val="Heading2Char"/>
    <w:uiPriority w:val="9"/>
    <w:unhideWhenUsed/>
    <w:qFormat/>
    <w:rsid w:val="006331D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Überschrift 3 S1,S2"/>
    <w:basedOn w:val="Normal"/>
    <w:next w:val="Normal"/>
    <w:link w:val="Heading3Char"/>
    <w:uiPriority w:val="9"/>
    <w:unhideWhenUsed/>
    <w:qFormat/>
    <w:rsid w:val="005742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1D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1DA"/>
    <w:rPr>
      <w:rFonts w:ascii="Frutiger LT 55 Roman" w:eastAsiaTheme="majorEastAsia" w:hAnsi="Frutiger LT 55 Roman" w:cstheme="majorBidi"/>
      <w:color w:val="17365D" w:themeColor="text2" w:themeShade="BF"/>
      <w:spacing w:val="5"/>
      <w:kern w:val="28"/>
      <w:sz w:val="52"/>
      <w:szCs w:val="52"/>
      <w:lang w:val="en-GB" w:bidi="ar-SA"/>
    </w:rPr>
  </w:style>
  <w:style w:type="character" w:customStyle="1" w:styleId="Heading2Char">
    <w:name w:val="Heading 2 Char"/>
    <w:aliases w:val="Seite 1 Char"/>
    <w:basedOn w:val="DefaultParagraphFont"/>
    <w:link w:val="Heading2"/>
    <w:uiPriority w:val="9"/>
    <w:rsid w:val="006331DA"/>
    <w:rPr>
      <w:rFonts w:ascii="Frutiger LT 55 Roman" w:eastAsiaTheme="majorEastAsia" w:hAnsi="Frutiger LT 55 Roman" w:cstheme="majorBidi"/>
      <w:b/>
      <w:bCs/>
      <w:color w:val="4F81BD" w:themeColor="accent1"/>
      <w:sz w:val="26"/>
      <w:szCs w:val="26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331DA"/>
    <w:rPr>
      <w:rFonts w:ascii="Frutiger LT 55 Roman" w:eastAsiaTheme="majorEastAsia" w:hAnsi="Frutiger LT 55 Roman" w:cstheme="majorBidi"/>
      <w:b/>
      <w:bCs/>
      <w:color w:val="365F91" w:themeColor="accent1" w:themeShade="BF"/>
      <w:sz w:val="28"/>
      <w:szCs w:val="28"/>
      <w:lang w:val="en-GB" w:bidi="ar-SA"/>
    </w:rPr>
  </w:style>
  <w:style w:type="paragraph" w:styleId="NoSpacing">
    <w:name w:val="No Spacing"/>
    <w:uiPriority w:val="1"/>
    <w:qFormat/>
    <w:rsid w:val="00260E58"/>
    <w:rPr>
      <w:rFonts w:ascii="Arial" w:hAnsi="Arial"/>
      <w:sz w:val="24"/>
      <w:lang w:val="en-GB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1D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1DA"/>
    <w:rPr>
      <w:rFonts w:ascii="Frutiger LT 55 Roman" w:eastAsiaTheme="majorEastAsia" w:hAnsi="Frutiger LT 55 Roman" w:cstheme="majorBidi"/>
      <w:i/>
      <w:iCs/>
      <w:color w:val="4F81BD" w:themeColor="accent1"/>
      <w:spacing w:val="15"/>
      <w:sz w:val="24"/>
      <w:szCs w:val="24"/>
      <w:lang w:val="en-GB" w:bidi="ar-SA"/>
    </w:rPr>
  </w:style>
  <w:style w:type="character" w:styleId="SubtleEmphasis">
    <w:name w:val="Subtle Emphasis"/>
    <w:basedOn w:val="DefaultParagraphFont"/>
    <w:uiPriority w:val="19"/>
    <w:qFormat/>
    <w:rsid w:val="006331DA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6331DA"/>
    <w:pPr>
      <w:ind w:left="720"/>
    </w:pPr>
  </w:style>
  <w:style w:type="paragraph" w:customStyle="1" w:styleId="ERA">
    <w:name w:val="ERA"/>
    <w:basedOn w:val="Normal"/>
    <w:link w:val="ERAZchn"/>
    <w:rsid w:val="00732D43"/>
  </w:style>
  <w:style w:type="character" w:customStyle="1" w:styleId="ERAZchn">
    <w:name w:val="ERA Zchn"/>
    <w:basedOn w:val="DefaultParagraphFont"/>
    <w:link w:val="ERA"/>
    <w:rsid w:val="00732D43"/>
    <w:rPr>
      <w:rFonts w:ascii="Frutiger LT 55 Roman" w:hAnsi="Frutiger LT 55 Roman"/>
      <w:sz w:val="24"/>
      <w:lang w:val="en-GB" w:bidi="ar-SA"/>
    </w:rPr>
  </w:style>
  <w:style w:type="character" w:customStyle="1" w:styleId="Heading3Char">
    <w:name w:val="Heading 3 Char"/>
    <w:aliases w:val="Überschrift 3 S1 Char,S2 Char"/>
    <w:basedOn w:val="DefaultParagraphFont"/>
    <w:link w:val="Heading3"/>
    <w:uiPriority w:val="9"/>
    <w:rsid w:val="005742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ar-SA"/>
    </w:rPr>
  </w:style>
  <w:style w:type="paragraph" w:customStyle="1" w:styleId="TextProgramm">
    <w:name w:val="Text Programm"/>
    <w:basedOn w:val="Normal"/>
    <w:qFormat/>
    <w:rsid w:val="005441D9"/>
    <w:pPr>
      <w:framePr w:hSpace="141" w:wrap="around" w:vAnchor="text" w:hAnchor="text" w:y="1"/>
      <w:tabs>
        <w:tab w:val="left" w:pos="743"/>
      </w:tabs>
      <w:spacing w:line="240" w:lineRule="auto"/>
      <w:suppressOverlap/>
    </w:pPr>
    <w:rPr>
      <w:rFonts w:cs="Arial"/>
      <w:szCs w:val="18"/>
    </w:rPr>
  </w:style>
  <w:style w:type="character" w:styleId="Strong">
    <w:name w:val="Strong"/>
    <w:basedOn w:val="DefaultParagraphFont"/>
    <w:uiPriority w:val="22"/>
    <w:qFormat/>
    <w:rsid w:val="0071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D350-DC48-4F34-A048-D2A97391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1514</Words>
  <Characters>8906</Characters>
  <Application>Microsoft Office Word</Application>
  <DocSecurity>0</DocSecurity>
  <Lines>193</Lines>
  <Paragraphs>77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Academy of European Law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Kisgyörgy</dc:creator>
  <cp:lastModifiedBy>Desislava Dragieva</cp:lastModifiedBy>
  <cp:revision>4</cp:revision>
  <dcterms:created xsi:type="dcterms:W3CDTF">2021-07-09T10:41:00Z</dcterms:created>
  <dcterms:modified xsi:type="dcterms:W3CDTF">2021-07-09T10:58:00Z</dcterms:modified>
</cp:coreProperties>
</file>