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4EAEAB" w14:textId="77777777" w:rsidR="00D83E42" w:rsidRPr="003E5188" w:rsidRDefault="00246DA4" w:rsidP="00A257D5">
      <w:pPr>
        <w:jc w:val="center"/>
        <w:rPr>
          <w:rFonts w:ascii="Times New Roman" w:hAnsi="Times New Roman"/>
          <w:b/>
          <w:bCs/>
          <w:sz w:val="32"/>
          <w:szCs w:val="28"/>
        </w:rPr>
      </w:pPr>
      <w:bookmarkStart w:id="0" w:name="_Hlk33708632"/>
      <w:r>
        <w:rPr>
          <w:rFonts w:ascii="Times New Roman" w:hAnsi="Times New Roman"/>
          <w:b/>
          <w:sz w:val="32"/>
        </w:rPr>
        <w:t xml:space="preserve"> </w:t>
      </w:r>
    </w:p>
    <w:p w14:paraId="738FB235" w14:textId="77777777" w:rsidR="00D83E42" w:rsidRPr="003E5188" w:rsidRDefault="00D83E42" w:rsidP="00A257D5">
      <w:pPr>
        <w:jc w:val="center"/>
        <w:rPr>
          <w:rFonts w:ascii="Times New Roman" w:hAnsi="Times New Roman"/>
          <w:b/>
          <w:bCs/>
          <w:sz w:val="32"/>
          <w:szCs w:val="28"/>
          <w:lang w:val="en-GB"/>
        </w:rPr>
      </w:pPr>
    </w:p>
    <w:p w14:paraId="6AB47E28" w14:textId="77777777" w:rsidR="00D83E42" w:rsidRPr="003E5188" w:rsidRDefault="00D83E42" w:rsidP="00A257D5">
      <w:pPr>
        <w:jc w:val="center"/>
        <w:rPr>
          <w:rFonts w:ascii="Times New Roman" w:hAnsi="Times New Roman"/>
          <w:b/>
          <w:bCs/>
          <w:sz w:val="36"/>
          <w:szCs w:val="28"/>
        </w:rPr>
      </w:pPr>
      <w:r>
        <w:rPr>
          <w:rFonts w:ascii="Times New Roman" w:hAnsi="Times New Roman"/>
          <w:b/>
          <w:sz w:val="36"/>
        </w:rPr>
        <w:t>Gegenseitige Anerkennung III.</w:t>
      </w:r>
    </w:p>
    <w:p w14:paraId="2958BBBE" w14:textId="77777777" w:rsidR="006856B3" w:rsidRPr="003E5188" w:rsidRDefault="00246D57" w:rsidP="00A257D5">
      <w:pPr>
        <w:jc w:val="center"/>
        <w:rPr>
          <w:rFonts w:ascii="Times New Roman" w:hAnsi="Times New Roman"/>
          <w:b/>
          <w:bCs/>
          <w:sz w:val="28"/>
          <w:szCs w:val="28"/>
        </w:rPr>
      </w:pPr>
      <w:r>
        <w:rPr>
          <w:rFonts w:ascii="Times New Roman" w:hAnsi="Times New Roman"/>
          <w:b/>
          <w:sz w:val="28"/>
        </w:rPr>
        <w:t xml:space="preserve">Rahmenbeschluss 2008/947/JI des Rates vom 27. November 2008 </w:t>
      </w:r>
    </w:p>
    <w:p w14:paraId="4C27417D" w14:textId="77777777" w:rsidR="006856B3" w:rsidRPr="003E5188" w:rsidRDefault="00246D57" w:rsidP="00A257D5">
      <w:pPr>
        <w:jc w:val="center"/>
        <w:rPr>
          <w:rFonts w:ascii="Times New Roman" w:hAnsi="Times New Roman"/>
          <w:b/>
          <w:bCs/>
          <w:sz w:val="28"/>
          <w:szCs w:val="28"/>
        </w:rPr>
      </w:pPr>
      <w:r>
        <w:rPr>
          <w:rFonts w:ascii="Times New Roman" w:hAnsi="Times New Roman"/>
          <w:b/>
          <w:sz w:val="28"/>
        </w:rPr>
        <w:t>über die Anwendung des Grundsatzes der gegenseitigen Anerkennung auf Urteile und Bewährungsentscheidungen im Hinblick auf die Überwachung von Bewährungsmaßnahmen und alternativen Sanktionen</w:t>
      </w:r>
      <w:bookmarkEnd w:id="0"/>
    </w:p>
    <w:p w14:paraId="19082D9B" w14:textId="77777777" w:rsidR="00D83E42" w:rsidRPr="003E5188" w:rsidRDefault="00D83E42" w:rsidP="00A257D5">
      <w:pPr>
        <w:jc w:val="center"/>
        <w:rPr>
          <w:rFonts w:ascii="Times New Roman" w:hAnsi="Times New Roman"/>
          <w:bCs/>
          <w:i/>
          <w:sz w:val="28"/>
          <w:szCs w:val="28"/>
        </w:rPr>
      </w:pPr>
      <w:r>
        <w:rPr>
          <w:rFonts w:ascii="Times New Roman" w:hAnsi="Times New Roman"/>
          <w:i/>
          <w:sz w:val="28"/>
        </w:rPr>
        <w:t>Auswahl von Fallstudien – Leitfaden für Schulungsleiter</w:t>
      </w:r>
    </w:p>
    <w:p w14:paraId="69CA5AF0" w14:textId="77777777" w:rsidR="006856B3" w:rsidRPr="003E5188" w:rsidRDefault="006856B3" w:rsidP="00A257D5">
      <w:pPr>
        <w:rPr>
          <w:rFonts w:ascii="Times New Roman" w:hAnsi="Times New Roman"/>
          <w:b/>
          <w:bCs/>
          <w:sz w:val="28"/>
          <w:szCs w:val="28"/>
          <w:lang w:val="en-GB"/>
        </w:rPr>
      </w:pPr>
    </w:p>
    <w:p w14:paraId="130F9BE8" w14:textId="77777777" w:rsidR="00D83E42" w:rsidRPr="003E5188" w:rsidRDefault="00D83E42" w:rsidP="00A257D5">
      <w:pPr>
        <w:jc w:val="center"/>
        <w:rPr>
          <w:rFonts w:ascii="Times New Roman" w:hAnsi="Times New Roman"/>
          <w:bCs/>
          <w:i/>
          <w:sz w:val="28"/>
          <w:szCs w:val="28"/>
          <w:lang w:val="en-GB"/>
        </w:rPr>
      </w:pPr>
    </w:p>
    <w:p w14:paraId="58DCCA47" w14:textId="77777777" w:rsidR="00D83E42" w:rsidRPr="003E5188" w:rsidRDefault="00D83E42" w:rsidP="00A257D5">
      <w:pPr>
        <w:spacing w:after="0"/>
        <w:rPr>
          <w:rFonts w:ascii="Times New Roman" w:hAnsi="Times New Roman"/>
          <w:bCs/>
          <w:sz w:val="32"/>
          <w:szCs w:val="28"/>
        </w:rPr>
      </w:pPr>
      <w:bookmarkStart w:id="1" w:name="_Hlk54274199"/>
      <w:r>
        <w:rPr>
          <w:rFonts w:ascii="Times New Roman" w:hAnsi="Times New Roman"/>
          <w:sz w:val="32"/>
        </w:rPr>
        <w:t>Verfasst von:</w:t>
      </w:r>
    </w:p>
    <w:p w14:paraId="2948EC12" w14:textId="77777777" w:rsidR="00D83E42" w:rsidRPr="003E5188" w:rsidRDefault="00D83E42" w:rsidP="00A257D5">
      <w:pPr>
        <w:spacing w:after="0"/>
        <w:rPr>
          <w:rFonts w:ascii="Times New Roman" w:hAnsi="Times New Roman"/>
          <w:bCs/>
          <w:i/>
          <w:sz w:val="28"/>
          <w:szCs w:val="28"/>
        </w:rPr>
      </w:pPr>
      <w:r>
        <w:rPr>
          <w:rFonts w:ascii="Times New Roman" w:hAnsi="Times New Roman"/>
          <w:i/>
          <w:sz w:val="28"/>
        </w:rPr>
        <w:t>Daniel Constantin Motoi</w:t>
      </w:r>
    </w:p>
    <w:p w14:paraId="6D95460E" w14:textId="77777777" w:rsidR="00D83E42" w:rsidRPr="003E5188" w:rsidRDefault="00D83E42" w:rsidP="00A257D5">
      <w:pPr>
        <w:spacing w:after="0"/>
        <w:rPr>
          <w:rFonts w:ascii="Times New Roman" w:hAnsi="Times New Roman"/>
          <w:bCs/>
          <w:i/>
          <w:sz w:val="28"/>
          <w:szCs w:val="28"/>
        </w:rPr>
      </w:pPr>
      <w:r>
        <w:rPr>
          <w:rFonts w:ascii="Times New Roman" w:hAnsi="Times New Roman"/>
          <w:i/>
          <w:sz w:val="28"/>
        </w:rPr>
        <w:t xml:space="preserve">Richter, </w:t>
      </w:r>
    </w:p>
    <w:p w14:paraId="12AD66EC" w14:textId="77777777" w:rsidR="00D83E42" w:rsidRPr="003E5188" w:rsidRDefault="00D83E42" w:rsidP="00A257D5">
      <w:pPr>
        <w:spacing w:after="0"/>
        <w:rPr>
          <w:rFonts w:ascii="Times New Roman" w:hAnsi="Times New Roman"/>
          <w:bCs/>
          <w:i/>
          <w:sz w:val="28"/>
          <w:szCs w:val="28"/>
        </w:rPr>
      </w:pPr>
      <w:r>
        <w:rPr>
          <w:rFonts w:ascii="Times New Roman" w:hAnsi="Times New Roman"/>
          <w:i/>
          <w:sz w:val="28"/>
        </w:rPr>
        <w:t>Gericht erster Instanz, 4. Bezirk, Bezirksgericht Bukarest, Bukarest</w:t>
      </w:r>
    </w:p>
    <w:p w14:paraId="21522B80" w14:textId="77777777" w:rsidR="00D83E42" w:rsidRPr="003E5188" w:rsidRDefault="00D83E42" w:rsidP="00A257D5">
      <w:pPr>
        <w:rPr>
          <w:rFonts w:ascii="Times New Roman" w:hAnsi="Times New Roman"/>
          <w:bCs/>
          <w:sz w:val="28"/>
          <w:szCs w:val="28"/>
          <w:lang w:val="en-GB"/>
        </w:rPr>
      </w:pPr>
    </w:p>
    <w:p w14:paraId="685B9714" w14:textId="77777777" w:rsidR="00D83E42" w:rsidRPr="003E5188" w:rsidRDefault="00D83E42" w:rsidP="00A257D5">
      <w:pPr>
        <w:pBdr>
          <w:top w:val="single" w:sz="4" w:space="1" w:color="auto"/>
          <w:left w:val="single" w:sz="4" w:space="4" w:color="auto"/>
          <w:bottom w:val="single" w:sz="4" w:space="1" w:color="auto"/>
          <w:right w:val="single" w:sz="4" w:space="4" w:color="auto"/>
        </w:pBdr>
        <w:spacing w:after="0" w:line="276" w:lineRule="auto"/>
        <w:jc w:val="center"/>
        <w:rPr>
          <w:rStyle w:val="Fett"/>
          <w:rFonts w:ascii="Times New Roman" w:hAnsi="Times New Roman"/>
          <w:i/>
          <w:color w:val="000000"/>
          <w:sz w:val="32"/>
          <w:szCs w:val="28"/>
        </w:rPr>
      </w:pPr>
      <w:r>
        <w:rPr>
          <w:rStyle w:val="Fett"/>
          <w:rFonts w:ascii="Times New Roman" w:hAnsi="Times New Roman"/>
          <w:i/>
          <w:color w:val="000000"/>
          <w:sz w:val="32"/>
        </w:rPr>
        <w:t>Inhaltsverzeichnis</w:t>
      </w:r>
    </w:p>
    <w:p w14:paraId="1CBFC258" w14:textId="77777777" w:rsidR="00D83E42" w:rsidRPr="003E5188" w:rsidRDefault="00D83E42" w:rsidP="00A257D5">
      <w:pPr>
        <w:pBdr>
          <w:top w:val="single" w:sz="4" w:space="1" w:color="auto"/>
          <w:left w:val="single" w:sz="4" w:space="4" w:color="auto"/>
          <w:bottom w:val="single" w:sz="4" w:space="1" w:color="auto"/>
          <w:right w:val="single" w:sz="4" w:space="4" w:color="auto"/>
        </w:pBdr>
        <w:spacing w:after="0" w:line="276" w:lineRule="auto"/>
        <w:rPr>
          <w:rStyle w:val="Fett"/>
          <w:rFonts w:ascii="Times New Roman" w:hAnsi="Times New Roman"/>
          <w:color w:val="000000"/>
          <w:sz w:val="28"/>
          <w:szCs w:val="28"/>
          <w:lang w:val="en-GB"/>
        </w:rPr>
      </w:pPr>
    </w:p>
    <w:p w14:paraId="038F68EA" w14:textId="77777777"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olor w:val="000000"/>
          <w:sz w:val="28"/>
          <w:szCs w:val="28"/>
        </w:rPr>
      </w:pPr>
      <w:r>
        <w:rPr>
          <w:rStyle w:val="Fett"/>
          <w:rFonts w:ascii="Times New Roman" w:hAnsi="Times New Roman"/>
          <w:color w:val="000000"/>
          <w:sz w:val="28"/>
        </w:rPr>
        <w:t xml:space="preserve">A. </w:t>
      </w:r>
      <w:r>
        <w:rPr>
          <w:rStyle w:val="Fett"/>
          <w:rFonts w:ascii="Times New Roman" w:hAnsi="Times New Roman"/>
          <w:color w:val="000000"/>
          <w:sz w:val="28"/>
        </w:rPr>
        <w:tab/>
        <w:t>Fallstudien</w:t>
      </w:r>
      <w:r>
        <w:rPr>
          <w:rStyle w:val="Fett"/>
          <w:rFonts w:ascii="Times New Roman" w:hAnsi="Times New Roman"/>
          <w:color w:val="000000"/>
          <w:sz w:val="28"/>
        </w:rPr>
        <w:tab/>
        <w:t>1</w:t>
      </w:r>
    </w:p>
    <w:p w14:paraId="2FB87C4D" w14:textId="77777777" w:rsidR="00D83E42" w:rsidRPr="00246DA4"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b w:val="0"/>
          <w:color w:val="000000"/>
          <w:sz w:val="28"/>
          <w:szCs w:val="28"/>
        </w:rPr>
      </w:pPr>
      <w:r>
        <w:rPr>
          <w:rStyle w:val="Fett"/>
          <w:rFonts w:ascii="Times New Roman" w:hAnsi="Times New Roman"/>
          <w:b w:val="0"/>
          <w:color w:val="000000"/>
          <w:sz w:val="28"/>
        </w:rPr>
        <w:t xml:space="preserve">I.  </w:t>
      </w:r>
      <w:r>
        <w:rPr>
          <w:rStyle w:val="Fett"/>
          <w:rFonts w:ascii="Times New Roman" w:hAnsi="Times New Roman"/>
          <w:b w:val="0"/>
          <w:color w:val="000000"/>
          <w:sz w:val="28"/>
        </w:rPr>
        <w:tab/>
        <w:t>Fallszenario 1; Fragen</w:t>
      </w:r>
      <w:r>
        <w:rPr>
          <w:rStyle w:val="Fett"/>
          <w:rFonts w:ascii="Times New Roman" w:hAnsi="Times New Roman"/>
          <w:b w:val="0"/>
          <w:color w:val="000000"/>
          <w:sz w:val="28"/>
        </w:rPr>
        <w:tab/>
        <w:t>1</w:t>
      </w:r>
    </w:p>
    <w:p w14:paraId="53855EA7" w14:textId="77777777" w:rsidR="00D83E42" w:rsidRPr="00246DA4"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b w:val="0"/>
          <w:color w:val="000000"/>
          <w:sz w:val="28"/>
          <w:szCs w:val="28"/>
        </w:rPr>
      </w:pPr>
      <w:r>
        <w:rPr>
          <w:rStyle w:val="Fett"/>
          <w:rFonts w:ascii="Times New Roman" w:hAnsi="Times New Roman"/>
          <w:b w:val="0"/>
          <w:color w:val="000000"/>
          <w:sz w:val="28"/>
        </w:rPr>
        <w:t xml:space="preserve">II. </w:t>
      </w:r>
      <w:r>
        <w:rPr>
          <w:rStyle w:val="Fett"/>
          <w:rFonts w:ascii="Times New Roman" w:hAnsi="Times New Roman"/>
          <w:b w:val="0"/>
          <w:color w:val="000000"/>
          <w:sz w:val="28"/>
        </w:rPr>
        <w:tab/>
        <w:t>Aufgaben</w:t>
      </w:r>
      <w:r>
        <w:rPr>
          <w:rStyle w:val="Fett"/>
          <w:rFonts w:ascii="Times New Roman" w:hAnsi="Times New Roman"/>
          <w:b w:val="0"/>
          <w:color w:val="000000"/>
          <w:sz w:val="28"/>
        </w:rPr>
        <w:tab/>
        <w:t>2</w:t>
      </w:r>
    </w:p>
    <w:p w14:paraId="3E8D0DDA" w14:textId="77777777"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b w:val="0"/>
          <w:color w:val="000000"/>
          <w:sz w:val="28"/>
          <w:szCs w:val="28"/>
        </w:rPr>
      </w:pPr>
      <w:r>
        <w:rPr>
          <w:rStyle w:val="Fett"/>
          <w:rFonts w:ascii="Times New Roman" w:hAnsi="Times New Roman"/>
          <w:b w:val="0"/>
          <w:color w:val="000000"/>
          <w:sz w:val="28"/>
        </w:rPr>
        <w:t xml:space="preserve">III. </w:t>
      </w:r>
      <w:r>
        <w:rPr>
          <w:rStyle w:val="Fett"/>
          <w:rFonts w:ascii="Times New Roman" w:hAnsi="Times New Roman"/>
          <w:b w:val="0"/>
          <w:color w:val="000000"/>
          <w:sz w:val="28"/>
        </w:rPr>
        <w:tab/>
        <w:t>Fallszenario 2; Fragen</w:t>
      </w:r>
      <w:r>
        <w:rPr>
          <w:rStyle w:val="Fett"/>
          <w:rFonts w:ascii="Times New Roman" w:hAnsi="Times New Roman"/>
          <w:b w:val="0"/>
          <w:color w:val="000000"/>
          <w:sz w:val="28"/>
        </w:rPr>
        <w:tab/>
        <w:t>3</w:t>
      </w:r>
    </w:p>
    <w:p w14:paraId="44592E39" w14:textId="77777777"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b w:val="0"/>
          <w:color w:val="000000"/>
          <w:sz w:val="28"/>
          <w:szCs w:val="28"/>
          <w:lang w:val="en-GB"/>
        </w:rPr>
      </w:pPr>
    </w:p>
    <w:p w14:paraId="2C4F2C3B" w14:textId="77777777"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olor w:val="000000"/>
          <w:sz w:val="28"/>
          <w:szCs w:val="28"/>
        </w:rPr>
      </w:pPr>
      <w:r>
        <w:rPr>
          <w:rStyle w:val="Fett"/>
          <w:rFonts w:ascii="Times New Roman" w:hAnsi="Times New Roman"/>
          <w:color w:val="000000"/>
          <w:sz w:val="28"/>
        </w:rPr>
        <w:t>B.</w:t>
      </w:r>
      <w:r>
        <w:rPr>
          <w:rStyle w:val="Fett"/>
          <w:rFonts w:ascii="Times New Roman" w:hAnsi="Times New Roman"/>
          <w:color w:val="000000"/>
          <w:sz w:val="28"/>
        </w:rPr>
        <w:tab/>
        <w:t>Zusätzliche Hinweise für die Schulungsleiter zu den Fällen</w:t>
      </w:r>
      <w:r>
        <w:rPr>
          <w:rStyle w:val="Fett"/>
          <w:rFonts w:ascii="Times New Roman" w:hAnsi="Times New Roman"/>
          <w:color w:val="000000"/>
          <w:sz w:val="28"/>
        </w:rPr>
        <w:tab/>
        <w:t>4</w:t>
      </w:r>
    </w:p>
    <w:p w14:paraId="7460A002" w14:textId="77777777"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b w:val="0"/>
          <w:color w:val="000000"/>
          <w:sz w:val="28"/>
          <w:szCs w:val="28"/>
          <w:lang w:val="en-GB"/>
        </w:rPr>
      </w:pPr>
    </w:p>
    <w:p w14:paraId="39E75EFE" w14:textId="77777777"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olor w:val="000000"/>
          <w:sz w:val="28"/>
          <w:szCs w:val="28"/>
        </w:rPr>
      </w:pPr>
      <w:r>
        <w:rPr>
          <w:rStyle w:val="Fett"/>
          <w:rFonts w:ascii="Times New Roman" w:hAnsi="Times New Roman"/>
          <w:color w:val="000000"/>
          <w:sz w:val="28"/>
        </w:rPr>
        <w:t>C.</w:t>
      </w:r>
      <w:r>
        <w:rPr>
          <w:rStyle w:val="Fett"/>
          <w:rFonts w:ascii="Times New Roman" w:hAnsi="Times New Roman"/>
          <w:color w:val="000000"/>
          <w:sz w:val="28"/>
        </w:rPr>
        <w:tab/>
        <w:t>Methodisches Konzept</w:t>
      </w:r>
      <w:r>
        <w:rPr>
          <w:rStyle w:val="Fett"/>
          <w:rFonts w:ascii="Times New Roman" w:hAnsi="Times New Roman"/>
          <w:color w:val="000000"/>
          <w:sz w:val="28"/>
        </w:rPr>
        <w:tab/>
        <w:t>5</w:t>
      </w:r>
    </w:p>
    <w:p w14:paraId="7C341042" w14:textId="77777777"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b w:val="0"/>
          <w:color w:val="000000"/>
          <w:sz w:val="28"/>
          <w:szCs w:val="28"/>
        </w:rPr>
      </w:pPr>
      <w:r>
        <w:rPr>
          <w:rStyle w:val="Fett"/>
          <w:rFonts w:ascii="Times New Roman" w:hAnsi="Times New Roman"/>
          <w:b w:val="0"/>
          <w:color w:val="000000"/>
          <w:sz w:val="28"/>
        </w:rPr>
        <w:t>I.</w:t>
      </w:r>
      <w:r>
        <w:rPr>
          <w:rStyle w:val="Fett"/>
          <w:rFonts w:ascii="Times New Roman" w:hAnsi="Times New Roman"/>
          <w:b w:val="0"/>
          <w:color w:val="000000"/>
          <w:sz w:val="28"/>
        </w:rPr>
        <w:tab/>
        <w:t>Grundidee und Kernthemen</w:t>
      </w:r>
      <w:r>
        <w:rPr>
          <w:rStyle w:val="Fett"/>
          <w:rFonts w:ascii="Times New Roman" w:hAnsi="Times New Roman"/>
          <w:b w:val="0"/>
          <w:color w:val="000000"/>
          <w:sz w:val="28"/>
        </w:rPr>
        <w:tab/>
        <w:t>5</w:t>
      </w:r>
    </w:p>
    <w:p w14:paraId="7460B9F2" w14:textId="77777777"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b w:val="0"/>
          <w:color w:val="000000"/>
          <w:sz w:val="28"/>
          <w:szCs w:val="28"/>
        </w:rPr>
      </w:pPr>
      <w:r>
        <w:rPr>
          <w:rStyle w:val="Fett"/>
          <w:rFonts w:ascii="Times New Roman" w:hAnsi="Times New Roman"/>
          <w:b w:val="0"/>
          <w:color w:val="000000"/>
          <w:sz w:val="28"/>
        </w:rPr>
        <w:t>II.</w:t>
      </w:r>
      <w:r>
        <w:rPr>
          <w:rStyle w:val="Fett"/>
          <w:rFonts w:ascii="Times New Roman" w:hAnsi="Times New Roman"/>
          <w:b w:val="0"/>
          <w:color w:val="000000"/>
          <w:sz w:val="28"/>
        </w:rPr>
        <w:tab/>
        <w:t>Arbeitsgruppen und Aufbau des Seminars</w:t>
      </w:r>
      <w:r>
        <w:rPr>
          <w:rStyle w:val="Fett"/>
          <w:rFonts w:ascii="Times New Roman" w:hAnsi="Times New Roman"/>
          <w:b w:val="0"/>
          <w:color w:val="000000"/>
          <w:sz w:val="28"/>
        </w:rPr>
        <w:tab/>
        <w:t>6</w:t>
      </w:r>
    </w:p>
    <w:p w14:paraId="3DCA706D" w14:textId="77777777"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b w:val="0"/>
          <w:color w:val="000000"/>
          <w:sz w:val="28"/>
          <w:szCs w:val="28"/>
        </w:rPr>
      </w:pPr>
      <w:r>
        <w:rPr>
          <w:rStyle w:val="Fett"/>
          <w:rFonts w:ascii="Times New Roman" w:hAnsi="Times New Roman"/>
          <w:b w:val="0"/>
          <w:color w:val="000000"/>
          <w:sz w:val="28"/>
        </w:rPr>
        <w:t>III.</w:t>
      </w:r>
      <w:r>
        <w:rPr>
          <w:rStyle w:val="Fett"/>
          <w:rFonts w:ascii="Times New Roman" w:hAnsi="Times New Roman"/>
          <w:b w:val="0"/>
          <w:color w:val="000000"/>
          <w:sz w:val="28"/>
        </w:rPr>
        <w:tab/>
        <w:t>Zusätzliches Material</w:t>
      </w:r>
      <w:r>
        <w:rPr>
          <w:rStyle w:val="Fett"/>
          <w:rFonts w:ascii="Times New Roman" w:hAnsi="Times New Roman"/>
          <w:b w:val="0"/>
          <w:color w:val="000000"/>
          <w:sz w:val="28"/>
        </w:rPr>
        <w:tab/>
        <w:t>6</w:t>
      </w:r>
    </w:p>
    <w:p w14:paraId="1A47D4A6" w14:textId="77777777"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b w:val="0"/>
          <w:color w:val="000000"/>
          <w:sz w:val="28"/>
          <w:szCs w:val="28"/>
          <w:lang w:val="en-GB"/>
        </w:rPr>
      </w:pPr>
    </w:p>
    <w:p w14:paraId="50B5AFFB" w14:textId="77777777" w:rsidR="00D83E42"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olor w:val="000000"/>
          <w:sz w:val="28"/>
          <w:szCs w:val="28"/>
        </w:rPr>
      </w:pPr>
      <w:r>
        <w:rPr>
          <w:rStyle w:val="Fett"/>
          <w:rFonts w:ascii="Times New Roman" w:hAnsi="Times New Roman"/>
          <w:color w:val="000000"/>
          <w:sz w:val="28"/>
        </w:rPr>
        <w:t xml:space="preserve">D. </w:t>
      </w:r>
      <w:r>
        <w:rPr>
          <w:rStyle w:val="Fett"/>
          <w:rFonts w:ascii="Times New Roman" w:hAnsi="Times New Roman"/>
          <w:color w:val="000000"/>
          <w:sz w:val="28"/>
        </w:rPr>
        <w:tab/>
        <w:t>Lösungen</w:t>
      </w:r>
      <w:r>
        <w:rPr>
          <w:rStyle w:val="Fett"/>
          <w:rFonts w:ascii="Times New Roman" w:hAnsi="Times New Roman"/>
          <w:color w:val="000000"/>
          <w:sz w:val="28"/>
        </w:rPr>
        <w:tab/>
        <w:t>7</w:t>
      </w:r>
    </w:p>
    <w:p w14:paraId="652D1B8E" w14:textId="77777777" w:rsidR="00761F27" w:rsidRDefault="00761F27"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olor w:val="000000"/>
          <w:sz w:val="28"/>
          <w:szCs w:val="28"/>
          <w:lang w:val="en-GB"/>
        </w:rPr>
      </w:pPr>
    </w:p>
    <w:p w14:paraId="0E86FB98" w14:textId="77777777" w:rsidR="00761F27" w:rsidRPr="003E5188" w:rsidRDefault="00761F27"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hAnsi="Times New Roman"/>
          <w:b/>
          <w:bCs/>
          <w:color w:val="000000"/>
          <w:sz w:val="28"/>
          <w:szCs w:val="28"/>
        </w:rPr>
      </w:pPr>
      <w:r>
        <w:rPr>
          <w:rStyle w:val="Fett"/>
          <w:rFonts w:ascii="Times New Roman" w:hAnsi="Times New Roman"/>
          <w:color w:val="000000"/>
          <w:sz w:val="28"/>
        </w:rPr>
        <w:tab/>
        <w:t>Anhang</w:t>
      </w:r>
      <w:r>
        <w:rPr>
          <w:rStyle w:val="Fett"/>
          <w:rFonts w:ascii="Times New Roman" w:hAnsi="Times New Roman"/>
          <w:color w:val="000000"/>
          <w:sz w:val="28"/>
        </w:rPr>
        <w:tab/>
        <w:t>27</w:t>
      </w:r>
    </w:p>
    <w:bookmarkEnd w:id="1"/>
    <w:p w14:paraId="6B6EA3FF" w14:textId="77777777" w:rsidR="006856B3" w:rsidRPr="003E5188" w:rsidRDefault="00D83E42" w:rsidP="00A257D5">
      <w:pPr>
        <w:suppressAutoHyphens w:val="0"/>
        <w:autoSpaceDN/>
        <w:textAlignment w:val="auto"/>
        <w:rPr>
          <w:rFonts w:ascii="Times New Roman" w:hAnsi="Times New Roman"/>
          <w:b/>
          <w:bCs/>
          <w:sz w:val="28"/>
          <w:szCs w:val="28"/>
        </w:rPr>
      </w:pPr>
      <w:r>
        <w:br w:type="page"/>
      </w:r>
    </w:p>
    <w:p w14:paraId="0E966D2B" w14:textId="77777777" w:rsidR="00D83E42" w:rsidRPr="003E5188" w:rsidRDefault="00D83E42" w:rsidP="00A257D5">
      <w:pPr>
        <w:pStyle w:val="Test"/>
        <w:shd w:val="clear" w:color="auto" w:fill="DED888"/>
        <w:spacing w:after="160"/>
        <w:jc w:val="center"/>
        <w:rPr>
          <w:rStyle w:val="Fett"/>
          <w:rFonts w:ascii="Times New Roman" w:hAnsi="Times New Roman"/>
          <w:b/>
          <w:bCs w:val="0"/>
          <w:color w:val="2F5496" w:themeColor="accent1" w:themeShade="BF"/>
          <w:sz w:val="32"/>
          <w:szCs w:val="32"/>
        </w:rPr>
      </w:pPr>
      <w:r>
        <w:rPr>
          <w:rStyle w:val="Fett"/>
          <w:rFonts w:ascii="Times New Roman" w:hAnsi="Times New Roman"/>
          <w:b/>
          <w:color w:val="2F5496" w:themeColor="accent1" w:themeShade="BF"/>
          <w:sz w:val="32"/>
        </w:rPr>
        <w:lastRenderedPageBreak/>
        <w:t>Gegenseitige Anerkennung III.</w:t>
      </w:r>
    </w:p>
    <w:p w14:paraId="3BE6C417" w14:textId="77777777" w:rsidR="00D83E42" w:rsidRPr="007A6D31" w:rsidRDefault="00D83E42" w:rsidP="007A6D31">
      <w:pPr>
        <w:spacing w:after="0"/>
        <w:jc w:val="both"/>
        <w:rPr>
          <w:rFonts w:ascii="Times New Roman" w:hAnsi="Times New Roman"/>
          <w:b/>
          <w:bCs/>
          <w:sz w:val="14"/>
          <w:szCs w:val="14"/>
          <w:lang w:val="en-GB"/>
        </w:rPr>
      </w:pPr>
    </w:p>
    <w:p w14:paraId="1EFD8C69" w14:textId="77777777" w:rsidR="006856B3" w:rsidRPr="003E5188" w:rsidRDefault="00246D57" w:rsidP="00A257D5">
      <w:pPr>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t>A. I.  Fallszenario 1:</w:t>
      </w:r>
    </w:p>
    <w:p w14:paraId="00005AC3" w14:textId="77777777" w:rsidR="006856B3" w:rsidRPr="003E5188" w:rsidRDefault="00246D57"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rPr>
      </w:pPr>
      <w:r>
        <w:rPr>
          <w:rFonts w:ascii="Times New Roman" w:hAnsi="Times New Roman"/>
          <w:sz w:val="28"/>
        </w:rPr>
        <w:t>Der deutsche Staatsbürger M.H. (geboren am 23.5.1970) wurde durch das Bezirksgericht Bukarest, Rumänien, wegen Computerkriminalität zu 2 Jahren Haft verurteilt. Für die verhängte Sanktion wurde für einen Zeitraum von 4 Jahren zur Bewährung ausgesetzt. Während der Bewährungszeit hat der deutsche Staatsbürger folgende Auflagen zu erfüllen: Verpflichtung der verurteilten Person, einer bestimmten Behörde jeden Wohnsitzwechsel oder Arbeitsplatzwechsel mitzuteilen, Verpflichtung, eine gemeinnützige Leistung zu erbringen und Verpflichtung, mit einem Bewährungshelfer oder einem Vertreter eines Sozialdienstes zusammenzuarbeiten, der für verurteilte Personen zuständig ist.</w:t>
      </w:r>
    </w:p>
    <w:p w14:paraId="28A68A50" w14:textId="77777777" w:rsidR="006856B3" w:rsidRPr="003E5188" w:rsidRDefault="00246D57"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rPr>
      </w:pPr>
      <w:r>
        <w:rPr>
          <w:rFonts w:ascii="Times New Roman" w:hAnsi="Times New Roman"/>
          <w:sz w:val="28"/>
        </w:rPr>
        <w:t>Nachdem die Entscheidung rechtskräftig wurde, möchte der deutsche Staatsbürger in sein Land zurückkehren, in dem er seinen rechtmäßigen und gewöhnlichen Aufenthalt hat (Hamburg, Deutschland). Er beantragte bei der Bukarester Bewährungshilfe, in Deutschland überwacht zu werden, wo sich seine Familie befindet und wo er derzeit beschäftigt ist.</w:t>
      </w:r>
    </w:p>
    <w:p w14:paraId="1814DDA2" w14:textId="77777777" w:rsidR="006856B3" w:rsidRPr="007A6D31" w:rsidRDefault="006856B3" w:rsidP="007A6D31">
      <w:pPr>
        <w:spacing w:after="0"/>
        <w:jc w:val="both"/>
        <w:rPr>
          <w:rFonts w:ascii="Times New Roman" w:hAnsi="Times New Roman"/>
          <w:sz w:val="20"/>
          <w:szCs w:val="20"/>
          <w:lang w:val="en-GB"/>
        </w:rPr>
      </w:pPr>
    </w:p>
    <w:p w14:paraId="73874473" w14:textId="77777777" w:rsidR="006856B3" w:rsidRPr="003E5188" w:rsidRDefault="00246D57" w:rsidP="00A257D5">
      <w:pPr>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t>Fragen:</w:t>
      </w:r>
    </w:p>
    <w:p w14:paraId="2759DD40" w14:textId="77777777" w:rsidR="006856B3" w:rsidRPr="003E5188" w:rsidRDefault="00246D57" w:rsidP="00A257D5">
      <w:pPr>
        <w:pStyle w:val="Listenabsatz"/>
        <w:numPr>
          <w:ilvl w:val="0"/>
          <w:numId w:val="2"/>
        </w:numPr>
        <w:jc w:val="both"/>
        <w:rPr>
          <w:rFonts w:ascii="Times New Roman" w:hAnsi="Times New Roman"/>
          <w:i/>
          <w:sz w:val="28"/>
          <w:szCs w:val="28"/>
        </w:rPr>
      </w:pPr>
      <w:r>
        <w:rPr>
          <w:rFonts w:ascii="Times New Roman" w:hAnsi="Times New Roman"/>
          <w:i/>
          <w:sz w:val="28"/>
        </w:rPr>
        <w:t>Können die rumänischen Behörden um die Übertragung der Überwachung der Bewährungsauflagen der verurteilten Person auf die zuständigen deutschen Behörden ersuchen? Welches Rechtsinstrument ist in diesem Fall anwendbar?</w:t>
      </w:r>
    </w:p>
    <w:p w14:paraId="3D89A243" w14:textId="77777777" w:rsidR="006856B3" w:rsidRPr="003E5188" w:rsidRDefault="00246D57" w:rsidP="00A257D5">
      <w:pPr>
        <w:pStyle w:val="Listenabsatz"/>
        <w:numPr>
          <w:ilvl w:val="0"/>
          <w:numId w:val="2"/>
        </w:numPr>
        <w:jc w:val="both"/>
        <w:rPr>
          <w:rFonts w:ascii="Times New Roman" w:hAnsi="Times New Roman"/>
          <w:i/>
          <w:sz w:val="28"/>
          <w:szCs w:val="28"/>
        </w:rPr>
      </w:pPr>
      <w:r>
        <w:rPr>
          <w:rFonts w:ascii="Times New Roman" w:hAnsi="Times New Roman"/>
          <w:i/>
          <w:sz w:val="28"/>
        </w:rPr>
        <w:t>Welche Kriterien gelten für die Weiterleitung des Urteils an einen anderen Mitgliedstaat? Ist der deutsche Staatsbürger berechtigt, eine solche Übertragung der Überwachung zu beantragen? Ist seine Zustimmung in dieser Phase erforderlich?</w:t>
      </w:r>
    </w:p>
    <w:p w14:paraId="6422BF27" w14:textId="77777777" w:rsidR="006856B3" w:rsidRPr="003E5188" w:rsidRDefault="00246D57" w:rsidP="00A257D5">
      <w:pPr>
        <w:pStyle w:val="Listenabsatz"/>
        <w:numPr>
          <w:ilvl w:val="0"/>
          <w:numId w:val="2"/>
        </w:numPr>
        <w:jc w:val="both"/>
        <w:rPr>
          <w:rFonts w:ascii="Times New Roman" w:hAnsi="Times New Roman"/>
          <w:i/>
          <w:sz w:val="28"/>
          <w:szCs w:val="28"/>
        </w:rPr>
      </w:pPr>
      <w:r>
        <w:rPr>
          <w:rFonts w:ascii="Times New Roman" w:hAnsi="Times New Roman"/>
          <w:i/>
          <w:sz w:val="28"/>
        </w:rPr>
        <w:t>Finden Sie die zuständigen Behörden, die an der möglichen Überstellung der verurteilten Person beteiligt sind (die zuständigen rumänischen und deutschen Behörden).</w:t>
      </w:r>
    </w:p>
    <w:p w14:paraId="240C1AB4" w14:textId="77777777" w:rsidR="006856B3" w:rsidRPr="003E5188" w:rsidRDefault="00246D57" w:rsidP="00A257D5">
      <w:pPr>
        <w:pStyle w:val="Listenabsatz"/>
        <w:numPr>
          <w:ilvl w:val="0"/>
          <w:numId w:val="2"/>
        </w:numPr>
        <w:jc w:val="both"/>
        <w:rPr>
          <w:rFonts w:ascii="Times New Roman" w:hAnsi="Times New Roman"/>
          <w:i/>
          <w:sz w:val="28"/>
          <w:szCs w:val="28"/>
        </w:rPr>
      </w:pPr>
      <w:r>
        <w:rPr>
          <w:rFonts w:ascii="Times New Roman" w:hAnsi="Times New Roman"/>
          <w:i/>
          <w:sz w:val="28"/>
        </w:rPr>
        <w:t>Wie werden die zuständige Ausstellungsbehörde und die zuständige Vollstreckungsbehörde in diesem Fall vorgehen?</w:t>
      </w:r>
    </w:p>
    <w:p w14:paraId="7F693591" w14:textId="77777777" w:rsidR="006856B3" w:rsidRPr="003E5188" w:rsidRDefault="00246D57" w:rsidP="00A257D5">
      <w:pPr>
        <w:pStyle w:val="Listenabsatz"/>
        <w:numPr>
          <w:ilvl w:val="0"/>
          <w:numId w:val="2"/>
        </w:numPr>
        <w:jc w:val="both"/>
        <w:rPr>
          <w:rFonts w:ascii="Times New Roman" w:hAnsi="Times New Roman"/>
          <w:i/>
          <w:sz w:val="28"/>
          <w:szCs w:val="28"/>
        </w:rPr>
      </w:pPr>
      <w:r>
        <w:rPr>
          <w:rFonts w:ascii="Times New Roman" w:hAnsi="Times New Roman"/>
          <w:i/>
          <w:sz w:val="28"/>
        </w:rPr>
        <w:t>Vor welchen Herausforderungen steht die zuständige Ausstellungsbehörde möglicherweise, wenn sie um die Übertragung der Überwachung ersucht, und wie können diese bewältigt werden?</w:t>
      </w:r>
    </w:p>
    <w:p w14:paraId="0238F523" w14:textId="00FC4C31" w:rsidR="006856B3" w:rsidRPr="003E5188" w:rsidRDefault="00246D57" w:rsidP="00A257D5">
      <w:pPr>
        <w:pStyle w:val="Listenabsatz"/>
        <w:numPr>
          <w:ilvl w:val="0"/>
          <w:numId w:val="2"/>
        </w:numPr>
        <w:jc w:val="both"/>
        <w:rPr>
          <w:rFonts w:ascii="Times New Roman" w:hAnsi="Times New Roman"/>
          <w:i/>
          <w:sz w:val="28"/>
          <w:szCs w:val="28"/>
        </w:rPr>
      </w:pPr>
      <w:r>
        <w:rPr>
          <w:rFonts w:ascii="Times New Roman" w:hAnsi="Times New Roman"/>
          <w:i/>
          <w:sz w:val="28"/>
        </w:rPr>
        <w:lastRenderedPageBreak/>
        <w:t>Vor welchen Herausforderungen steht die zuständige Vollstreckung</w:t>
      </w:r>
      <w:r w:rsidR="007A6D31">
        <w:rPr>
          <w:rFonts w:ascii="Times New Roman" w:hAnsi="Times New Roman"/>
          <w:i/>
          <w:sz w:val="28"/>
        </w:rPr>
        <w:softHyphen/>
      </w:r>
      <w:r>
        <w:rPr>
          <w:rFonts w:ascii="Times New Roman" w:hAnsi="Times New Roman"/>
          <w:i/>
          <w:sz w:val="28"/>
        </w:rPr>
        <w:t>sbehörde möglicherweise während des Anerkennungsprozesses, und wie können diese bewältigt werden?</w:t>
      </w:r>
    </w:p>
    <w:p w14:paraId="5E21041F" w14:textId="77777777" w:rsidR="006856B3" w:rsidRPr="003E5188" w:rsidRDefault="00246D57" w:rsidP="00A257D5">
      <w:pPr>
        <w:pStyle w:val="Listenabsatz"/>
        <w:numPr>
          <w:ilvl w:val="0"/>
          <w:numId w:val="2"/>
        </w:numPr>
        <w:jc w:val="both"/>
        <w:rPr>
          <w:rFonts w:ascii="Times New Roman" w:hAnsi="Times New Roman"/>
          <w:i/>
          <w:sz w:val="28"/>
          <w:szCs w:val="28"/>
        </w:rPr>
      </w:pPr>
      <w:r>
        <w:rPr>
          <w:rFonts w:ascii="Times New Roman" w:hAnsi="Times New Roman"/>
          <w:i/>
          <w:sz w:val="28"/>
        </w:rPr>
        <w:t xml:space="preserve">Welche Vorteile hat es in diesem Fall, wenn die deutschen zuständigen Behörden einer solchen Übertragung der Überwachung zustimmen? </w:t>
      </w:r>
    </w:p>
    <w:p w14:paraId="264F81D5" w14:textId="77777777" w:rsidR="007A6D31" w:rsidRDefault="007A6D31" w:rsidP="00A257D5">
      <w:pPr>
        <w:jc w:val="both"/>
        <w:rPr>
          <w:rFonts w:ascii="Times New Roman" w:hAnsi="Times New Roman"/>
          <w:b/>
          <w:color w:val="2F5496" w:themeColor="accent1" w:themeShade="BF"/>
          <w:sz w:val="28"/>
        </w:rPr>
      </w:pPr>
    </w:p>
    <w:p w14:paraId="33A81340" w14:textId="6A0393F1" w:rsidR="006856B3" w:rsidRPr="003E5188" w:rsidRDefault="00F2265A" w:rsidP="00A257D5">
      <w:pPr>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t>A. II. Aufgaben:</w:t>
      </w:r>
    </w:p>
    <w:p w14:paraId="51F73DA3" w14:textId="77777777" w:rsidR="006856B3" w:rsidRPr="003E5188" w:rsidRDefault="00246D57" w:rsidP="00A257D5">
      <w:pPr>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t>Finden Sie die folgenden zuständigen Vollstreckungsbehörden und die Sprachen, die in der Bescheinigung zu verwenden sind (allgemeine Strafsachen):</w:t>
      </w:r>
    </w:p>
    <w:p w14:paraId="150489AF" w14:textId="77777777" w:rsidR="006856B3" w:rsidRPr="003E5188" w:rsidRDefault="006856B3" w:rsidP="00A257D5">
      <w:pPr>
        <w:jc w:val="both"/>
        <w:rPr>
          <w:rFonts w:ascii="Times New Roman" w:hAnsi="Times New Roman"/>
          <w:sz w:val="28"/>
          <w:szCs w:val="28"/>
          <w:lang w:val="en-GB"/>
        </w:rPr>
      </w:pPr>
    </w:p>
    <w:p w14:paraId="6A22AE87" w14:textId="77777777" w:rsidR="006856B3"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rPr>
      </w:pPr>
      <w:r>
        <w:rPr>
          <w:rFonts w:ascii="Times New Roman" w:hAnsi="Times New Roman"/>
          <w:sz w:val="28"/>
        </w:rPr>
        <w:t>1. Eine deutsche zuständige Behörde möchte die Überwachung der verurteilten Person A.N. übertragen, die ihren rechtmäßigen und gewöhnlichen Aufenthalt in Brüssel, Belgien, hat.</w:t>
      </w:r>
    </w:p>
    <w:p w14:paraId="4F8E5479" w14:textId="77777777" w:rsidR="00F2265A"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Pr>
          <w:rFonts w:ascii="Times New Roman" w:hAnsi="Times New Roman"/>
          <w:i/>
          <w:sz w:val="28"/>
        </w:rPr>
        <w:t>Zuständige Behörde:</w:t>
      </w:r>
    </w:p>
    <w:p w14:paraId="224B8139" w14:textId="77777777" w:rsidR="00F2265A"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Pr>
          <w:rFonts w:ascii="Times New Roman" w:hAnsi="Times New Roman"/>
          <w:i/>
          <w:sz w:val="28"/>
        </w:rPr>
        <w:t>Sprache:</w:t>
      </w:r>
    </w:p>
    <w:p w14:paraId="45A92453" w14:textId="77777777" w:rsidR="00F2265A" w:rsidRPr="003E5188" w:rsidRDefault="00F2265A" w:rsidP="00A257D5">
      <w:pPr>
        <w:jc w:val="both"/>
        <w:rPr>
          <w:rFonts w:ascii="Times New Roman" w:hAnsi="Times New Roman"/>
          <w:sz w:val="28"/>
          <w:szCs w:val="28"/>
          <w:lang w:val="en-GB"/>
        </w:rPr>
      </w:pPr>
    </w:p>
    <w:p w14:paraId="04E35BF9" w14:textId="77777777" w:rsidR="006856B3"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rPr>
      </w:pPr>
      <w:r>
        <w:rPr>
          <w:rFonts w:ascii="Times New Roman" w:hAnsi="Times New Roman"/>
          <w:sz w:val="28"/>
        </w:rPr>
        <w:t>2.  Eine französische zuständige Behörde möchte die Überwachung der verurteilten Person B.C. übertragen, die ihren rechtmäßigen und gewöhnlichen Aufenthalt in Vigo, Spanien, hat.</w:t>
      </w:r>
    </w:p>
    <w:p w14:paraId="214C0E70" w14:textId="77777777" w:rsidR="00F2265A"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Pr>
          <w:rFonts w:ascii="Times New Roman" w:hAnsi="Times New Roman"/>
          <w:i/>
          <w:sz w:val="28"/>
        </w:rPr>
        <w:t>Zuständige Behörde:</w:t>
      </w:r>
    </w:p>
    <w:p w14:paraId="7DD2B441" w14:textId="77777777" w:rsidR="00F2265A"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Pr>
          <w:rFonts w:ascii="Times New Roman" w:hAnsi="Times New Roman"/>
          <w:i/>
          <w:sz w:val="28"/>
        </w:rPr>
        <w:t>Sprache:</w:t>
      </w:r>
    </w:p>
    <w:p w14:paraId="175A0C17" w14:textId="77777777" w:rsidR="00F2265A" w:rsidRPr="003E5188" w:rsidRDefault="00F2265A" w:rsidP="00A257D5">
      <w:pPr>
        <w:jc w:val="both"/>
        <w:rPr>
          <w:rFonts w:ascii="Times New Roman" w:hAnsi="Times New Roman"/>
          <w:sz w:val="28"/>
          <w:szCs w:val="28"/>
          <w:lang w:val="en-GB"/>
        </w:rPr>
      </w:pPr>
    </w:p>
    <w:p w14:paraId="748E862D" w14:textId="77777777" w:rsidR="006856B3"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rPr>
      </w:pPr>
      <w:r>
        <w:rPr>
          <w:rFonts w:ascii="Times New Roman" w:hAnsi="Times New Roman"/>
          <w:sz w:val="28"/>
        </w:rPr>
        <w:t>3. Eine spanische zuständige Behörde möchte die Überwachung der verurteilten Person M.M. übertragen, die ihren rechtmäßigen und gewöhnlichen Aufenthalt in Wien, Österreich, hat.</w:t>
      </w:r>
    </w:p>
    <w:p w14:paraId="1ABE528D" w14:textId="77777777" w:rsidR="00F2265A"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Pr>
          <w:rFonts w:ascii="Times New Roman" w:hAnsi="Times New Roman"/>
          <w:i/>
          <w:sz w:val="28"/>
        </w:rPr>
        <w:t>Zuständige Behörde:</w:t>
      </w:r>
    </w:p>
    <w:p w14:paraId="1271BBC6" w14:textId="77777777" w:rsidR="00F2265A"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Pr>
          <w:rFonts w:ascii="Times New Roman" w:hAnsi="Times New Roman"/>
          <w:i/>
          <w:sz w:val="28"/>
        </w:rPr>
        <w:t>Sprache:</w:t>
      </w:r>
    </w:p>
    <w:p w14:paraId="303D5886" w14:textId="77777777" w:rsidR="006856B3" w:rsidRPr="003E5188" w:rsidRDefault="00A257D5" w:rsidP="00A257D5">
      <w:pPr>
        <w:suppressAutoHyphens w:val="0"/>
        <w:autoSpaceDN/>
        <w:spacing w:after="0"/>
        <w:textAlignment w:val="auto"/>
        <w:rPr>
          <w:rFonts w:ascii="Times New Roman" w:hAnsi="Times New Roman"/>
          <w:i/>
          <w:iCs/>
          <w:sz w:val="28"/>
          <w:szCs w:val="28"/>
        </w:rPr>
      </w:pPr>
      <w:r>
        <w:br w:type="page"/>
      </w:r>
    </w:p>
    <w:p w14:paraId="3C79CBFF" w14:textId="77777777" w:rsidR="006856B3" w:rsidRPr="003E5188" w:rsidRDefault="00246D57" w:rsidP="00A257D5">
      <w:pPr>
        <w:pStyle w:val="Listenabsatz"/>
        <w:numPr>
          <w:ilvl w:val="0"/>
          <w:numId w:val="4"/>
        </w:numPr>
        <w:ind w:left="0" w:firstLine="0"/>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lastRenderedPageBreak/>
        <w:t>III. Fallszenario 2 (Fortsetzung von Fallszenario 1):</w:t>
      </w:r>
    </w:p>
    <w:p w14:paraId="2793BBC5" w14:textId="77777777" w:rsidR="006856B3" w:rsidRPr="003E5188" w:rsidRDefault="00246D57"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rPr>
      </w:pPr>
      <w:r>
        <w:rPr>
          <w:rFonts w:ascii="Times New Roman" w:hAnsi="Times New Roman"/>
          <w:sz w:val="28"/>
        </w:rPr>
        <w:t>Angenommen, die zuständigen deutschen Behörden haben der Übertragung der Überwachung der Bewährungsstrafe (aus Fallszenario 1) zugestimmt und die Überwachung hat am 1.1.2020 begonnen. Der deutsche Staatsbürger hat während des Überwachungszeitraums gegen eine der Auflagen verstoßen. Nun müssen die deutschen Behörden entscheiden, wie sie weiter vorgehen wollen.</w:t>
      </w:r>
    </w:p>
    <w:p w14:paraId="69974F01" w14:textId="77777777" w:rsidR="006856B3" w:rsidRPr="003E5188" w:rsidRDefault="006856B3" w:rsidP="00A257D5">
      <w:pPr>
        <w:jc w:val="both"/>
        <w:rPr>
          <w:rFonts w:ascii="Times New Roman" w:hAnsi="Times New Roman"/>
          <w:sz w:val="28"/>
          <w:szCs w:val="28"/>
          <w:lang w:val="en-GB"/>
        </w:rPr>
      </w:pPr>
    </w:p>
    <w:p w14:paraId="6CBEBC6B" w14:textId="77777777" w:rsidR="006856B3" w:rsidRPr="003E5188" w:rsidRDefault="00246D57" w:rsidP="00A257D5">
      <w:pPr>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t>Fragen:</w:t>
      </w:r>
    </w:p>
    <w:p w14:paraId="6C4F33A7" w14:textId="77777777" w:rsidR="006856B3" w:rsidRPr="003E5188" w:rsidRDefault="00246D57" w:rsidP="00A257D5">
      <w:pPr>
        <w:pStyle w:val="Listenabsatz"/>
        <w:numPr>
          <w:ilvl w:val="0"/>
          <w:numId w:val="5"/>
        </w:numPr>
        <w:jc w:val="both"/>
        <w:rPr>
          <w:rFonts w:ascii="Times New Roman" w:hAnsi="Times New Roman"/>
          <w:i/>
          <w:sz w:val="28"/>
          <w:szCs w:val="28"/>
        </w:rPr>
      </w:pPr>
      <w:r>
        <w:rPr>
          <w:rFonts w:ascii="Times New Roman" w:hAnsi="Times New Roman"/>
          <w:i/>
          <w:sz w:val="28"/>
        </w:rPr>
        <w:t xml:space="preserve">Welches Recht gilt während des Überwachungszeitraums? </w:t>
      </w:r>
    </w:p>
    <w:p w14:paraId="357D8554" w14:textId="77777777" w:rsidR="006856B3" w:rsidRPr="003E5188" w:rsidRDefault="00246D57" w:rsidP="00A257D5">
      <w:pPr>
        <w:pStyle w:val="Listenabsatz"/>
        <w:numPr>
          <w:ilvl w:val="0"/>
          <w:numId w:val="5"/>
        </w:numPr>
        <w:jc w:val="both"/>
        <w:rPr>
          <w:rFonts w:ascii="Times New Roman" w:hAnsi="Times New Roman"/>
          <w:i/>
          <w:sz w:val="28"/>
          <w:szCs w:val="28"/>
        </w:rPr>
      </w:pPr>
      <w:r>
        <w:rPr>
          <w:rFonts w:ascii="Times New Roman" w:hAnsi="Times New Roman"/>
          <w:i/>
          <w:sz w:val="28"/>
        </w:rPr>
        <w:t xml:space="preserve">Wie werden die deutschen Behörden bei der Verletzung einer der Auflagen durch die verurteilte Person vorgehen? </w:t>
      </w:r>
    </w:p>
    <w:p w14:paraId="2B70C481" w14:textId="77777777" w:rsidR="006856B3" w:rsidRPr="003E5188" w:rsidRDefault="00246D57" w:rsidP="00A257D5">
      <w:pPr>
        <w:pStyle w:val="Listenabsatz"/>
        <w:numPr>
          <w:ilvl w:val="0"/>
          <w:numId w:val="5"/>
        </w:numPr>
        <w:jc w:val="both"/>
        <w:rPr>
          <w:rFonts w:ascii="Times New Roman" w:hAnsi="Times New Roman"/>
          <w:i/>
          <w:sz w:val="28"/>
          <w:szCs w:val="28"/>
        </w:rPr>
      </w:pPr>
      <w:r>
        <w:rPr>
          <w:rFonts w:ascii="Times New Roman" w:hAnsi="Times New Roman"/>
          <w:i/>
          <w:sz w:val="28"/>
        </w:rPr>
        <w:t xml:space="preserve">Was geschieht, wenn gegen die verurteilte Person ein neues Strafverfahren im Ausstellungsmitgliedstaat eingeleitet wird? </w:t>
      </w:r>
    </w:p>
    <w:p w14:paraId="202F4C4D" w14:textId="77777777" w:rsidR="006856B3" w:rsidRPr="003E5188" w:rsidRDefault="00246D57" w:rsidP="00A257D5">
      <w:pPr>
        <w:pStyle w:val="Listenabsatz"/>
        <w:numPr>
          <w:ilvl w:val="0"/>
          <w:numId w:val="5"/>
        </w:numPr>
        <w:jc w:val="both"/>
        <w:rPr>
          <w:rFonts w:ascii="Times New Roman" w:hAnsi="Times New Roman"/>
          <w:i/>
          <w:sz w:val="28"/>
          <w:szCs w:val="28"/>
        </w:rPr>
      </w:pPr>
      <w:r>
        <w:rPr>
          <w:rFonts w:ascii="Times New Roman" w:hAnsi="Times New Roman"/>
          <w:i/>
          <w:sz w:val="28"/>
        </w:rPr>
        <w:t>Was geschieht, wenn die verurteilte Person flüchtet oder keinen rechtmäßigen und gewöhnlichen Aufenthalt mehr im Vollstreckungsstaat hat?</w:t>
      </w:r>
    </w:p>
    <w:p w14:paraId="518EEBBB" w14:textId="77777777" w:rsidR="00F2265A" w:rsidRPr="003E5188" w:rsidRDefault="00F2265A" w:rsidP="00A257D5">
      <w:pPr>
        <w:suppressAutoHyphens w:val="0"/>
        <w:autoSpaceDN/>
        <w:textAlignment w:val="auto"/>
        <w:rPr>
          <w:rFonts w:ascii="Times New Roman" w:hAnsi="Times New Roman"/>
          <w:sz w:val="28"/>
          <w:szCs w:val="28"/>
        </w:rPr>
      </w:pPr>
      <w:r>
        <w:br w:type="page"/>
      </w:r>
    </w:p>
    <w:p w14:paraId="72F642E4" w14:textId="13F9ACBC" w:rsidR="006856B3" w:rsidRPr="003E5188" w:rsidRDefault="00F2265A" w:rsidP="00A257D5">
      <w:pPr>
        <w:pStyle w:val="Test"/>
        <w:shd w:val="clear" w:color="auto" w:fill="DED888"/>
        <w:spacing w:after="160"/>
        <w:jc w:val="center"/>
        <w:rPr>
          <w:rStyle w:val="Fett"/>
          <w:rFonts w:ascii="Times New Roman" w:hAnsi="Times New Roman"/>
          <w:b/>
          <w:color w:val="2F5496" w:themeColor="accent1" w:themeShade="BF"/>
          <w:sz w:val="32"/>
          <w:szCs w:val="32"/>
        </w:rPr>
      </w:pPr>
      <w:r>
        <w:rPr>
          <w:rStyle w:val="Fett"/>
          <w:rFonts w:ascii="Times New Roman" w:hAnsi="Times New Roman"/>
          <w:b/>
          <w:color w:val="2F5496" w:themeColor="accent1" w:themeShade="BF"/>
          <w:sz w:val="32"/>
        </w:rPr>
        <w:lastRenderedPageBreak/>
        <w:t>Teil B.</w:t>
      </w:r>
      <w:r>
        <w:rPr>
          <w:rStyle w:val="Fett"/>
          <w:rFonts w:ascii="Times New Roman" w:hAnsi="Times New Roman"/>
          <w:b/>
          <w:color w:val="2F5496" w:themeColor="accent1" w:themeShade="BF"/>
          <w:sz w:val="32"/>
        </w:rPr>
        <w:tab/>
        <w:t xml:space="preserve">Zusätzliche Hinweise für die Schulungsleiter zu den </w:t>
      </w:r>
      <w:r w:rsidR="007A6D31">
        <w:rPr>
          <w:rStyle w:val="Fett"/>
          <w:rFonts w:ascii="Times New Roman" w:hAnsi="Times New Roman"/>
          <w:b/>
          <w:color w:val="2F5496" w:themeColor="accent1" w:themeShade="BF"/>
          <w:sz w:val="32"/>
        </w:rPr>
        <w:br/>
      </w:r>
      <w:r>
        <w:rPr>
          <w:rStyle w:val="Fett"/>
          <w:rFonts w:ascii="Times New Roman" w:hAnsi="Times New Roman"/>
          <w:b/>
          <w:color w:val="2F5496" w:themeColor="accent1" w:themeShade="BF"/>
          <w:sz w:val="32"/>
        </w:rPr>
        <w:t>Fä</w:t>
      </w:r>
      <w:r w:rsidR="007A6D31">
        <w:rPr>
          <w:rStyle w:val="Fett"/>
          <w:rFonts w:ascii="Times New Roman" w:hAnsi="Times New Roman"/>
          <w:b/>
          <w:color w:val="2F5496" w:themeColor="accent1" w:themeShade="BF"/>
          <w:sz w:val="32"/>
        </w:rPr>
        <w:t>l</w:t>
      </w:r>
      <w:r>
        <w:rPr>
          <w:rStyle w:val="Fett"/>
          <w:rFonts w:ascii="Times New Roman" w:hAnsi="Times New Roman"/>
          <w:b/>
          <w:color w:val="2F5496" w:themeColor="accent1" w:themeShade="BF"/>
          <w:sz w:val="32"/>
        </w:rPr>
        <w:t>len</w:t>
      </w:r>
    </w:p>
    <w:p w14:paraId="6C711C7C" w14:textId="77777777" w:rsidR="00A257D5" w:rsidRPr="003E5188" w:rsidRDefault="00A257D5" w:rsidP="00A257D5">
      <w:pPr>
        <w:jc w:val="both"/>
        <w:rPr>
          <w:rFonts w:ascii="Times New Roman" w:hAnsi="Times New Roman"/>
          <w:b/>
          <w:color w:val="2F5496" w:themeColor="accent1" w:themeShade="BF"/>
          <w:sz w:val="28"/>
          <w:szCs w:val="28"/>
          <w:lang w:val="en-GB"/>
        </w:rPr>
      </w:pPr>
    </w:p>
    <w:p w14:paraId="4A5EC465" w14:textId="77777777" w:rsidR="003A34DA" w:rsidRPr="003E5188" w:rsidRDefault="00F2265A" w:rsidP="00A257D5">
      <w:pPr>
        <w:jc w:val="both"/>
        <w:rPr>
          <w:rFonts w:ascii="Times New Roman" w:hAnsi="Times New Roman"/>
          <w:b/>
          <w:sz w:val="28"/>
          <w:szCs w:val="28"/>
        </w:rPr>
      </w:pPr>
      <w:r>
        <w:rPr>
          <w:rFonts w:ascii="Times New Roman" w:hAnsi="Times New Roman"/>
          <w:b/>
          <w:color w:val="2F5496" w:themeColor="accent1" w:themeShade="BF"/>
          <w:sz w:val="28"/>
        </w:rPr>
        <w:t>A. I.  Fallszenario 1:</w:t>
      </w:r>
    </w:p>
    <w:p w14:paraId="30A14091" w14:textId="77777777" w:rsidR="00F2265A" w:rsidRPr="003E5188" w:rsidRDefault="00F2265A" w:rsidP="00A257D5">
      <w:pPr>
        <w:numPr>
          <w:ilvl w:val="0"/>
          <w:numId w:val="27"/>
        </w:numPr>
        <w:jc w:val="both"/>
        <w:rPr>
          <w:rFonts w:ascii="Times New Roman" w:hAnsi="Times New Roman"/>
          <w:sz w:val="24"/>
        </w:rPr>
      </w:pPr>
      <w:r>
        <w:rPr>
          <w:rFonts w:ascii="Times New Roman" w:hAnsi="Times New Roman"/>
          <w:sz w:val="28"/>
        </w:rPr>
        <w:t xml:space="preserve">Das Land der Verurteilung wird gegen das Land ausgetauscht, in dem das Seminar stattfindet (ausgenommen Irland und Vereinigtes Königreich). </w:t>
      </w:r>
    </w:p>
    <w:p w14:paraId="3536C767" w14:textId="77777777" w:rsidR="00CF3C8E" w:rsidRPr="003E5188" w:rsidRDefault="00F2265A" w:rsidP="00A257D5">
      <w:pPr>
        <w:numPr>
          <w:ilvl w:val="0"/>
          <w:numId w:val="27"/>
        </w:numPr>
        <w:jc w:val="both"/>
        <w:rPr>
          <w:rFonts w:ascii="Times New Roman" w:hAnsi="Times New Roman"/>
          <w:bCs/>
          <w:sz w:val="28"/>
          <w:szCs w:val="24"/>
        </w:rPr>
      </w:pPr>
      <w:r>
        <w:rPr>
          <w:rFonts w:ascii="Times New Roman" w:hAnsi="Times New Roman"/>
          <w:sz w:val="28"/>
        </w:rPr>
        <w:t>In dem Seminar, das in Deutschland stattfindet, werden die Länder aus den Fallszenarien 1 und 2 ausgetauscht, und die verurteilte Person ist diesmal ein rumänischer Staatsbürger, der seinen rechtmäßigen und gewöhnlichen Aufenthalt in Bukarest, Rumänien, hat.</w:t>
      </w:r>
    </w:p>
    <w:p w14:paraId="118C9443" w14:textId="77777777" w:rsidR="00F2265A" w:rsidRPr="003E5188" w:rsidRDefault="00CF3C8E" w:rsidP="00A257D5">
      <w:pPr>
        <w:suppressAutoHyphens w:val="0"/>
        <w:autoSpaceDN/>
        <w:textAlignment w:val="auto"/>
        <w:rPr>
          <w:rFonts w:ascii="Times New Roman" w:hAnsi="Times New Roman"/>
          <w:bCs/>
          <w:sz w:val="28"/>
          <w:szCs w:val="24"/>
        </w:rPr>
      </w:pPr>
      <w:r>
        <w:br w:type="page"/>
      </w:r>
    </w:p>
    <w:p w14:paraId="592079A6" w14:textId="77777777" w:rsidR="006856B3" w:rsidRPr="003E5188" w:rsidRDefault="00F2265A" w:rsidP="00A257D5">
      <w:pPr>
        <w:pStyle w:val="Test"/>
        <w:shd w:val="clear" w:color="auto" w:fill="DED888"/>
        <w:spacing w:after="160"/>
        <w:jc w:val="center"/>
        <w:rPr>
          <w:rStyle w:val="Fett"/>
          <w:rFonts w:ascii="Times New Roman" w:hAnsi="Times New Roman"/>
          <w:color w:val="2F5496" w:themeColor="accent1" w:themeShade="BF"/>
          <w:sz w:val="32"/>
          <w:szCs w:val="32"/>
        </w:rPr>
      </w:pPr>
      <w:r>
        <w:rPr>
          <w:rStyle w:val="Fett"/>
          <w:rFonts w:ascii="Times New Roman" w:hAnsi="Times New Roman"/>
          <w:b/>
          <w:color w:val="2F5496" w:themeColor="accent1" w:themeShade="BF"/>
          <w:sz w:val="32"/>
        </w:rPr>
        <w:lastRenderedPageBreak/>
        <w:t>Teil C. Methodisches Konzept</w:t>
      </w:r>
    </w:p>
    <w:p w14:paraId="4DE7AEB2" w14:textId="77777777" w:rsidR="006856B3" w:rsidRPr="003E5188" w:rsidRDefault="006856B3" w:rsidP="00A257D5">
      <w:pPr>
        <w:suppressAutoHyphens w:val="0"/>
        <w:jc w:val="both"/>
        <w:textAlignment w:val="auto"/>
        <w:rPr>
          <w:rFonts w:ascii="Times New Roman" w:hAnsi="Times New Roman"/>
          <w:color w:val="2F5496" w:themeColor="accent1" w:themeShade="BF"/>
          <w:sz w:val="28"/>
          <w:szCs w:val="28"/>
          <w:lang w:val="en-GB"/>
        </w:rPr>
      </w:pPr>
    </w:p>
    <w:p w14:paraId="4C25B0E4" w14:textId="77777777" w:rsidR="00F2265A" w:rsidRPr="003E5188" w:rsidRDefault="00246D57" w:rsidP="00A257D5">
      <w:pPr>
        <w:numPr>
          <w:ilvl w:val="0"/>
          <w:numId w:val="7"/>
        </w:numPr>
        <w:suppressAutoHyphens w:val="0"/>
        <w:ind w:left="0" w:firstLine="0"/>
        <w:jc w:val="both"/>
        <w:textAlignment w:val="auto"/>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t>Grundidee und Kernthemen</w:t>
      </w:r>
    </w:p>
    <w:p w14:paraId="5CFFE694" w14:textId="77777777" w:rsidR="006856B3" w:rsidRPr="003E5188" w:rsidRDefault="00246D57" w:rsidP="00A257D5">
      <w:pPr>
        <w:suppressAutoHyphens w:val="0"/>
        <w:jc w:val="both"/>
        <w:textAlignment w:val="auto"/>
        <w:rPr>
          <w:rFonts w:ascii="Times New Roman" w:hAnsi="Times New Roman"/>
          <w:sz w:val="28"/>
          <w:szCs w:val="28"/>
        </w:rPr>
      </w:pPr>
      <w:r>
        <w:rPr>
          <w:rFonts w:ascii="Times New Roman" w:hAnsi="Times New Roman"/>
          <w:sz w:val="28"/>
        </w:rPr>
        <w:t xml:space="preserve">Die Idee dieses Schulungsmaterials ist es, Gerichtsbedienstete aus den Mitgliedstaaten mit den auf europäischer Ebene verfügbaren Rechtsinstrumenten für die justizielle Zusammenarbeit im Hinblick auf die Überwachung von Bewährungsmaßnahmen und alternativen Sanktionen vertraut zu machen. </w:t>
      </w:r>
    </w:p>
    <w:p w14:paraId="603DAE1B" w14:textId="77777777" w:rsidR="006856B3" w:rsidRPr="003E5188" w:rsidRDefault="00246D57" w:rsidP="00A257D5">
      <w:pPr>
        <w:suppressAutoHyphens w:val="0"/>
        <w:jc w:val="both"/>
        <w:textAlignment w:val="auto"/>
        <w:rPr>
          <w:rFonts w:ascii="Times New Roman" w:hAnsi="Times New Roman"/>
          <w:sz w:val="28"/>
          <w:szCs w:val="28"/>
        </w:rPr>
      </w:pPr>
      <w:r>
        <w:rPr>
          <w:rFonts w:ascii="Times New Roman" w:hAnsi="Times New Roman"/>
          <w:sz w:val="28"/>
        </w:rPr>
        <w:t>Gerichtsbedienstete sind oftmals mit administrativen Aufgaben befasst, die vom Ausfüllen des in dem Rechtsinstrument geforderten Formblatts über die Bestimmung der zuständigen Behörde, an die das Formblatt zu senden ist, bis hin zur Übersetzung des Formblatts und zur Anforderung oder Übermittlung zusätzlicher Informationen zur justiziellen Zusammenarbeit reichen.</w:t>
      </w:r>
    </w:p>
    <w:p w14:paraId="394D22B1" w14:textId="77777777" w:rsidR="006856B3" w:rsidRPr="003E5188" w:rsidRDefault="00246D57" w:rsidP="00A257D5">
      <w:pPr>
        <w:suppressAutoHyphens w:val="0"/>
        <w:jc w:val="both"/>
        <w:textAlignment w:val="auto"/>
        <w:rPr>
          <w:rFonts w:ascii="Times New Roman" w:hAnsi="Times New Roman"/>
        </w:rPr>
      </w:pPr>
      <w:r>
        <w:rPr>
          <w:rFonts w:ascii="Times New Roman" w:hAnsi="Times New Roman"/>
          <w:sz w:val="28"/>
        </w:rPr>
        <w:t xml:space="preserve">Aus diesen Gründen werden in den Seminaren </w:t>
      </w:r>
      <w:r>
        <w:rPr>
          <w:rFonts w:ascii="Times New Roman" w:hAnsi="Times New Roman"/>
          <w:b/>
          <w:sz w:val="28"/>
        </w:rPr>
        <w:t>die folgenden Hauptaspekte</w:t>
      </w:r>
      <w:r>
        <w:rPr>
          <w:rFonts w:ascii="Times New Roman" w:hAnsi="Times New Roman"/>
          <w:sz w:val="28"/>
        </w:rPr>
        <w:t xml:space="preserve"> behandelt: </w:t>
      </w:r>
    </w:p>
    <w:p w14:paraId="5F38B4D1" w14:textId="77777777" w:rsidR="006856B3" w:rsidRPr="003E5188" w:rsidRDefault="00246D57" w:rsidP="00A257D5">
      <w:pPr>
        <w:suppressAutoHyphens w:val="0"/>
        <w:jc w:val="both"/>
        <w:textAlignment w:val="auto"/>
        <w:rPr>
          <w:rFonts w:ascii="Times New Roman" w:hAnsi="Times New Roman"/>
        </w:rPr>
      </w:pPr>
      <w:r>
        <w:rPr>
          <w:rFonts w:ascii="Times New Roman" w:hAnsi="Times New Roman"/>
          <w:sz w:val="28"/>
        </w:rPr>
        <w:t xml:space="preserve">1.  Anwendungsbereich des Rahmenbeschlusses 2008/947/JI des Rates vom 27. November 2008 über die Anwendung des Grundsatzes der gegenseitigen Anerkennung auf Urteile und Bewährungsentscheidungen im Hinblick auf die Überwachung von Bewährungsmaßnahmen und alternativen Sanktionen. </w:t>
      </w:r>
    </w:p>
    <w:p w14:paraId="1D7DB1EF" w14:textId="77777777" w:rsidR="006856B3" w:rsidRPr="003E5188" w:rsidRDefault="00246D57" w:rsidP="00A257D5">
      <w:pPr>
        <w:suppressAutoHyphens w:val="0"/>
        <w:jc w:val="both"/>
        <w:textAlignment w:val="auto"/>
        <w:rPr>
          <w:rFonts w:ascii="Times New Roman" w:hAnsi="Times New Roman"/>
        </w:rPr>
      </w:pPr>
      <w:r>
        <w:rPr>
          <w:rFonts w:ascii="Times New Roman" w:hAnsi="Times New Roman"/>
          <w:sz w:val="28"/>
        </w:rPr>
        <w:t xml:space="preserve">2.  Kennenlernen der allgemeinen Struktur des Rahmenbeschlusses 2008/947/JI des Rates. </w:t>
      </w:r>
    </w:p>
    <w:p w14:paraId="7A1FE8E6" w14:textId="77777777" w:rsidR="006856B3" w:rsidRPr="003E5188" w:rsidRDefault="00246D57" w:rsidP="00A257D5">
      <w:pPr>
        <w:suppressAutoHyphens w:val="0"/>
        <w:jc w:val="both"/>
        <w:textAlignment w:val="auto"/>
        <w:rPr>
          <w:rFonts w:ascii="Times New Roman" w:hAnsi="Times New Roman"/>
          <w:sz w:val="28"/>
          <w:szCs w:val="28"/>
        </w:rPr>
      </w:pPr>
      <w:r>
        <w:rPr>
          <w:rFonts w:ascii="Times New Roman" w:hAnsi="Times New Roman"/>
          <w:sz w:val="28"/>
        </w:rPr>
        <w:t>3. Ermittlung einiger der Herausforderungen, vor denen die zuständige Ausstellungsbehörde möglicherweise steht, wenn sie um die Übertragung der Überwachung ersucht, und wie diese bewältigt werden können.</w:t>
      </w:r>
    </w:p>
    <w:p w14:paraId="3536BFE8" w14:textId="77777777" w:rsidR="006856B3" w:rsidRPr="003E5188" w:rsidRDefault="00246D57" w:rsidP="00A257D5">
      <w:pPr>
        <w:suppressAutoHyphens w:val="0"/>
        <w:jc w:val="both"/>
        <w:textAlignment w:val="auto"/>
        <w:rPr>
          <w:rFonts w:ascii="Times New Roman" w:hAnsi="Times New Roman"/>
          <w:sz w:val="28"/>
          <w:szCs w:val="28"/>
        </w:rPr>
      </w:pPr>
      <w:r>
        <w:rPr>
          <w:rFonts w:ascii="Times New Roman" w:hAnsi="Times New Roman"/>
          <w:sz w:val="28"/>
        </w:rPr>
        <w:t>4. Ermittlung einiger der Herausforderungen, vor denen die zuständige Vollstreckungsbehörde möglicherweise während des Anerkennungsprozesses steht, und wie diese bewältigt werden können.</w:t>
      </w:r>
    </w:p>
    <w:p w14:paraId="106D06F8" w14:textId="77777777" w:rsidR="006856B3" w:rsidRPr="003E5188" w:rsidRDefault="00246D57" w:rsidP="00A257D5">
      <w:pPr>
        <w:suppressAutoHyphens w:val="0"/>
        <w:jc w:val="both"/>
        <w:textAlignment w:val="auto"/>
        <w:rPr>
          <w:rFonts w:ascii="Times New Roman" w:hAnsi="Times New Roman"/>
        </w:rPr>
      </w:pPr>
      <w:r>
        <w:rPr>
          <w:rFonts w:ascii="Times New Roman" w:hAnsi="Times New Roman"/>
          <w:sz w:val="28"/>
        </w:rPr>
        <w:t>4. Verdeutlichung der Vorteile der Übertragung der Überwachung.</w:t>
      </w:r>
    </w:p>
    <w:p w14:paraId="41B109D9" w14:textId="77777777" w:rsidR="006856B3" w:rsidRPr="003E5188" w:rsidRDefault="00246D57" w:rsidP="00A257D5">
      <w:pPr>
        <w:suppressAutoHyphens w:val="0"/>
        <w:jc w:val="both"/>
        <w:textAlignment w:val="auto"/>
        <w:rPr>
          <w:rFonts w:ascii="Times New Roman" w:hAnsi="Times New Roman"/>
        </w:rPr>
      </w:pPr>
      <w:r>
        <w:rPr>
          <w:rFonts w:ascii="Times New Roman" w:hAnsi="Times New Roman"/>
          <w:sz w:val="28"/>
        </w:rPr>
        <w:t>5. Verstehen einiger praktischer Probleme, die vor und nach der Übertragung der Überwachung auftreten können.</w:t>
      </w:r>
    </w:p>
    <w:p w14:paraId="3FD394B0" w14:textId="77777777" w:rsidR="006856B3" w:rsidRPr="003E5188" w:rsidRDefault="00246D57" w:rsidP="00A257D5">
      <w:pPr>
        <w:suppressAutoHyphens w:val="0"/>
        <w:jc w:val="both"/>
        <w:textAlignment w:val="auto"/>
        <w:rPr>
          <w:rFonts w:ascii="Times New Roman" w:hAnsi="Times New Roman"/>
          <w:sz w:val="28"/>
          <w:szCs w:val="28"/>
        </w:rPr>
      </w:pPr>
      <w:r>
        <w:rPr>
          <w:rFonts w:ascii="Times New Roman" w:hAnsi="Times New Roman"/>
          <w:sz w:val="28"/>
        </w:rPr>
        <w:t xml:space="preserve">6. Administrative Details: Wie sollte eine Ausstellungsbehörde in einer Situation vorgehen? Welche Sprache ist zu verwenden? Wo kann die Ausstellungsbehörde die zuständige Behörde des Vollstreckungsmitgliedstaats finden, an die das Ersuchen zu richten ist? </w:t>
      </w:r>
    </w:p>
    <w:p w14:paraId="32FBE906" w14:textId="77777777" w:rsidR="00FF3892" w:rsidRPr="003E5188" w:rsidRDefault="00246D57" w:rsidP="00A257D5">
      <w:pPr>
        <w:suppressAutoHyphens w:val="0"/>
        <w:jc w:val="both"/>
        <w:textAlignment w:val="auto"/>
        <w:rPr>
          <w:rFonts w:ascii="Times New Roman" w:hAnsi="Times New Roman"/>
          <w:sz w:val="28"/>
          <w:szCs w:val="28"/>
        </w:rPr>
      </w:pPr>
      <w:r>
        <w:rPr>
          <w:rFonts w:ascii="Times New Roman" w:hAnsi="Times New Roman"/>
          <w:sz w:val="28"/>
        </w:rPr>
        <w:t xml:space="preserve"> </w:t>
      </w:r>
    </w:p>
    <w:p w14:paraId="052750CB" w14:textId="77777777" w:rsidR="006856B3" w:rsidRPr="003E5188" w:rsidRDefault="00FF3892" w:rsidP="00A257D5">
      <w:pPr>
        <w:suppressAutoHyphens w:val="0"/>
        <w:autoSpaceDN/>
        <w:textAlignment w:val="auto"/>
        <w:rPr>
          <w:rFonts w:ascii="Times New Roman" w:hAnsi="Times New Roman"/>
          <w:sz w:val="28"/>
          <w:szCs w:val="28"/>
        </w:rPr>
      </w:pPr>
      <w:r>
        <w:br w:type="page"/>
      </w:r>
    </w:p>
    <w:p w14:paraId="50532568" w14:textId="77777777" w:rsidR="00F2265A" w:rsidRPr="003E5188" w:rsidRDefault="00246D57" w:rsidP="00A257D5">
      <w:pPr>
        <w:numPr>
          <w:ilvl w:val="0"/>
          <w:numId w:val="7"/>
        </w:numPr>
        <w:suppressAutoHyphens w:val="0"/>
        <w:ind w:left="0" w:firstLine="0"/>
        <w:jc w:val="both"/>
        <w:textAlignment w:val="auto"/>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lastRenderedPageBreak/>
        <w:t>Arbeitsgruppen und Aufbau des Seminars</w:t>
      </w:r>
    </w:p>
    <w:p w14:paraId="20CEE053" w14:textId="77777777" w:rsidR="006856B3" w:rsidRPr="003E5188" w:rsidRDefault="00246D57" w:rsidP="00A257D5">
      <w:pPr>
        <w:suppressAutoHyphens w:val="0"/>
        <w:jc w:val="both"/>
        <w:textAlignment w:val="auto"/>
        <w:rPr>
          <w:rFonts w:ascii="Times New Roman" w:hAnsi="Times New Roman"/>
        </w:rPr>
      </w:pPr>
      <w:r>
        <w:rPr>
          <w:rFonts w:ascii="Times New Roman" w:hAnsi="Times New Roman"/>
          <w:sz w:val="28"/>
        </w:rPr>
        <w:t>Der Schulungsleiter stellt den Teilnehmern eine kurze Präsentation (PowerPoint) zur Verfügung, in der die wichtigsten Merkmale des Rahmenbeschlusses 2008/947/JI des Rates vom 27. November 2008 über die Anwendung des Grundsatzes der gegenseitigen Anerkennung auf Urteile und Bewährungsentscheidungen im Hinblick auf die Überwachung von Bewährungsmaßnahmen und alternativen Sanktionen dargestellt werden – Anwendungsbereich, Definitionen, zuständige Behörden, Arten von Bewährungsmaßnahmen, Kriterien für die Weiterleitung eines Urteils, Versagungsgründe, Fristen, Anpassung, geltendes Recht, Folgeentscheidungen, Verpflichtungen für die MS (</w:t>
      </w:r>
      <w:r>
        <w:rPr>
          <w:rFonts w:ascii="Times New Roman" w:hAnsi="Times New Roman"/>
          <w:b/>
          <w:sz w:val="28"/>
        </w:rPr>
        <w:t>ca. 15-20 Min.</w:t>
      </w:r>
      <w:r>
        <w:rPr>
          <w:rFonts w:ascii="Times New Roman" w:hAnsi="Times New Roman"/>
          <w:sz w:val="28"/>
        </w:rPr>
        <w:t xml:space="preserve">). </w:t>
      </w:r>
    </w:p>
    <w:p w14:paraId="3B8085F4" w14:textId="77777777" w:rsidR="006856B3" w:rsidRPr="003E5188" w:rsidRDefault="00246D57" w:rsidP="00A257D5">
      <w:pPr>
        <w:suppressAutoHyphens w:val="0"/>
        <w:jc w:val="both"/>
        <w:textAlignment w:val="auto"/>
        <w:rPr>
          <w:rFonts w:ascii="Times New Roman" w:hAnsi="Times New Roman"/>
        </w:rPr>
      </w:pPr>
      <w:r>
        <w:rPr>
          <w:rFonts w:ascii="Times New Roman" w:hAnsi="Times New Roman"/>
          <w:b/>
          <w:i/>
          <w:sz w:val="28"/>
        </w:rPr>
        <w:t>Fallszenario 1</w:t>
      </w:r>
      <w:r>
        <w:rPr>
          <w:rFonts w:ascii="Times New Roman" w:hAnsi="Times New Roman"/>
          <w:sz w:val="28"/>
        </w:rPr>
        <w:t xml:space="preserve"> bietet die Möglichkeit, den Rahmenbeschluss 2008/947/JI des Rates vom 27. November 2008 über die Anwendung des Grundsatzes der gegenseitigen Anerkennung auf Urteile und Bewährungsentscheidungen im Hinblick auf die Überwachung von Bewährungsmaßnahmen und alternativen Sanktionen als Instrument für die Übertragung der Überwachung von verurteilten Personen zwischen verschiedenen MS, die den RBR umgesetzt haben, zu verstehen. Die Teilnehmer arbeiten in Gruppen von 4-5 Personen und verfügen pro Gruppe über einen mit dem Internet verbundenen Laptop, um die Fragen zu bearbeiten. Die Bearbeitung von Fallszenario 1 und die Beantwortung der Fragen sollte </w:t>
      </w:r>
      <w:r>
        <w:rPr>
          <w:rFonts w:ascii="Times New Roman" w:hAnsi="Times New Roman"/>
          <w:b/>
          <w:sz w:val="28"/>
        </w:rPr>
        <w:t xml:space="preserve">ca. 1 Stunde und 40 Minuten </w:t>
      </w:r>
      <w:r>
        <w:rPr>
          <w:rFonts w:ascii="Times New Roman" w:hAnsi="Times New Roman"/>
          <w:sz w:val="28"/>
        </w:rPr>
        <w:t>in Anspruch nehmen.</w:t>
      </w:r>
    </w:p>
    <w:p w14:paraId="4C9FA527" w14:textId="77777777" w:rsidR="006856B3" w:rsidRPr="003E5188" w:rsidRDefault="00246D57" w:rsidP="00A257D5">
      <w:pPr>
        <w:suppressAutoHyphens w:val="0"/>
        <w:jc w:val="both"/>
        <w:textAlignment w:val="auto"/>
        <w:rPr>
          <w:rFonts w:ascii="Times New Roman" w:hAnsi="Times New Roman"/>
          <w:sz w:val="28"/>
          <w:szCs w:val="28"/>
        </w:rPr>
      </w:pPr>
      <w:r>
        <w:rPr>
          <w:rFonts w:ascii="Times New Roman" w:hAnsi="Times New Roman"/>
          <w:sz w:val="28"/>
        </w:rPr>
        <w:t>An dieser Stelle wird eine 10-minütige Pause empfohlen.</w:t>
      </w:r>
    </w:p>
    <w:p w14:paraId="238F95E6" w14:textId="77777777" w:rsidR="006856B3" w:rsidRPr="003E5188" w:rsidRDefault="00246D57" w:rsidP="00A257D5">
      <w:pPr>
        <w:suppressAutoHyphens w:val="0"/>
        <w:jc w:val="both"/>
        <w:textAlignment w:val="auto"/>
        <w:rPr>
          <w:rFonts w:ascii="Times New Roman" w:hAnsi="Times New Roman"/>
        </w:rPr>
      </w:pPr>
      <w:r>
        <w:rPr>
          <w:rFonts w:ascii="Times New Roman" w:hAnsi="Times New Roman"/>
          <w:sz w:val="28"/>
        </w:rPr>
        <w:t>Die Bearbeitung der</w:t>
      </w:r>
      <w:r>
        <w:rPr>
          <w:rFonts w:ascii="Times New Roman" w:hAnsi="Times New Roman"/>
          <w:b/>
          <w:sz w:val="28"/>
        </w:rPr>
        <w:t xml:space="preserve"> Aufgaben</w:t>
      </w:r>
      <w:r>
        <w:rPr>
          <w:rFonts w:ascii="Times New Roman" w:hAnsi="Times New Roman"/>
          <w:sz w:val="28"/>
        </w:rPr>
        <w:t xml:space="preserve"> aus Ziffer A.II sollte </w:t>
      </w:r>
      <w:r>
        <w:rPr>
          <w:rFonts w:ascii="Times New Roman" w:hAnsi="Times New Roman"/>
          <w:b/>
          <w:sz w:val="28"/>
        </w:rPr>
        <w:t>etwa 10 Minuten</w:t>
      </w:r>
      <w:r>
        <w:rPr>
          <w:rFonts w:ascii="Times New Roman" w:hAnsi="Times New Roman"/>
          <w:sz w:val="28"/>
        </w:rPr>
        <w:t xml:space="preserve"> in Anspruch nehmen. Sie sollen den Teilnehmern helfen, den Mechanismus für das Auffinden einer zuständigen Behörde und zur Bestimmung der in der Bescheinigung zu verwendenden Sprache zu verstehen</w:t>
      </w:r>
    </w:p>
    <w:p w14:paraId="56764C08" w14:textId="77777777" w:rsidR="006856B3" w:rsidRPr="003E5188" w:rsidRDefault="00246D57" w:rsidP="00A257D5">
      <w:pPr>
        <w:suppressAutoHyphens w:val="0"/>
        <w:jc w:val="both"/>
        <w:textAlignment w:val="auto"/>
        <w:rPr>
          <w:rFonts w:ascii="Times New Roman" w:hAnsi="Times New Roman"/>
        </w:rPr>
      </w:pPr>
      <w:r>
        <w:rPr>
          <w:rFonts w:ascii="Times New Roman" w:hAnsi="Times New Roman"/>
          <w:b/>
          <w:i/>
          <w:sz w:val="28"/>
        </w:rPr>
        <w:t>Fallszenario 2</w:t>
      </w:r>
      <w:r>
        <w:rPr>
          <w:rFonts w:ascii="Times New Roman" w:hAnsi="Times New Roman"/>
          <w:sz w:val="28"/>
        </w:rPr>
        <w:t xml:space="preserve"> ermöglicht den Teilnehmern ein tieferes Verständnis für die Anwendung einiger Bestimmungen des RBR. Die Teilnehmer arbeiten in Gruppen von 4-5 Personen und verfügen pro Gruppe über einen mit dem Internet verbundenen Laptop, um die Fragen zu bearbeiten. Die Bearbeitung von Fallszenario 2 sollte </w:t>
      </w:r>
      <w:r>
        <w:rPr>
          <w:rFonts w:ascii="Times New Roman" w:hAnsi="Times New Roman"/>
          <w:b/>
          <w:sz w:val="28"/>
        </w:rPr>
        <w:t>ca. 40-45 Minuten</w:t>
      </w:r>
      <w:r>
        <w:rPr>
          <w:rFonts w:ascii="Times New Roman" w:hAnsi="Times New Roman"/>
          <w:sz w:val="28"/>
        </w:rPr>
        <w:t xml:space="preserve"> in Anspruch nehmen.</w:t>
      </w:r>
    </w:p>
    <w:p w14:paraId="134FA095" w14:textId="77777777" w:rsidR="006856B3" w:rsidRPr="003E5188" w:rsidRDefault="00246D57" w:rsidP="00A257D5">
      <w:pPr>
        <w:suppressAutoHyphens w:val="0"/>
        <w:jc w:val="both"/>
        <w:textAlignment w:val="auto"/>
        <w:rPr>
          <w:rFonts w:ascii="Times New Roman" w:hAnsi="Times New Roman"/>
          <w:sz w:val="28"/>
          <w:szCs w:val="28"/>
        </w:rPr>
      </w:pPr>
      <w:r>
        <w:rPr>
          <w:rFonts w:ascii="Times New Roman" w:hAnsi="Times New Roman"/>
          <w:sz w:val="28"/>
        </w:rPr>
        <w:t xml:space="preserve">Eventuell verbleibende Fragen sollten schließlich am Ende des Seminars erörtert werden (dafür sind </w:t>
      </w:r>
      <w:r>
        <w:rPr>
          <w:rFonts w:ascii="Times New Roman" w:hAnsi="Times New Roman"/>
          <w:b/>
          <w:sz w:val="28"/>
        </w:rPr>
        <w:t>ca. 5-10 Minuten</w:t>
      </w:r>
      <w:r>
        <w:rPr>
          <w:rFonts w:ascii="Times New Roman" w:hAnsi="Times New Roman"/>
          <w:sz w:val="28"/>
        </w:rPr>
        <w:t xml:space="preserve"> vorzusehen).</w:t>
      </w:r>
    </w:p>
    <w:p w14:paraId="70D02727" w14:textId="77777777" w:rsidR="0022412E" w:rsidRPr="003E5188" w:rsidRDefault="0022412E" w:rsidP="0022412E">
      <w:pPr>
        <w:spacing w:after="0"/>
        <w:jc w:val="both"/>
      </w:pPr>
      <w:r>
        <w:rPr>
          <w:rFonts w:ascii="Times New Roman" w:hAnsi="Times New Roman"/>
          <w:sz w:val="28"/>
        </w:rPr>
        <w:t>Die Organisatoren sollten versuchen, für die Bearbeitung der Fallszenarien Gruppen von Teilnehmern mit annähernd gleichem Erfahrungsstand im Umgang mit Rahmenbeschluss 2008/947 des Rates zu bilden.</w:t>
      </w:r>
    </w:p>
    <w:p w14:paraId="7C7AF7C1" w14:textId="77777777" w:rsidR="006856B3" w:rsidRPr="003E5188" w:rsidRDefault="006856B3" w:rsidP="00A257D5">
      <w:pPr>
        <w:suppressAutoHyphens w:val="0"/>
        <w:jc w:val="both"/>
        <w:textAlignment w:val="auto"/>
        <w:rPr>
          <w:rFonts w:ascii="Times New Roman" w:hAnsi="Times New Roman"/>
          <w:color w:val="2F5496" w:themeColor="accent1" w:themeShade="BF"/>
          <w:lang w:val="en-GB"/>
        </w:rPr>
      </w:pPr>
    </w:p>
    <w:p w14:paraId="147F993B" w14:textId="77777777" w:rsidR="00F2265A" w:rsidRPr="003E5188" w:rsidRDefault="00246D57" w:rsidP="00423A89">
      <w:pPr>
        <w:numPr>
          <w:ilvl w:val="0"/>
          <w:numId w:val="7"/>
        </w:numPr>
        <w:suppressAutoHyphens w:val="0"/>
        <w:ind w:left="0" w:firstLine="0"/>
        <w:jc w:val="both"/>
        <w:textAlignment w:val="auto"/>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t>Zusätzliches Material</w:t>
      </w:r>
    </w:p>
    <w:p w14:paraId="7E26387B" w14:textId="6C6476E5" w:rsidR="006856B3" w:rsidRDefault="00246D57" w:rsidP="0022412E">
      <w:pPr>
        <w:suppressAutoHyphens w:val="0"/>
        <w:jc w:val="both"/>
        <w:textAlignment w:val="auto"/>
        <w:rPr>
          <w:rFonts w:ascii="Times New Roman" w:hAnsi="Times New Roman"/>
          <w:sz w:val="28"/>
        </w:rPr>
      </w:pPr>
      <w:r>
        <w:rPr>
          <w:rFonts w:ascii="Times New Roman" w:hAnsi="Times New Roman"/>
          <w:sz w:val="28"/>
        </w:rPr>
        <w:t>Alle Teilnehmer erhalten ein Exemplar des Rahmenbeschlusses 2008/947/JI des Rates vom 27. November 2008 über die Anwendung des Grundsatzes der ge</w:t>
      </w:r>
      <w:r>
        <w:rPr>
          <w:rFonts w:ascii="Times New Roman" w:hAnsi="Times New Roman"/>
          <w:sz w:val="28"/>
        </w:rPr>
        <w:lastRenderedPageBreak/>
        <w:t>genseitigen Anerkennung auf Urteile und Bewährungsentscheidungen im Hinblick auf die Überwachung von Bewährungsmaßnahmen und alternativen Sanktionen einschließlich der Formblätter in Anhang I und II. Außerdem müssen die Teilnehmer die nationalen Bestimmungen zur Umsetzung des RBR mitbringen oder Zugriff auf diese haben.</w:t>
      </w:r>
    </w:p>
    <w:p w14:paraId="65321DC9" w14:textId="77777777" w:rsidR="007A6D31" w:rsidRPr="003E5188" w:rsidRDefault="007A6D31" w:rsidP="0022412E">
      <w:pPr>
        <w:suppressAutoHyphens w:val="0"/>
        <w:jc w:val="both"/>
        <w:textAlignment w:val="auto"/>
        <w:rPr>
          <w:rFonts w:ascii="Times New Roman" w:hAnsi="Times New Roman"/>
        </w:rPr>
      </w:pPr>
    </w:p>
    <w:p w14:paraId="1B51D4E6" w14:textId="77777777" w:rsidR="006856B3" w:rsidRPr="003E5188" w:rsidRDefault="00F2265A" w:rsidP="00423A89">
      <w:pPr>
        <w:pStyle w:val="Test"/>
        <w:shd w:val="clear" w:color="auto" w:fill="DED888"/>
        <w:spacing w:after="160"/>
        <w:jc w:val="center"/>
        <w:rPr>
          <w:rFonts w:ascii="Times New Roman" w:hAnsi="Times New Roman"/>
          <w:color w:val="2F5496" w:themeColor="accent1" w:themeShade="BF"/>
          <w:sz w:val="32"/>
          <w:szCs w:val="32"/>
        </w:rPr>
      </w:pPr>
      <w:r>
        <w:rPr>
          <w:rStyle w:val="Fett"/>
          <w:rFonts w:ascii="Times New Roman" w:hAnsi="Times New Roman"/>
          <w:b/>
          <w:color w:val="2F5496" w:themeColor="accent1" w:themeShade="BF"/>
          <w:sz w:val="32"/>
        </w:rPr>
        <w:t>Teil D. Lösungen</w:t>
      </w:r>
    </w:p>
    <w:p w14:paraId="2D614C1B" w14:textId="77777777" w:rsidR="006856B3" w:rsidRPr="003E5188" w:rsidRDefault="00F2265A" w:rsidP="00A257D5">
      <w:pPr>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t>A. I.  Fallszenario 1:</w:t>
      </w:r>
    </w:p>
    <w:p w14:paraId="08B16567" w14:textId="77777777"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t>F1:</w:t>
      </w:r>
      <w:r>
        <w:rPr>
          <w:rFonts w:ascii="Times New Roman" w:hAnsi="Times New Roman"/>
          <w:color w:val="2F5496" w:themeColor="accent1" w:themeShade="BF"/>
          <w:sz w:val="28"/>
        </w:rPr>
        <w:t xml:space="preserve"> Können die rumänischen Behörden um die Übertragung der Überwachung der Bewährungsauflagen der verurteilten Person auf die zuständigen deutschen Behörden ersuchen? Welches Rechtsinstrument ist in diesem Fall anwendbar?</w:t>
      </w:r>
    </w:p>
    <w:p w14:paraId="188BDFBC" w14:textId="77777777" w:rsidR="006856B3" w:rsidRPr="003E5188" w:rsidRDefault="00246D57" w:rsidP="00A257D5">
      <w:pPr>
        <w:jc w:val="both"/>
        <w:rPr>
          <w:rFonts w:ascii="Times New Roman" w:hAnsi="Times New Roman"/>
        </w:rPr>
      </w:pPr>
      <w:r>
        <w:rPr>
          <w:rFonts w:ascii="Times New Roman" w:hAnsi="Times New Roman"/>
          <w:sz w:val="28"/>
        </w:rPr>
        <w:t xml:space="preserve">In unserem Fall können die rumänischen Behörden um die Übertragung der Überwachung der Auflagen für die verurteilte Person an die deutschen zuständigen Behörden ersuchen; das anwendbare Rechtsinstrument ist der </w:t>
      </w:r>
      <w:r>
        <w:rPr>
          <w:rFonts w:ascii="Times New Roman" w:hAnsi="Times New Roman"/>
          <w:b/>
          <w:sz w:val="28"/>
        </w:rPr>
        <w:t>Rahmenbeschluss 2008/947/JI</w:t>
      </w:r>
      <w:r w:rsidRPr="003E5188">
        <w:rPr>
          <w:rStyle w:val="Funotenzeichen"/>
          <w:rFonts w:ascii="Times New Roman" w:hAnsi="Times New Roman"/>
          <w:b/>
          <w:bCs/>
          <w:sz w:val="28"/>
          <w:szCs w:val="28"/>
          <w:lang w:val="en-GB"/>
        </w:rPr>
        <w:footnoteReference w:id="1"/>
      </w:r>
      <w:r>
        <w:rPr>
          <w:rFonts w:ascii="Times New Roman" w:hAnsi="Times New Roman"/>
          <w:b/>
          <w:sz w:val="28"/>
        </w:rPr>
        <w:t xml:space="preserve"> des Rates vom 27. November 2008 </w:t>
      </w:r>
      <w:r>
        <w:rPr>
          <w:rFonts w:ascii="Times New Roman" w:hAnsi="Times New Roman"/>
          <w:sz w:val="28"/>
        </w:rPr>
        <w:t>über die Anwendung des Grundsatzes der gegenseitigen Anerkennung auf Urteile und Bewährungsentscheidungen im Hinblick auf die Überwachung von Bewährungsmaßnahmen und alternativen Sanktionen.</w:t>
      </w:r>
    </w:p>
    <w:p w14:paraId="4912F56E" w14:textId="77777777" w:rsidR="0022412E" w:rsidRPr="003E5188" w:rsidRDefault="00246D57" w:rsidP="00A257D5">
      <w:pPr>
        <w:jc w:val="both"/>
        <w:rPr>
          <w:rFonts w:ascii="Times New Roman" w:hAnsi="Times New Roman"/>
          <w:sz w:val="28"/>
          <w:szCs w:val="28"/>
        </w:rPr>
      </w:pPr>
      <w:r>
        <w:rPr>
          <w:rFonts w:ascii="Times New Roman" w:hAnsi="Times New Roman"/>
          <w:sz w:val="28"/>
        </w:rPr>
        <w:t>Die vorgenannte Entscheidung wurde von fast allen Mitgliedstaaten der Europäischen Union umgesetzt, mit Ausnahme des Vereinigten Königreichs. Irland setzt den Rahmenbeschluss des Rates derzeit um, obwohl die Umsetzungsfrist verstrichen ist (der RBR musste bis zum 6. Dezember 2011 umgesetzt werden).</w:t>
      </w:r>
    </w:p>
    <w:tbl>
      <w:tblPr>
        <w:tblW w:w="9021" w:type="dxa"/>
        <w:tblInd w:w="-5" w:type="dxa"/>
        <w:tblCellMar>
          <w:left w:w="10" w:type="dxa"/>
          <w:right w:w="10" w:type="dxa"/>
        </w:tblCellMar>
        <w:tblLook w:val="0000" w:firstRow="0" w:lastRow="0" w:firstColumn="0" w:lastColumn="0" w:noHBand="0" w:noVBand="0"/>
      </w:tblPr>
      <w:tblGrid>
        <w:gridCol w:w="9021"/>
      </w:tblGrid>
      <w:tr w:rsidR="006856B3" w:rsidRPr="003E5188" w14:paraId="794BC71B" w14:textId="77777777" w:rsidTr="00423A89">
        <w:trPr>
          <w:trHeight w:val="1006"/>
        </w:trPr>
        <w:tc>
          <w:tcPr>
            <w:tcW w:w="902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75E5765" w14:textId="77777777" w:rsidR="002013FF" w:rsidRPr="00AC1DA0" w:rsidRDefault="00246D57" w:rsidP="00AC1DA0">
            <w:pPr>
              <w:ind w:left="119"/>
              <w:jc w:val="both"/>
              <w:rPr>
                <w:rFonts w:ascii="Times New Roman" w:hAnsi="Times New Roman"/>
                <w:sz w:val="28"/>
                <w:szCs w:val="28"/>
              </w:rPr>
            </w:pPr>
            <w:r>
              <w:rPr>
                <w:rFonts w:ascii="Times New Roman" w:hAnsi="Times New Roman"/>
                <w:sz w:val="28"/>
              </w:rPr>
              <w:t xml:space="preserve">Der </w:t>
            </w:r>
            <w:hyperlink r:id="rId7" w:history="1">
              <w:r>
                <w:rPr>
                  <w:rStyle w:val="Hyperlink"/>
                  <w:rFonts w:ascii="Times New Roman" w:hAnsi="Times New Roman"/>
                  <w:i/>
                  <w:sz w:val="28"/>
                </w:rPr>
                <w:t>Stand der Umsetzung</w:t>
              </w:r>
              <w:r>
                <w:rPr>
                  <w:rStyle w:val="Hyperlink"/>
                  <w:rFonts w:ascii="Times New Roman" w:hAnsi="Times New Roman"/>
                  <w:sz w:val="28"/>
                </w:rPr>
                <w:t xml:space="preserve"> des Rahmenbeschlusses 2008/947/JI des Rates</w:t>
              </w:r>
            </w:hyperlink>
            <w:r>
              <w:rPr>
                <w:rFonts w:ascii="Times New Roman" w:hAnsi="Times New Roman"/>
                <w:sz w:val="28"/>
              </w:rPr>
              <w:t xml:space="preserve"> vom 27. November 2008 kann auf der Website des EJN – </w:t>
            </w:r>
            <w:hyperlink r:id="rId8" w:history="1">
              <w:r>
                <w:rPr>
                  <w:rStyle w:val="Hyperlink"/>
                  <w:rFonts w:ascii="Times New Roman" w:hAnsi="Times New Roman"/>
                  <w:sz w:val="28"/>
                </w:rPr>
                <w:t>www.ejn-crimjust.europa.eu</w:t>
              </w:r>
            </w:hyperlink>
            <w:r>
              <w:rPr>
                <w:rFonts w:ascii="Times New Roman" w:hAnsi="Times New Roman"/>
                <w:sz w:val="28"/>
              </w:rPr>
              <w:t xml:space="preserve"> (in dem Abschnitt zum Rahmenbeschluss 2008/947/JI) – eingesehen werden.</w:t>
            </w:r>
          </w:p>
        </w:tc>
      </w:tr>
    </w:tbl>
    <w:p w14:paraId="6B225C1B" w14:textId="77777777" w:rsidR="006856B3" w:rsidRPr="003E5188" w:rsidRDefault="00246D57" w:rsidP="00270294">
      <w:pPr>
        <w:spacing w:before="160"/>
        <w:jc w:val="both"/>
        <w:rPr>
          <w:rFonts w:ascii="Times New Roman" w:hAnsi="Times New Roman"/>
        </w:rPr>
      </w:pPr>
      <w:r>
        <w:rPr>
          <w:rFonts w:ascii="Times New Roman" w:hAnsi="Times New Roman"/>
          <w:sz w:val="28"/>
        </w:rPr>
        <w:t xml:space="preserve">Der Rahmenbeschluss gilt für </w:t>
      </w:r>
      <w:r>
        <w:rPr>
          <w:rFonts w:ascii="Times New Roman" w:hAnsi="Times New Roman"/>
          <w:b/>
          <w:sz w:val="28"/>
        </w:rPr>
        <w:t>die Anerkennung von Urteilen und gegebenenfalls Bewährungsentscheidungen</w:t>
      </w:r>
      <w:r>
        <w:rPr>
          <w:rFonts w:ascii="Times New Roman" w:hAnsi="Times New Roman"/>
          <w:sz w:val="28"/>
        </w:rPr>
        <w:t xml:space="preserve"> sowie für die </w:t>
      </w:r>
      <w:r>
        <w:rPr>
          <w:rFonts w:ascii="Times New Roman" w:hAnsi="Times New Roman"/>
          <w:b/>
          <w:sz w:val="28"/>
        </w:rPr>
        <w:t>Übernahme der Zuständigkeit für die Überwachung von Bewährungsmaßnahmen und alternativen Sanktionen</w:t>
      </w:r>
      <w:r>
        <w:rPr>
          <w:rFonts w:ascii="Times New Roman" w:hAnsi="Times New Roman"/>
          <w:sz w:val="28"/>
        </w:rPr>
        <w:t xml:space="preserve"> (Art. 1 Abs. 2 RBR).</w:t>
      </w:r>
    </w:p>
    <w:p w14:paraId="2034570B" w14:textId="77777777" w:rsidR="006856B3" w:rsidRPr="003E5188" w:rsidRDefault="00246D57" w:rsidP="00A257D5">
      <w:pPr>
        <w:jc w:val="both"/>
        <w:rPr>
          <w:rFonts w:ascii="Times New Roman" w:hAnsi="Times New Roman"/>
        </w:rPr>
      </w:pPr>
      <w:r>
        <w:rPr>
          <w:rFonts w:ascii="Times New Roman" w:hAnsi="Times New Roman"/>
          <w:sz w:val="28"/>
        </w:rPr>
        <w:t xml:space="preserve">Der Rahmenbeschluss </w:t>
      </w:r>
      <w:r>
        <w:rPr>
          <w:rFonts w:ascii="Times New Roman" w:hAnsi="Times New Roman"/>
          <w:b/>
          <w:sz w:val="28"/>
        </w:rPr>
        <w:t>gilt nicht für</w:t>
      </w:r>
      <w:r>
        <w:rPr>
          <w:rFonts w:ascii="Times New Roman" w:hAnsi="Times New Roman"/>
          <w:sz w:val="28"/>
        </w:rPr>
        <w:t>:</w:t>
      </w:r>
    </w:p>
    <w:p w14:paraId="12FC15BE" w14:textId="77777777" w:rsidR="006856B3" w:rsidRPr="003E5188" w:rsidRDefault="00246D57" w:rsidP="00A257D5">
      <w:pPr>
        <w:jc w:val="both"/>
        <w:rPr>
          <w:rFonts w:ascii="Times New Roman" w:hAnsi="Times New Roman"/>
        </w:rPr>
      </w:pPr>
      <w:r>
        <w:rPr>
          <w:rFonts w:ascii="Times New Roman" w:hAnsi="Times New Roman"/>
          <w:sz w:val="28"/>
        </w:rPr>
        <w:lastRenderedPageBreak/>
        <w:t xml:space="preserve">a) die Vollstreckung eines Urteils in Strafsachen, durch das eine freiheitsentziehende Strafe oder Maßnahme verhängt wird und das in den Anwendungsbereich des </w:t>
      </w:r>
      <w:r>
        <w:rPr>
          <w:rFonts w:ascii="Times New Roman" w:hAnsi="Times New Roman"/>
          <w:b/>
          <w:sz w:val="28"/>
        </w:rPr>
        <w:t>Rahmenbeschlusses 2008/909/JI</w:t>
      </w:r>
      <w:r w:rsidRPr="003E5188">
        <w:rPr>
          <w:rStyle w:val="Funotenzeichen"/>
          <w:rFonts w:ascii="Times New Roman" w:hAnsi="Times New Roman"/>
          <w:b/>
          <w:bCs/>
          <w:sz w:val="28"/>
          <w:szCs w:val="28"/>
          <w:lang w:val="en-GB"/>
        </w:rPr>
        <w:footnoteReference w:id="2"/>
      </w:r>
      <w:r>
        <w:rPr>
          <w:rFonts w:ascii="Times New Roman" w:hAnsi="Times New Roman"/>
          <w:sz w:val="28"/>
        </w:rPr>
        <w:t xml:space="preserve"> fällt,</w:t>
      </w:r>
    </w:p>
    <w:p w14:paraId="6BDADE35" w14:textId="77777777" w:rsidR="006856B3" w:rsidRPr="003E5188" w:rsidRDefault="00246D57" w:rsidP="00A257D5">
      <w:pPr>
        <w:jc w:val="both"/>
        <w:rPr>
          <w:rFonts w:ascii="Times New Roman" w:hAnsi="Times New Roman"/>
        </w:rPr>
      </w:pPr>
      <w:r>
        <w:rPr>
          <w:rFonts w:ascii="Times New Roman" w:hAnsi="Times New Roman"/>
          <w:sz w:val="28"/>
        </w:rPr>
        <w:t xml:space="preserve">b) die Anerkennung und Vollstreckung von Geldbußen oder Geldstrafen und Einziehungsentscheidungen, die in den Anwendungsbereich des </w:t>
      </w:r>
      <w:r>
        <w:rPr>
          <w:rFonts w:ascii="Times New Roman" w:hAnsi="Times New Roman"/>
          <w:b/>
          <w:sz w:val="28"/>
        </w:rPr>
        <w:t>Rahmenbeschlusses 2005/214/JI</w:t>
      </w:r>
      <w:r w:rsidRPr="003E5188">
        <w:rPr>
          <w:rStyle w:val="Funotenzeichen"/>
          <w:rFonts w:ascii="Times New Roman" w:hAnsi="Times New Roman"/>
          <w:b/>
          <w:bCs/>
          <w:sz w:val="28"/>
          <w:szCs w:val="28"/>
          <w:lang w:val="en-GB"/>
        </w:rPr>
        <w:footnoteReference w:id="3"/>
      </w:r>
      <w:r>
        <w:rPr>
          <w:rFonts w:ascii="Times New Roman" w:hAnsi="Times New Roman"/>
          <w:sz w:val="28"/>
        </w:rPr>
        <w:t xml:space="preserve"> des Rates vom 24. Februar 2005 über die Anwendung des Grundsatzes der gegenseitigen Anerkennung von Geldstrafen und Geldbußen und des </w:t>
      </w:r>
      <w:r>
        <w:rPr>
          <w:rFonts w:ascii="Times New Roman" w:hAnsi="Times New Roman"/>
          <w:b/>
          <w:sz w:val="28"/>
        </w:rPr>
        <w:t>Rahmenbeschlusses 2006/783/JI</w:t>
      </w:r>
      <w:r w:rsidRPr="003E5188">
        <w:rPr>
          <w:rStyle w:val="Funotenzeichen"/>
          <w:rFonts w:ascii="Times New Roman" w:hAnsi="Times New Roman"/>
          <w:b/>
          <w:bCs/>
          <w:sz w:val="28"/>
          <w:szCs w:val="28"/>
          <w:lang w:val="en-GB"/>
        </w:rPr>
        <w:footnoteReference w:id="4"/>
      </w:r>
      <w:r>
        <w:rPr>
          <w:rFonts w:ascii="Times New Roman" w:hAnsi="Times New Roman"/>
          <w:sz w:val="28"/>
        </w:rPr>
        <w:t xml:space="preserve"> des Rates vom 6. Oktober 2006 über die Anwendung des Grundsatzes der gegenseitigen Anerkennung von Einziehungsentscheidungen fallen (Art. 1 Abs. 3).</w:t>
      </w:r>
    </w:p>
    <w:p w14:paraId="468B7C55" w14:textId="77777777"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t>F2:</w:t>
      </w:r>
      <w:r>
        <w:rPr>
          <w:rFonts w:ascii="Times New Roman" w:hAnsi="Times New Roman"/>
          <w:color w:val="2F5496" w:themeColor="accent1" w:themeShade="BF"/>
          <w:sz w:val="28"/>
        </w:rPr>
        <w:t xml:space="preserve"> Welche Kriterien gelten für die Weiterleitung des Urteils an einen anderen Mitgliedstaat? Ist der deutsche Staatsbürger berechtigt, eine solche Übertragung der Überwachung zu beantragen? Ist seine Zustimmung in dieser Phase erforderlich?</w:t>
      </w:r>
    </w:p>
    <w:p w14:paraId="702DA410"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Die Kriterien für die Übermittlung eines Urteils und gegebenenfalls einer Bewährungsentscheidung sind in </w:t>
      </w:r>
      <w:r>
        <w:rPr>
          <w:rFonts w:ascii="Times New Roman" w:hAnsi="Times New Roman"/>
          <w:sz w:val="28"/>
          <w:u w:val="single"/>
        </w:rPr>
        <w:t>Artikel 5 des Rahmenbeschlusses des Rates</w:t>
      </w:r>
      <w:r>
        <w:rPr>
          <w:rFonts w:ascii="Times New Roman" w:hAnsi="Times New Roman"/>
          <w:sz w:val="28"/>
        </w:rPr>
        <w:t>festgelegt.</w:t>
      </w:r>
    </w:p>
    <w:p w14:paraId="21FBFC31" w14:textId="77777777" w:rsidR="006856B3" w:rsidRPr="003E5188" w:rsidRDefault="00246D57" w:rsidP="00A257D5">
      <w:pPr>
        <w:jc w:val="both"/>
        <w:rPr>
          <w:rFonts w:ascii="Times New Roman" w:hAnsi="Times New Roman"/>
        </w:rPr>
      </w:pPr>
      <w:r>
        <w:rPr>
          <w:rFonts w:ascii="Times New Roman" w:hAnsi="Times New Roman"/>
          <w:sz w:val="28"/>
        </w:rPr>
        <w:t xml:space="preserve">Artikel 5 Abs. 1 besagt, dass die zuständige Behörde des Ausstellungsstaats ein Urteil und gegebenenfalls eine Bewährungsentscheidung an die zuständige Behörde </w:t>
      </w:r>
      <w:r>
        <w:rPr>
          <w:rFonts w:ascii="Times New Roman" w:hAnsi="Times New Roman"/>
          <w:b/>
          <w:i/>
          <w:sz w:val="28"/>
        </w:rPr>
        <w:t xml:space="preserve">des Mitgliedstaats, in dem die verurteilte Person ihren </w:t>
      </w:r>
      <w:bookmarkStart w:id="2" w:name="_Hlk40109198"/>
      <w:r>
        <w:rPr>
          <w:rFonts w:ascii="Times New Roman" w:hAnsi="Times New Roman"/>
          <w:b/>
          <w:i/>
          <w:sz w:val="28"/>
        </w:rPr>
        <w:t>rechtmäßigen und gewöhnlichen Aufenthalt</w:t>
      </w:r>
      <w:bookmarkEnd w:id="2"/>
      <w:r>
        <w:rPr>
          <w:rFonts w:ascii="Times New Roman" w:hAnsi="Times New Roman"/>
          <w:b/>
          <w:i/>
          <w:sz w:val="28"/>
        </w:rPr>
        <w:t xml:space="preserve"> hat</w:t>
      </w:r>
      <w:r>
        <w:rPr>
          <w:rFonts w:ascii="Times New Roman" w:hAnsi="Times New Roman"/>
          <w:sz w:val="28"/>
        </w:rPr>
        <w:t>, übermitteln kann, sofern diese in den betreffenden Mitgliedstaat zurückgekehrt ist oder zurückzukehren beabsichtigt.</w:t>
      </w:r>
    </w:p>
    <w:p w14:paraId="5B069960" w14:textId="77777777" w:rsidR="006856B3" w:rsidRPr="003E5188" w:rsidRDefault="00246D57" w:rsidP="00A257D5">
      <w:pPr>
        <w:jc w:val="both"/>
        <w:rPr>
          <w:rFonts w:ascii="Times New Roman" w:hAnsi="Times New Roman"/>
        </w:rPr>
      </w:pPr>
      <w:r>
        <w:rPr>
          <w:rFonts w:ascii="Times New Roman" w:hAnsi="Times New Roman"/>
          <w:sz w:val="28"/>
        </w:rPr>
        <w:t xml:space="preserve">Artikel 1 Absatz 1 besagt zudem, dass das Ziel dieses Rahmenbeschlusses die </w:t>
      </w:r>
      <w:r>
        <w:rPr>
          <w:rFonts w:ascii="Times New Roman" w:hAnsi="Times New Roman"/>
          <w:i/>
          <w:sz w:val="28"/>
        </w:rPr>
        <w:t>Erleichterung der Resozialisierung einer verurteilten Person</w:t>
      </w:r>
      <w:r>
        <w:rPr>
          <w:rFonts w:ascii="Times New Roman" w:hAnsi="Times New Roman"/>
          <w:sz w:val="28"/>
        </w:rPr>
        <w:t xml:space="preserve">, die Verbesserung des Opferschutzes und des Schutzes der Allgemeinheit sowie die Erleichterung der Anwendung angemessener Bewährungsmaßnahmen und alternativer Sanktionen auf </w:t>
      </w:r>
      <w:r>
        <w:rPr>
          <w:rFonts w:ascii="Times New Roman" w:hAnsi="Times New Roman"/>
          <w:i/>
          <w:sz w:val="28"/>
        </w:rPr>
        <w:t>Straftäter, die nicht im Urteilsstaat leben</w:t>
      </w:r>
      <w:r>
        <w:rPr>
          <w:rFonts w:ascii="Times New Roman" w:hAnsi="Times New Roman"/>
          <w:sz w:val="28"/>
        </w:rPr>
        <w:t>, ist.</w:t>
      </w:r>
    </w:p>
    <w:p w14:paraId="2736CCD8"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Wie in unserem Fall zu sehen ist, ist der deutsche Staatsbürger berechtigt, die Übertragung der Überwachung der Bewährungsstrafe zu beantragen, weil </w:t>
      </w:r>
      <w:r>
        <w:rPr>
          <w:rFonts w:ascii="Times New Roman" w:hAnsi="Times New Roman"/>
          <w:sz w:val="28"/>
          <w:u w:val="single"/>
        </w:rPr>
        <w:t>er seinen rechtmäßigen und gewöhnlichen Aufenthalt in Deutschland hat</w:t>
      </w:r>
      <w:r>
        <w:rPr>
          <w:rFonts w:ascii="Times New Roman" w:hAnsi="Times New Roman"/>
          <w:sz w:val="28"/>
        </w:rPr>
        <w:t xml:space="preserve"> und </w:t>
      </w:r>
      <w:r>
        <w:rPr>
          <w:rFonts w:ascii="Times New Roman" w:hAnsi="Times New Roman"/>
          <w:sz w:val="28"/>
          <w:u w:val="single"/>
        </w:rPr>
        <w:t>in sein Heimatland zurückzukehren beabsichtigt</w:t>
      </w:r>
      <w:r>
        <w:rPr>
          <w:rFonts w:ascii="Times New Roman" w:hAnsi="Times New Roman"/>
          <w:sz w:val="28"/>
        </w:rPr>
        <w:t>, wo er seine Familie und einen Arbeitsplatz hat.</w:t>
      </w:r>
    </w:p>
    <w:p w14:paraId="7C5D538E" w14:textId="77777777" w:rsidR="006856B3" w:rsidRPr="003E5188" w:rsidRDefault="00246D57" w:rsidP="00A257D5">
      <w:pPr>
        <w:jc w:val="both"/>
        <w:rPr>
          <w:rFonts w:ascii="Times New Roman" w:hAnsi="Times New Roman"/>
          <w:sz w:val="28"/>
          <w:szCs w:val="28"/>
        </w:rPr>
      </w:pPr>
      <w:r>
        <w:rPr>
          <w:rFonts w:ascii="Times New Roman" w:hAnsi="Times New Roman"/>
          <w:sz w:val="28"/>
        </w:rPr>
        <w:t>In unserem Fall ist die Perspektive der Erleichterung der Resozialisierung der verurteilten Person gegeben, und die rumänischen zuständigen Behörden müssen die deutschen zuständigen Vollstreckungsbehörden um die Anerkennung und Überwachung der Auflagen ersuchen.</w:t>
      </w:r>
    </w:p>
    <w:p w14:paraId="235B6DAB" w14:textId="77777777" w:rsidR="006856B3" w:rsidRPr="003E5188" w:rsidRDefault="00246D57" w:rsidP="00A257D5">
      <w:pPr>
        <w:jc w:val="both"/>
        <w:rPr>
          <w:rFonts w:ascii="Times New Roman" w:hAnsi="Times New Roman"/>
        </w:rPr>
      </w:pPr>
      <w:r>
        <w:rPr>
          <w:rFonts w:ascii="Times New Roman" w:hAnsi="Times New Roman"/>
          <w:sz w:val="28"/>
        </w:rPr>
        <w:lastRenderedPageBreak/>
        <w:t xml:space="preserve">Nach Artikel 5 des RBR ist </w:t>
      </w:r>
      <w:r>
        <w:rPr>
          <w:rFonts w:ascii="Times New Roman" w:hAnsi="Times New Roman"/>
          <w:b/>
          <w:sz w:val="28"/>
        </w:rPr>
        <w:t>die Zustimmung der verurteilten Person</w:t>
      </w:r>
      <w:r>
        <w:rPr>
          <w:rFonts w:ascii="Times New Roman" w:hAnsi="Times New Roman"/>
          <w:sz w:val="28"/>
        </w:rPr>
        <w:t xml:space="preserve"> </w:t>
      </w:r>
      <w:r>
        <w:rPr>
          <w:rFonts w:ascii="Times New Roman" w:hAnsi="Times New Roman"/>
          <w:b/>
          <w:sz w:val="28"/>
        </w:rPr>
        <w:t>immer erforderlich</w:t>
      </w:r>
      <w:r>
        <w:rPr>
          <w:rFonts w:ascii="Times New Roman" w:hAnsi="Times New Roman"/>
          <w:sz w:val="28"/>
        </w:rPr>
        <w:t>, es sei denn, die Person ist in den Vollstreckungsstaat zurückgekehrt; in diesem Fall wird ihre Zustimmung stillschweigend vorausgesetzt.</w:t>
      </w:r>
    </w:p>
    <w:p w14:paraId="058AEF00" w14:textId="77777777" w:rsidR="006856B3" w:rsidRPr="003E5188" w:rsidRDefault="00246D57" w:rsidP="00A257D5">
      <w:pPr>
        <w:jc w:val="both"/>
        <w:rPr>
          <w:rFonts w:ascii="Times New Roman" w:hAnsi="Times New Roman"/>
        </w:rPr>
      </w:pPr>
      <w:r>
        <w:rPr>
          <w:rFonts w:ascii="Times New Roman" w:hAnsi="Times New Roman"/>
          <w:sz w:val="28"/>
        </w:rPr>
        <w:t xml:space="preserve">Absatz 2 dieses Artikels besagt, dass die zuständige Behörde im Ausstellungsstaat </w:t>
      </w:r>
      <w:r>
        <w:rPr>
          <w:rFonts w:ascii="Times New Roman" w:hAnsi="Times New Roman"/>
          <w:b/>
          <w:sz w:val="28"/>
        </w:rPr>
        <w:t>auf Antrag der verurteilten Person</w:t>
      </w:r>
      <w:r>
        <w:rPr>
          <w:rFonts w:ascii="Times New Roman" w:hAnsi="Times New Roman"/>
          <w:sz w:val="28"/>
        </w:rPr>
        <w:t xml:space="preserve"> das Urteil und gegebenenfalls die Bewährungsentscheidung </w:t>
      </w:r>
      <w:r>
        <w:rPr>
          <w:rFonts w:ascii="Times New Roman" w:hAnsi="Times New Roman"/>
          <w:i/>
          <w:sz w:val="28"/>
        </w:rPr>
        <w:t xml:space="preserve">an eine zuständige Behörde in einem anderen Mitgliedstaat als dem Mitgliedstaat übermitteln, in dem die verurteilte Person ihren rechtmäßigen und gewöhnlichen Aufenthalt hat, </w:t>
      </w:r>
      <w:r>
        <w:rPr>
          <w:rFonts w:ascii="Times New Roman" w:hAnsi="Times New Roman"/>
          <w:b/>
          <w:i/>
          <w:sz w:val="28"/>
        </w:rPr>
        <w:t>sofern letztgenannte Behörde der Übermittlung zugestimmt hat</w:t>
      </w:r>
      <w:r>
        <w:rPr>
          <w:rFonts w:ascii="Times New Roman" w:hAnsi="Times New Roman"/>
          <w:sz w:val="28"/>
        </w:rPr>
        <w:t>. Die Mitgliedstaaten legen fest, unter welchen Voraussetzungen ihre zuständigen Behörden der Übermittlung eines Urteils und gegebenenfalls einer Bewährungsentscheidung nach Absatz 2 zustimmen können.</w:t>
      </w:r>
    </w:p>
    <w:p w14:paraId="3DFF771E" w14:textId="77777777" w:rsidR="006856B3" w:rsidRPr="003E5188" w:rsidRDefault="006856B3" w:rsidP="00423A89">
      <w:pPr>
        <w:suppressAutoHyphens w:val="0"/>
        <w:autoSpaceDN/>
        <w:spacing w:after="0"/>
        <w:textAlignment w:val="auto"/>
        <w:rPr>
          <w:rFonts w:ascii="Times New Roman" w:hAnsi="Times New Roman"/>
          <w:sz w:val="28"/>
          <w:szCs w:val="28"/>
          <w:lang w:val="en-GB"/>
        </w:rPr>
      </w:pPr>
    </w:p>
    <w:p w14:paraId="0C898282" w14:textId="77777777" w:rsidR="00E00D02" w:rsidRDefault="00E00D02">
      <w:pPr>
        <w:suppressAutoHyphens w:val="0"/>
        <w:autoSpaceDN/>
        <w:spacing w:after="0"/>
        <w:textAlignment w:val="auto"/>
        <w:rPr>
          <w:rFonts w:ascii="Times New Roman" w:hAnsi="Times New Roman"/>
          <w:b/>
          <w:bCs/>
          <w:i/>
          <w:iCs/>
          <w:color w:val="2F5496" w:themeColor="accent1" w:themeShade="BF"/>
          <w:sz w:val="28"/>
          <w:szCs w:val="28"/>
        </w:rPr>
      </w:pPr>
      <w:r>
        <w:br w:type="page"/>
      </w:r>
    </w:p>
    <w:p w14:paraId="12606914" w14:textId="77777777"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lastRenderedPageBreak/>
        <w:t>F3:</w:t>
      </w:r>
      <w:r>
        <w:rPr>
          <w:rFonts w:ascii="Times New Roman" w:hAnsi="Times New Roman"/>
          <w:color w:val="2F5496" w:themeColor="accent1" w:themeShade="BF"/>
          <w:sz w:val="28"/>
        </w:rPr>
        <w:t xml:space="preserve"> Finden Sie die zuständigen Behörden, die an der möglichen Überstellung der verurteilten Person beteiligt sind (die zuständigen rumänischen und deutschen Behörden).</w:t>
      </w:r>
    </w:p>
    <w:p w14:paraId="17ABF26B"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Was die rumänischen Behörden betrifft, die für das Ersuchen um Übertragung der Überwachung zuständig sind, so sind dies nach der nationalen Gesetzgebung zur Umsetzung des RBR 2008/947/JI die Bezirksgerichte (in unserem Fall das Bezirksgericht Bukarest als das Gericht, das die Bewährungsstrafe verhängt hat). </w:t>
      </w:r>
    </w:p>
    <w:tbl>
      <w:tblPr>
        <w:tblW w:w="8931" w:type="dxa"/>
        <w:tblInd w:w="85" w:type="dxa"/>
        <w:tblCellMar>
          <w:left w:w="10" w:type="dxa"/>
          <w:right w:w="10" w:type="dxa"/>
        </w:tblCellMar>
        <w:tblLook w:val="0000" w:firstRow="0" w:lastRow="0" w:firstColumn="0" w:lastColumn="0" w:noHBand="0" w:noVBand="0"/>
      </w:tblPr>
      <w:tblGrid>
        <w:gridCol w:w="8931"/>
      </w:tblGrid>
      <w:tr w:rsidR="006856B3" w:rsidRPr="003E5188" w14:paraId="50B57821" w14:textId="77777777" w:rsidTr="009B09F0">
        <w:trPr>
          <w:trHeight w:val="926"/>
        </w:trPr>
        <w:tc>
          <w:tcPr>
            <w:tcW w:w="893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3A7FB7A8" w14:textId="77777777" w:rsidR="002013FF" w:rsidRPr="00E00D02" w:rsidRDefault="00BE68F0" w:rsidP="00E00D02">
            <w:pPr>
              <w:ind w:left="108"/>
              <w:jc w:val="both"/>
              <w:rPr>
                <w:rFonts w:ascii="Times New Roman" w:hAnsi="Times New Roman"/>
                <w:sz w:val="28"/>
                <w:szCs w:val="28"/>
              </w:rPr>
            </w:pPr>
            <w:hyperlink r:id="rId9" w:history="1">
              <w:r w:rsidR="005005DA">
                <w:rPr>
                  <w:rStyle w:val="Hyperlink"/>
                  <w:rFonts w:ascii="Times New Roman" w:hAnsi="Times New Roman"/>
                  <w:sz w:val="28"/>
                </w:rPr>
                <w:t>Die Informationen über die zuständigen Behörden</w:t>
              </w:r>
            </w:hyperlink>
            <w:r w:rsidR="005005DA">
              <w:rPr>
                <w:rFonts w:ascii="Times New Roman" w:hAnsi="Times New Roman"/>
                <w:sz w:val="28"/>
              </w:rPr>
              <w:t xml:space="preserve"> als Ausstellungsbehörden können auf der Website des EJN – </w:t>
            </w:r>
            <w:hyperlink r:id="rId10" w:history="1">
              <w:r w:rsidR="005005DA">
                <w:rPr>
                  <w:rStyle w:val="Hyperlink"/>
                  <w:rFonts w:ascii="Times New Roman" w:hAnsi="Times New Roman"/>
                  <w:sz w:val="28"/>
                </w:rPr>
                <w:t>www.ejn-crimjust.europa.eu</w:t>
              </w:r>
            </w:hyperlink>
            <w:r w:rsidR="005005DA">
              <w:rPr>
                <w:rFonts w:ascii="Times New Roman" w:hAnsi="Times New Roman"/>
                <w:sz w:val="28"/>
              </w:rPr>
              <w:t xml:space="preserve"> – eingesehen werden, und zwar in den ergänzenden Informationen des Sekretariats des Rates, die unter folgendem Link abrufbar sind (Informationen werden für jeden MS bereitgestellt).</w:t>
            </w:r>
          </w:p>
        </w:tc>
      </w:tr>
    </w:tbl>
    <w:p w14:paraId="5CCE6A7F" w14:textId="77777777" w:rsidR="00E664C6" w:rsidRPr="003E5188" w:rsidRDefault="00E664C6" w:rsidP="00A257D5">
      <w:pPr>
        <w:jc w:val="both"/>
        <w:rPr>
          <w:rFonts w:ascii="Times New Roman" w:hAnsi="Times New Roman"/>
          <w:sz w:val="28"/>
          <w:szCs w:val="28"/>
          <w:lang w:val="en-GB"/>
        </w:rPr>
      </w:pPr>
    </w:p>
    <w:p w14:paraId="75D8622D" w14:textId="77777777" w:rsidR="006856B3" w:rsidRPr="003E5188" w:rsidRDefault="00246D57" w:rsidP="00A257D5">
      <w:pPr>
        <w:jc w:val="both"/>
        <w:rPr>
          <w:rFonts w:ascii="Times New Roman" w:hAnsi="Times New Roman"/>
        </w:rPr>
      </w:pPr>
      <w:r>
        <w:rPr>
          <w:rFonts w:ascii="Times New Roman" w:hAnsi="Times New Roman"/>
          <w:sz w:val="28"/>
        </w:rPr>
        <w:t xml:space="preserve">Um die deutschen zuständigen Behörden zu finden, nutzen wir den </w:t>
      </w:r>
      <w:hyperlink r:id="rId11" w:history="1">
        <w:r>
          <w:rPr>
            <w:rStyle w:val="Hyperlink"/>
            <w:rFonts w:ascii="Times New Roman" w:hAnsi="Times New Roman"/>
            <w:b/>
            <w:i/>
            <w:sz w:val="28"/>
          </w:rPr>
          <w:t>Atlas</w:t>
        </w:r>
      </w:hyperlink>
      <w:r>
        <w:rPr>
          <w:rFonts w:ascii="Times New Roman" w:hAnsi="Times New Roman"/>
          <w:sz w:val="28"/>
        </w:rPr>
        <w:t xml:space="preserve">, der auf der Website des EJN – </w:t>
      </w:r>
      <w:hyperlink r:id="rId12" w:history="1">
        <w:r>
          <w:rPr>
            <w:rStyle w:val="Hyperlink"/>
            <w:rFonts w:ascii="Times New Roman" w:hAnsi="Times New Roman"/>
            <w:sz w:val="28"/>
          </w:rPr>
          <w:t>www.ejn-crimjust.europa.eu</w:t>
        </w:r>
      </w:hyperlink>
      <w:r>
        <w:rPr>
          <w:rFonts w:ascii="Times New Roman" w:hAnsi="Times New Roman"/>
          <w:sz w:val="28"/>
        </w:rPr>
        <w:t xml:space="preserve"> – eingesehen werden kann, wählen Deutschland als Vollstreckungsmitgliedstaat sowie </w:t>
      </w:r>
      <w:r>
        <w:rPr>
          <w:rFonts w:ascii="Times New Roman" w:hAnsi="Times New Roman"/>
          <w:i/>
          <w:sz w:val="28"/>
        </w:rPr>
        <w:t>904</w:t>
      </w:r>
      <w:r>
        <w:rPr>
          <w:rFonts w:ascii="Times New Roman" w:hAnsi="Times New Roman"/>
          <w:sz w:val="28"/>
        </w:rPr>
        <w:t>.</w:t>
      </w:r>
      <w:r>
        <w:rPr>
          <w:rFonts w:ascii="Times New Roman" w:hAnsi="Times New Roman"/>
          <w:i/>
          <w:sz w:val="28"/>
        </w:rPr>
        <w:t xml:space="preserve"> Bewährungsmaßnahmen.</w:t>
      </w:r>
    </w:p>
    <w:p w14:paraId="093B429A" w14:textId="77777777" w:rsidR="006856B3" w:rsidRPr="003E5188" w:rsidRDefault="006856B3" w:rsidP="00A257D5">
      <w:pPr>
        <w:jc w:val="both"/>
        <w:rPr>
          <w:rFonts w:ascii="Times New Roman" w:hAnsi="Times New Roman"/>
          <w:lang w:val="en-GB"/>
        </w:rPr>
      </w:pPr>
    </w:p>
    <w:p w14:paraId="4176B0F0" w14:textId="77777777" w:rsidR="006856B3" w:rsidRPr="003E5188" w:rsidRDefault="00246D57" w:rsidP="00A257D5">
      <w:pPr>
        <w:jc w:val="both"/>
        <w:rPr>
          <w:rFonts w:ascii="Times New Roman" w:hAnsi="Times New Roman"/>
          <w:sz w:val="28"/>
          <w:szCs w:val="28"/>
        </w:rPr>
      </w:pPr>
      <w:r>
        <w:rPr>
          <w:rFonts w:ascii="Times New Roman" w:hAnsi="Times New Roman"/>
          <w:sz w:val="28"/>
        </w:rPr>
        <w:t>Das Ergebnis sollte wie folgt aussehen:</w:t>
      </w:r>
    </w:p>
    <w:tbl>
      <w:tblPr>
        <w:tblW w:w="9090" w:type="dxa"/>
        <w:tblInd w:w="-5" w:type="dxa"/>
        <w:tblCellMar>
          <w:left w:w="10" w:type="dxa"/>
          <w:right w:w="10" w:type="dxa"/>
        </w:tblCellMar>
        <w:tblLook w:val="0000" w:firstRow="0" w:lastRow="0" w:firstColumn="0" w:lastColumn="0" w:noHBand="0" w:noVBand="0"/>
      </w:tblPr>
      <w:tblGrid>
        <w:gridCol w:w="9090"/>
      </w:tblGrid>
      <w:tr w:rsidR="006856B3" w:rsidRPr="003E5188" w14:paraId="5A890697" w14:textId="77777777" w:rsidTr="009B09F0">
        <w:trPr>
          <w:trHeight w:val="2882"/>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16EBA5D" w14:textId="77777777" w:rsidR="006856B3" w:rsidRPr="003E5188" w:rsidRDefault="00246D57" w:rsidP="009B09F0">
            <w:pPr>
              <w:spacing w:after="0"/>
              <w:jc w:val="both"/>
              <w:rPr>
                <w:rFonts w:ascii="Times New Roman" w:hAnsi="Times New Roman"/>
                <w:sz w:val="28"/>
                <w:szCs w:val="28"/>
              </w:rPr>
            </w:pPr>
            <w:r>
              <w:rPr>
                <w:rFonts w:ascii="Times New Roman" w:hAnsi="Times New Roman"/>
                <w:b/>
                <w:color w:val="2F5496" w:themeColor="accent1" w:themeShade="BF"/>
                <w:sz w:val="28"/>
              </w:rPr>
              <w:t>Name:</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t xml:space="preserve">STAATSANWALTSCHAFT HAMBURG </w:t>
            </w:r>
          </w:p>
          <w:p w14:paraId="0FF026BA" w14:textId="77777777" w:rsidR="006856B3" w:rsidRPr="003E5188" w:rsidRDefault="00246D57" w:rsidP="009B09F0">
            <w:pPr>
              <w:spacing w:after="0"/>
              <w:jc w:val="both"/>
              <w:rPr>
                <w:rFonts w:ascii="Times New Roman" w:hAnsi="Times New Roman"/>
                <w:sz w:val="28"/>
                <w:szCs w:val="28"/>
              </w:rPr>
            </w:pPr>
            <w:r>
              <w:rPr>
                <w:rFonts w:ascii="Times New Roman" w:hAnsi="Times New Roman"/>
                <w:b/>
                <w:color w:val="2F5496" w:themeColor="accent1" w:themeShade="BF"/>
                <w:sz w:val="28"/>
              </w:rPr>
              <w:t xml:space="preserve">Adresse: </w:t>
            </w:r>
            <w:r>
              <w:rPr>
                <w:rFonts w:ascii="Times New Roman" w:hAnsi="Times New Roman"/>
                <w:b/>
                <w:color w:val="2F5496" w:themeColor="accent1" w:themeShade="BF"/>
                <w:sz w:val="28"/>
              </w:rPr>
              <w:tab/>
            </w:r>
            <w:r>
              <w:rPr>
                <w:rFonts w:ascii="Times New Roman" w:hAnsi="Times New Roman"/>
                <w:sz w:val="28"/>
              </w:rPr>
              <w:tab/>
              <w:t xml:space="preserve">Gorch-fock-wall 15 </w:t>
            </w:r>
          </w:p>
          <w:p w14:paraId="0B0A761B" w14:textId="77777777" w:rsidR="006856B3" w:rsidRPr="003E5188" w:rsidRDefault="00246D57" w:rsidP="009B09F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 xml:space="preserve">Abteilung (Kammer): </w:t>
            </w:r>
          </w:p>
          <w:p w14:paraId="2B61A232" w14:textId="77777777" w:rsidR="006856B3" w:rsidRPr="003E5188" w:rsidRDefault="00246D57" w:rsidP="009B09F0">
            <w:pPr>
              <w:spacing w:after="0"/>
              <w:jc w:val="both"/>
              <w:rPr>
                <w:rFonts w:ascii="Times New Roman" w:hAnsi="Times New Roman"/>
                <w:sz w:val="28"/>
                <w:szCs w:val="28"/>
              </w:rPr>
            </w:pPr>
            <w:r>
              <w:rPr>
                <w:rFonts w:ascii="Times New Roman" w:hAnsi="Times New Roman"/>
                <w:b/>
                <w:color w:val="2F5496" w:themeColor="accent1" w:themeShade="BF"/>
                <w:sz w:val="28"/>
              </w:rPr>
              <w:t xml:space="preserve">Ort: </w:t>
            </w:r>
            <w:r>
              <w:rPr>
                <w:rFonts w:ascii="Times New Roman" w:hAnsi="Times New Roman"/>
                <w:b/>
                <w:color w:val="2F5496" w:themeColor="accent1" w:themeShade="BF"/>
                <w:sz w:val="28"/>
              </w:rPr>
              <w:tab/>
            </w:r>
            <w:r>
              <w:rPr>
                <w:rFonts w:ascii="Times New Roman" w:hAnsi="Times New Roman"/>
                <w:sz w:val="28"/>
              </w:rPr>
              <w:tab/>
            </w:r>
            <w:r>
              <w:rPr>
                <w:rFonts w:ascii="Times New Roman" w:hAnsi="Times New Roman"/>
                <w:sz w:val="28"/>
              </w:rPr>
              <w:tab/>
              <w:t xml:space="preserve">Hamburg </w:t>
            </w:r>
          </w:p>
          <w:p w14:paraId="5B9812B8" w14:textId="77777777" w:rsidR="006856B3" w:rsidRPr="003E5188" w:rsidRDefault="00246D57" w:rsidP="009B09F0">
            <w:pPr>
              <w:spacing w:after="0"/>
              <w:jc w:val="both"/>
              <w:rPr>
                <w:rFonts w:ascii="Times New Roman" w:hAnsi="Times New Roman"/>
                <w:sz w:val="28"/>
                <w:szCs w:val="28"/>
              </w:rPr>
            </w:pPr>
            <w:r>
              <w:rPr>
                <w:rFonts w:ascii="Times New Roman" w:hAnsi="Times New Roman"/>
                <w:b/>
                <w:color w:val="2F5496" w:themeColor="accent1" w:themeShade="BF"/>
                <w:sz w:val="28"/>
              </w:rPr>
              <w:t>Postleitzahl:</w:t>
            </w:r>
            <w:r>
              <w:rPr>
                <w:rFonts w:ascii="Times New Roman" w:hAnsi="Times New Roman"/>
                <w:color w:val="2F5496" w:themeColor="accent1" w:themeShade="BF"/>
                <w:sz w:val="28"/>
              </w:rPr>
              <w:t xml:space="preserve"> </w:t>
            </w:r>
            <w:r>
              <w:rPr>
                <w:rFonts w:ascii="Times New Roman" w:hAnsi="Times New Roman"/>
                <w:sz w:val="28"/>
              </w:rPr>
              <w:tab/>
              <w:t xml:space="preserve">20355 </w:t>
            </w:r>
          </w:p>
          <w:p w14:paraId="74130807" w14:textId="77777777" w:rsidR="006856B3" w:rsidRPr="003E5188" w:rsidRDefault="00246D57" w:rsidP="009B09F0">
            <w:pPr>
              <w:spacing w:after="0"/>
              <w:jc w:val="both"/>
              <w:rPr>
                <w:rFonts w:ascii="Times New Roman" w:hAnsi="Times New Roman"/>
                <w:sz w:val="28"/>
                <w:szCs w:val="28"/>
              </w:rPr>
            </w:pPr>
            <w:r>
              <w:rPr>
                <w:rFonts w:ascii="Times New Roman" w:hAnsi="Times New Roman"/>
                <w:b/>
                <w:color w:val="2F5496" w:themeColor="accent1" w:themeShade="BF"/>
                <w:sz w:val="28"/>
              </w:rPr>
              <w:t>Telefonnummer:</w:t>
            </w:r>
            <w:r>
              <w:rPr>
                <w:rFonts w:ascii="Times New Roman" w:hAnsi="Times New Roman"/>
                <w:color w:val="2F5496" w:themeColor="accent1" w:themeShade="BF"/>
                <w:sz w:val="28"/>
              </w:rPr>
              <w:t xml:space="preserve"> </w:t>
            </w:r>
            <w:r>
              <w:rPr>
                <w:rFonts w:ascii="Times New Roman" w:hAnsi="Times New Roman"/>
                <w:sz w:val="28"/>
              </w:rPr>
              <w:tab/>
              <w:t xml:space="preserve">(+49) 40 428280 </w:t>
            </w:r>
          </w:p>
          <w:p w14:paraId="1927DB59" w14:textId="77777777" w:rsidR="006856B3" w:rsidRPr="003E5188" w:rsidRDefault="00246D57" w:rsidP="009B09F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 xml:space="preserve">Mobiltelefonnummer: </w:t>
            </w:r>
          </w:p>
          <w:p w14:paraId="2916A0E7" w14:textId="77777777" w:rsidR="006856B3" w:rsidRPr="003E5188" w:rsidRDefault="00246D57" w:rsidP="009B09F0">
            <w:pPr>
              <w:spacing w:after="0"/>
              <w:jc w:val="both"/>
              <w:rPr>
                <w:rFonts w:ascii="Times New Roman" w:hAnsi="Times New Roman"/>
                <w:sz w:val="28"/>
                <w:szCs w:val="28"/>
              </w:rPr>
            </w:pPr>
            <w:r>
              <w:rPr>
                <w:rFonts w:ascii="Times New Roman" w:hAnsi="Times New Roman"/>
                <w:b/>
                <w:color w:val="2F5496" w:themeColor="accent1" w:themeShade="BF"/>
                <w:sz w:val="28"/>
              </w:rPr>
              <w:t>Faxnummer:</w:t>
            </w:r>
            <w:r>
              <w:rPr>
                <w:rFonts w:ascii="Times New Roman" w:hAnsi="Times New Roman"/>
                <w:color w:val="2F5496" w:themeColor="accent1" w:themeShade="BF"/>
                <w:sz w:val="28"/>
              </w:rPr>
              <w:t xml:space="preserve"> </w:t>
            </w:r>
            <w:r>
              <w:rPr>
                <w:rFonts w:ascii="Times New Roman" w:hAnsi="Times New Roman"/>
                <w:sz w:val="28"/>
              </w:rPr>
              <w:tab/>
              <w:t xml:space="preserve">(+49) 40 428433968 </w:t>
            </w:r>
          </w:p>
          <w:p w14:paraId="642780E7" w14:textId="77777777" w:rsidR="006856B3" w:rsidRPr="003E5188" w:rsidRDefault="00246D57" w:rsidP="009B09F0">
            <w:pPr>
              <w:spacing w:after="0"/>
              <w:jc w:val="both"/>
              <w:rPr>
                <w:rFonts w:ascii="Times New Roman" w:hAnsi="Times New Roman"/>
                <w:b/>
                <w:sz w:val="28"/>
                <w:szCs w:val="28"/>
              </w:rPr>
            </w:pPr>
            <w:r>
              <w:rPr>
                <w:rFonts w:ascii="Times New Roman" w:hAnsi="Times New Roman"/>
                <w:b/>
                <w:color w:val="2F5496" w:themeColor="accent1" w:themeShade="BF"/>
                <w:sz w:val="28"/>
              </w:rPr>
              <w:t xml:space="preserve">E-Mail-Adresse: </w:t>
            </w:r>
            <w:r>
              <w:rPr>
                <w:rFonts w:ascii="Times New Roman" w:hAnsi="Times New Roman"/>
                <w:sz w:val="28"/>
              </w:rPr>
              <w:t>Poststelle-Staatsanwaltschaft@sta.justiz.hamburg.de</w:t>
            </w:r>
          </w:p>
        </w:tc>
      </w:tr>
    </w:tbl>
    <w:p w14:paraId="55CEC58A" w14:textId="77777777" w:rsidR="00E00D02" w:rsidRDefault="00E00D02" w:rsidP="00A257D5">
      <w:pPr>
        <w:jc w:val="both"/>
        <w:rPr>
          <w:rFonts w:ascii="Times New Roman" w:hAnsi="Times New Roman"/>
          <w:sz w:val="28"/>
          <w:szCs w:val="28"/>
          <w:lang w:val="en-GB"/>
        </w:rPr>
      </w:pPr>
    </w:p>
    <w:p w14:paraId="787D348B" w14:textId="77777777" w:rsidR="00B62C70" w:rsidRPr="003E5188" w:rsidRDefault="00246D57" w:rsidP="00A257D5">
      <w:pPr>
        <w:jc w:val="both"/>
        <w:rPr>
          <w:rFonts w:ascii="Times New Roman" w:hAnsi="Times New Roman"/>
          <w:sz w:val="28"/>
          <w:szCs w:val="28"/>
        </w:rPr>
      </w:pPr>
      <w:r>
        <w:rPr>
          <w:rFonts w:ascii="Times New Roman" w:hAnsi="Times New Roman"/>
          <w:sz w:val="28"/>
        </w:rPr>
        <w:t xml:space="preserve">Und das </w:t>
      </w:r>
      <w:hyperlink r:id="rId13" w:history="1">
        <w:r>
          <w:rPr>
            <w:rStyle w:val="Hyperlink"/>
            <w:rFonts w:ascii="Times New Roman" w:hAnsi="Times New Roman"/>
            <w:sz w:val="28"/>
          </w:rPr>
          <w:t>Ergebnis der Suche finden Sie hier</w:t>
        </w:r>
      </w:hyperlink>
      <w:r>
        <w:rPr>
          <w:rStyle w:val="Hyperlink"/>
          <w:rFonts w:ascii="Times New Roman" w:hAnsi="Times New Roman"/>
          <w:sz w:val="28"/>
        </w:rPr>
        <w:t>:</w:t>
      </w:r>
    </w:p>
    <w:p w14:paraId="7655AA89" w14:textId="77777777" w:rsidR="00B62C70" w:rsidRPr="003E5188" w:rsidRDefault="003A0A74" w:rsidP="003A0A74">
      <w:pPr>
        <w:suppressAutoHyphens w:val="0"/>
        <w:autoSpaceDN/>
        <w:spacing w:after="0"/>
        <w:textAlignment w:val="auto"/>
        <w:rPr>
          <w:rFonts w:ascii="Times New Roman" w:hAnsi="Times New Roman"/>
          <w:sz w:val="28"/>
          <w:szCs w:val="28"/>
        </w:rPr>
      </w:pPr>
      <w:r>
        <w:br w:type="page"/>
      </w:r>
    </w:p>
    <w:p w14:paraId="4F7C354B" w14:textId="77777777" w:rsidR="000F2C96" w:rsidRPr="003E5188" w:rsidRDefault="00246D57" w:rsidP="000F2C96">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lastRenderedPageBreak/>
        <w:t>F4:</w:t>
      </w:r>
      <w:r>
        <w:rPr>
          <w:rFonts w:ascii="Times New Roman" w:hAnsi="Times New Roman"/>
          <w:color w:val="2F5496" w:themeColor="accent1" w:themeShade="BF"/>
          <w:sz w:val="28"/>
        </w:rPr>
        <w:t xml:space="preserve"> Wie werden die zuständige Ausstellungsbehörde und die zuständige Vollstreckungsbehörde in diesem Fall vorgehen?</w:t>
      </w:r>
    </w:p>
    <w:p w14:paraId="6B154AE5" w14:textId="77777777" w:rsidR="003A0A74" w:rsidRPr="003E5188" w:rsidRDefault="003A0A74" w:rsidP="000F2C96">
      <w:pPr>
        <w:jc w:val="both"/>
        <w:rPr>
          <w:rFonts w:ascii="Times New Roman" w:hAnsi="Times New Roman"/>
          <w:color w:val="2F5496" w:themeColor="accent1" w:themeShade="BF"/>
          <w:sz w:val="28"/>
          <w:szCs w:val="28"/>
          <w:lang w:val="en-GB"/>
        </w:rPr>
      </w:pPr>
    </w:p>
    <w:p w14:paraId="2AE72C6D" w14:textId="77777777" w:rsidR="006856B3" w:rsidRPr="003E5188" w:rsidRDefault="00246D57" w:rsidP="00A257D5">
      <w:pPr>
        <w:pStyle w:val="Listenabsatz"/>
        <w:numPr>
          <w:ilvl w:val="0"/>
          <w:numId w:val="9"/>
        </w:numPr>
        <w:jc w:val="both"/>
        <w:rPr>
          <w:rFonts w:ascii="Times New Roman" w:hAnsi="Times New Roman"/>
          <w:b/>
          <w:bCs/>
          <w:sz w:val="28"/>
          <w:szCs w:val="28"/>
        </w:rPr>
      </w:pPr>
      <w:r>
        <w:rPr>
          <w:rFonts w:ascii="Times New Roman" w:hAnsi="Times New Roman"/>
          <w:b/>
          <w:sz w:val="28"/>
        </w:rPr>
        <w:t>Zuständige Ausstellungsbehörde</w:t>
      </w:r>
    </w:p>
    <w:p w14:paraId="01A0278B" w14:textId="77777777" w:rsidR="006856B3" w:rsidRPr="003E5188" w:rsidRDefault="00246D57" w:rsidP="00A257D5">
      <w:pPr>
        <w:jc w:val="both"/>
        <w:rPr>
          <w:rFonts w:ascii="Times New Roman" w:hAnsi="Times New Roman"/>
        </w:rPr>
      </w:pPr>
      <w:r>
        <w:rPr>
          <w:rFonts w:ascii="Times New Roman" w:hAnsi="Times New Roman"/>
          <w:sz w:val="28"/>
        </w:rPr>
        <w:t>Im Hinblick auf die Erleichterung der Resozialisierung der verurteilten Person und mit Zustimmung der verurteilten Person prüft die rumänische zuständige Behörde die in Artikel 5 Absatz 1 des RBR festgelegten Kriterien.</w:t>
      </w:r>
    </w:p>
    <w:p w14:paraId="7819C015" w14:textId="77777777" w:rsidR="006856B3" w:rsidRPr="003E5188" w:rsidRDefault="00246D57" w:rsidP="00A257D5">
      <w:pPr>
        <w:jc w:val="both"/>
        <w:rPr>
          <w:rFonts w:ascii="Times New Roman" w:hAnsi="Times New Roman"/>
        </w:rPr>
      </w:pPr>
      <w:r>
        <w:rPr>
          <w:rFonts w:ascii="Times New Roman" w:hAnsi="Times New Roman"/>
          <w:sz w:val="28"/>
        </w:rPr>
        <w:t xml:space="preserve">Die rumänische zuständige Behörde </w:t>
      </w:r>
      <w:r>
        <w:rPr>
          <w:rFonts w:ascii="Times New Roman" w:hAnsi="Times New Roman"/>
          <w:b/>
          <w:sz w:val="28"/>
        </w:rPr>
        <w:t>füllt</w:t>
      </w:r>
      <w:r>
        <w:rPr>
          <w:rFonts w:ascii="Times New Roman" w:hAnsi="Times New Roman"/>
          <w:sz w:val="28"/>
        </w:rPr>
        <w:t xml:space="preserve"> </w:t>
      </w:r>
      <w:r>
        <w:rPr>
          <w:rFonts w:ascii="Times New Roman" w:hAnsi="Times New Roman"/>
          <w:b/>
          <w:sz w:val="28"/>
        </w:rPr>
        <w:t>die Bescheinigung</w:t>
      </w:r>
      <w:r>
        <w:rPr>
          <w:rFonts w:ascii="Times New Roman" w:hAnsi="Times New Roman"/>
          <w:sz w:val="28"/>
        </w:rPr>
        <w:t xml:space="preserve"> in Anhang I des RBR 2008/947 </w:t>
      </w:r>
      <w:r>
        <w:rPr>
          <w:rFonts w:ascii="Times New Roman" w:hAnsi="Times New Roman"/>
          <w:b/>
          <w:sz w:val="28"/>
        </w:rPr>
        <w:t>aus</w:t>
      </w:r>
      <w:r>
        <w:rPr>
          <w:rFonts w:ascii="Times New Roman" w:hAnsi="Times New Roman"/>
          <w:sz w:val="28"/>
        </w:rPr>
        <w:t xml:space="preserve"> und sendet sie zusammen mit dem Urteil direkt an die unter Punkt 3 genannte zuständige Vollstreckungsbehörde.</w:t>
      </w:r>
    </w:p>
    <w:p w14:paraId="0EEAD580" w14:textId="77777777" w:rsidR="000F2C96" w:rsidRPr="003E5188" w:rsidRDefault="00246D57" w:rsidP="00A257D5">
      <w:pPr>
        <w:jc w:val="both"/>
        <w:rPr>
          <w:rFonts w:ascii="Times New Roman" w:hAnsi="Times New Roman"/>
          <w:sz w:val="28"/>
          <w:szCs w:val="28"/>
        </w:rPr>
      </w:pPr>
      <w:r>
        <w:rPr>
          <w:rFonts w:ascii="Times New Roman" w:hAnsi="Times New Roman"/>
          <w:sz w:val="28"/>
        </w:rPr>
        <w:t xml:space="preserve">Nach Artikel 21 des RBR müssen das Urteil und die Bescheinigung </w:t>
      </w:r>
      <w:r>
        <w:rPr>
          <w:rFonts w:ascii="Times New Roman" w:hAnsi="Times New Roman"/>
          <w:b/>
          <w:sz w:val="28"/>
        </w:rPr>
        <w:t>ins Deutsche übersetzt werden</w:t>
      </w:r>
      <w:r>
        <w:rPr>
          <w:rFonts w:ascii="Times New Roman" w:hAnsi="Times New Roman"/>
          <w:sz w:val="28"/>
        </w:rPr>
        <w:t>.</w:t>
      </w:r>
    </w:p>
    <w:p w14:paraId="620D55DB" w14:textId="77777777" w:rsidR="003A0A74" w:rsidRPr="003E5188" w:rsidRDefault="003A0A74" w:rsidP="00A257D5">
      <w:pPr>
        <w:jc w:val="both"/>
        <w:rPr>
          <w:rFonts w:ascii="Times New Roman" w:hAnsi="Times New Roman"/>
          <w:sz w:val="28"/>
          <w:szCs w:val="28"/>
          <w:lang w:val="en-GB"/>
        </w:rPr>
      </w:pPr>
    </w:p>
    <w:p w14:paraId="34A3A1E7" w14:textId="77777777" w:rsidR="006856B3" w:rsidRPr="003E5188" w:rsidRDefault="00246D57" w:rsidP="00A257D5">
      <w:pPr>
        <w:pStyle w:val="Listenabsatz"/>
        <w:numPr>
          <w:ilvl w:val="0"/>
          <w:numId w:val="9"/>
        </w:numPr>
        <w:jc w:val="both"/>
        <w:rPr>
          <w:rFonts w:ascii="Times New Roman" w:hAnsi="Times New Roman"/>
          <w:b/>
          <w:bCs/>
          <w:sz w:val="28"/>
          <w:szCs w:val="28"/>
        </w:rPr>
      </w:pPr>
      <w:r>
        <w:rPr>
          <w:rFonts w:ascii="Times New Roman" w:hAnsi="Times New Roman"/>
          <w:b/>
          <w:sz w:val="28"/>
        </w:rPr>
        <w:t>Zuständige Vollstreckungsbehörde</w:t>
      </w:r>
    </w:p>
    <w:p w14:paraId="0486F19D" w14:textId="77777777" w:rsidR="006856B3" w:rsidRPr="003E5188" w:rsidRDefault="00246D57" w:rsidP="00A257D5">
      <w:pPr>
        <w:jc w:val="both"/>
        <w:rPr>
          <w:rFonts w:ascii="Times New Roman" w:hAnsi="Times New Roman"/>
        </w:rPr>
      </w:pPr>
      <w:r>
        <w:rPr>
          <w:rFonts w:ascii="Times New Roman" w:hAnsi="Times New Roman"/>
          <w:sz w:val="28"/>
        </w:rPr>
        <w:t xml:space="preserve">Nach Erhalt des Urteils und der Bescheinigung von den rumänischen Behörden muss </w:t>
      </w:r>
      <w:r>
        <w:rPr>
          <w:rFonts w:ascii="Times New Roman" w:hAnsi="Times New Roman"/>
          <w:b/>
          <w:sz w:val="28"/>
        </w:rPr>
        <w:t>die deutsche zuständige Behörde</w:t>
      </w:r>
      <w:r>
        <w:rPr>
          <w:rFonts w:ascii="Times New Roman" w:hAnsi="Times New Roman"/>
          <w:sz w:val="28"/>
        </w:rPr>
        <w:t xml:space="preserve"> eine Entscheidung darüber treffen, ob sie die Auflagen gemäß </w:t>
      </w:r>
      <w:r>
        <w:rPr>
          <w:rFonts w:ascii="Times New Roman" w:hAnsi="Times New Roman"/>
          <w:b/>
          <w:sz w:val="28"/>
        </w:rPr>
        <w:t>Artikel 6 des RBR</w:t>
      </w:r>
      <w:r>
        <w:rPr>
          <w:rFonts w:ascii="Times New Roman" w:hAnsi="Times New Roman"/>
          <w:sz w:val="28"/>
        </w:rPr>
        <w:t xml:space="preserve"> anerkennt und überwacht.</w:t>
      </w:r>
    </w:p>
    <w:p w14:paraId="47EFCD94" w14:textId="77777777" w:rsidR="006856B3" w:rsidRPr="003E5188" w:rsidRDefault="00246D57" w:rsidP="00A257D5">
      <w:pPr>
        <w:jc w:val="both"/>
        <w:rPr>
          <w:rFonts w:ascii="Times New Roman" w:hAnsi="Times New Roman"/>
        </w:rPr>
      </w:pPr>
      <w:r>
        <w:rPr>
          <w:rFonts w:ascii="Times New Roman" w:hAnsi="Times New Roman"/>
          <w:sz w:val="28"/>
        </w:rPr>
        <w:t xml:space="preserve">Denken Sie daran, dass die </w:t>
      </w:r>
      <w:r>
        <w:rPr>
          <w:rFonts w:ascii="Times New Roman" w:hAnsi="Times New Roman"/>
          <w:b/>
          <w:sz w:val="28"/>
        </w:rPr>
        <w:t>Gründe für die Versagung der Anerkennung und Überwachung</w:t>
      </w:r>
      <w:r>
        <w:rPr>
          <w:rFonts w:ascii="Times New Roman" w:hAnsi="Times New Roman"/>
          <w:sz w:val="28"/>
        </w:rPr>
        <w:t xml:space="preserve"> begrenzt sind und in Artikel 11 des RBR ausdrücklich aufgeführt werden. </w:t>
      </w:r>
    </w:p>
    <w:p w14:paraId="55AE93C9" w14:textId="77777777" w:rsidR="006856B3" w:rsidRPr="003E5188" w:rsidRDefault="00246D57" w:rsidP="00A257D5">
      <w:pPr>
        <w:jc w:val="both"/>
        <w:rPr>
          <w:rFonts w:ascii="Times New Roman" w:hAnsi="Times New Roman"/>
        </w:rPr>
      </w:pPr>
      <w:r>
        <w:rPr>
          <w:rFonts w:ascii="Times New Roman" w:hAnsi="Times New Roman"/>
          <w:b/>
          <w:sz w:val="28"/>
        </w:rPr>
        <w:t>Die Fristen</w:t>
      </w:r>
      <w:r>
        <w:rPr>
          <w:rFonts w:ascii="Times New Roman" w:hAnsi="Times New Roman"/>
          <w:sz w:val="28"/>
        </w:rPr>
        <w:t xml:space="preserve"> für eine solche Entscheidung sind in Artikel 12 des RBR genannt. </w:t>
      </w:r>
    </w:p>
    <w:p w14:paraId="25686AE0" w14:textId="77777777" w:rsidR="006856B3" w:rsidRPr="003E5188" w:rsidRDefault="00246D57" w:rsidP="00A257D5">
      <w:pPr>
        <w:jc w:val="both"/>
        <w:rPr>
          <w:rFonts w:ascii="Times New Roman" w:hAnsi="Times New Roman"/>
        </w:rPr>
      </w:pPr>
      <w:r>
        <w:rPr>
          <w:rFonts w:ascii="Times New Roman" w:hAnsi="Times New Roman"/>
          <w:sz w:val="28"/>
        </w:rPr>
        <w:t xml:space="preserve">Die Vollstreckungsbehörden müssen die Ausstellungsbehörde laut Artikel 18 des RBR über Folgendes </w:t>
      </w:r>
      <w:r>
        <w:rPr>
          <w:rFonts w:ascii="Times New Roman" w:hAnsi="Times New Roman"/>
          <w:b/>
          <w:sz w:val="28"/>
        </w:rPr>
        <w:t>unterrichten</w:t>
      </w:r>
      <w:r>
        <w:rPr>
          <w:rFonts w:ascii="Times New Roman" w:hAnsi="Times New Roman"/>
          <w:sz w:val="28"/>
        </w:rPr>
        <w:t>:</w:t>
      </w:r>
    </w:p>
    <w:p w14:paraId="31D8D996" w14:textId="77777777" w:rsidR="006856B3" w:rsidRPr="003E5188" w:rsidRDefault="00246D57" w:rsidP="00A257D5">
      <w:pPr>
        <w:pStyle w:val="Listenabsatz"/>
        <w:numPr>
          <w:ilvl w:val="0"/>
          <w:numId w:val="10"/>
        </w:numPr>
        <w:ind w:left="1077" w:hanging="357"/>
        <w:jc w:val="both"/>
        <w:rPr>
          <w:rFonts w:ascii="Times New Roman" w:hAnsi="Times New Roman"/>
          <w:i/>
          <w:iCs/>
          <w:sz w:val="28"/>
          <w:szCs w:val="28"/>
        </w:rPr>
      </w:pPr>
      <w:r>
        <w:rPr>
          <w:rFonts w:ascii="Times New Roman" w:hAnsi="Times New Roman"/>
          <w:i/>
          <w:sz w:val="28"/>
        </w:rPr>
        <w:t>die Übermittlung des Urteils und gegebenenfalls der Bewährungsentscheidung zusammen mit der in Artikel 6 Absatz 1 genannten Bescheinigung an die Behörde, die für die Anerkennung und für die zur Überwachung der Bewährungsmaßnahmen oder alternativen Sanktionen nach Artikel 6 Absatz 7 zu ergreifenden Maßnahmen zuständig ist, sofern sie nach nationalem Recht nicht zuständig sind,</w:t>
      </w:r>
    </w:p>
    <w:p w14:paraId="67200A89" w14:textId="77777777" w:rsidR="006856B3" w:rsidRPr="003E5188" w:rsidRDefault="00246D57" w:rsidP="00A257D5">
      <w:pPr>
        <w:pStyle w:val="Listenabsatz"/>
        <w:numPr>
          <w:ilvl w:val="0"/>
          <w:numId w:val="10"/>
        </w:numPr>
        <w:ind w:left="1077" w:hanging="357"/>
        <w:jc w:val="both"/>
        <w:rPr>
          <w:rFonts w:ascii="Times New Roman" w:hAnsi="Times New Roman"/>
          <w:i/>
          <w:iCs/>
          <w:sz w:val="28"/>
          <w:szCs w:val="28"/>
        </w:rPr>
      </w:pPr>
      <w:r>
        <w:rPr>
          <w:rFonts w:ascii="Times New Roman" w:hAnsi="Times New Roman"/>
          <w:i/>
          <w:sz w:val="28"/>
        </w:rPr>
        <w:t>die endgültige Entscheidung, das Urteil und gegebenenfalls die Bewährungsentscheidung anzuerkennen und die Zuständigkeit für die Überwachung der Bewährungsmaßnahme oder der alternativen Sanktion zu übernehmen,</w:t>
      </w:r>
    </w:p>
    <w:p w14:paraId="534108B4" w14:textId="77777777" w:rsidR="006856B3" w:rsidRPr="003E5188" w:rsidRDefault="00246D57" w:rsidP="00A257D5">
      <w:pPr>
        <w:pStyle w:val="Listenabsatz"/>
        <w:numPr>
          <w:ilvl w:val="0"/>
          <w:numId w:val="10"/>
        </w:numPr>
        <w:ind w:left="1077" w:hanging="357"/>
        <w:jc w:val="both"/>
        <w:rPr>
          <w:rFonts w:ascii="Times New Roman" w:hAnsi="Times New Roman"/>
          <w:i/>
          <w:iCs/>
          <w:sz w:val="28"/>
          <w:szCs w:val="28"/>
        </w:rPr>
      </w:pPr>
      <w:r>
        <w:rPr>
          <w:rFonts w:ascii="Times New Roman" w:hAnsi="Times New Roman"/>
          <w:i/>
          <w:sz w:val="28"/>
        </w:rPr>
        <w:t xml:space="preserve">eine Entscheidung, das Urteil und gegebenenfalls die Bewährungsentscheidung nicht anzuerkennen und die Zuständigkeit </w:t>
      </w:r>
      <w:r>
        <w:rPr>
          <w:rFonts w:ascii="Times New Roman" w:hAnsi="Times New Roman"/>
          <w:i/>
          <w:sz w:val="28"/>
        </w:rPr>
        <w:lastRenderedPageBreak/>
        <w:t>für die Überwachung der Bewährungsmaßnahmen oder alternativen Sanktionen gemäß Artikel 11 nicht zu übernehmen, zusammen mit den Gründen für die Entscheidung,</w:t>
      </w:r>
    </w:p>
    <w:p w14:paraId="00F7C08E" w14:textId="77777777" w:rsidR="006856B3" w:rsidRPr="003E5188" w:rsidRDefault="00246D57" w:rsidP="00A257D5">
      <w:pPr>
        <w:pStyle w:val="Listenabsatz"/>
        <w:numPr>
          <w:ilvl w:val="0"/>
          <w:numId w:val="10"/>
        </w:numPr>
        <w:jc w:val="both"/>
        <w:rPr>
          <w:rFonts w:ascii="Times New Roman" w:hAnsi="Times New Roman"/>
          <w:i/>
          <w:iCs/>
          <w:sz w:val="28"/>
          <w:szCs w:val="28"/>
        </w:rPr>
      </w:pPr>
      <w:r>
        <w:rPr>
          <w:rFonts w:ascii="Times New Roman" w:hAnsi="Times New Roman"/>
          <w:i/>
          <w:sz w:val="28"/>
        </w:rPr>
        <w:t>eine Entscheidung, die Bewährungsmaßnahmen oder alternativen Sanktionen gemäß Artikel 9 anzupassen, zusammen mit den Gründen für die Entscheidung.</w:t>
      </w:r>
    </w:p>
    <w:p w14:paraId="3BA2AEED" w14:textId="77777777" w:rsidR="006856B3" w:rsidRPr="003E5188" w:rsidRDefault="00246D57" w:rsidP="00A257D5">
      <w:pPr>
        <w:jc w:val="both"/>
        <w:rPr>
          <w:rFonts w:ascii="Times New Roman" w:hAnsi="Times New Roman"/>
          <w:sz w:val="28"/>
          <w:szCs w:val="28"/>
        </w:rPr>
      </w:pPr>
      <w:bookmarkStart w:id="3" w:name="_Hlk34055516"/>
      <w:r>
        <w:rPr>
          <w:rFonts w:ascii="Times New Roman" w:hAnsi="Times New Roman"/>
          <w:sz w:val="28"/>
        </w:rPr>
        <w:t xml:space="preserve">Wie in Artikel 15 des RBR dargelegt, </w:t>
      </w:r>
      <w:r>
        <w:rPr>
          <w:rFonts w:ascii="Times New Roman" w:hAnsi="Times New Roman"/>
          <w:b/>
          <w:sz w:val="28"/>
        </w:rPr>
        <w:t>können</w:t>
      </w:r>
      <w:r>
        <w:rPr>
          <w:rFonts w:ascii="Times New Roman" w:hAnsi="Times New Roman"/>
          <w:sz w:val="28"/>
        </w:rPr>
        <w:t xml:space="preserve"> die zuständigen Behörden des Ausstellungsstaats und des Vollstreckungsstaats einander jederzeit </w:t>
      </w:r>
      <w:r>
        <w:rPr>
          <w:rFonts w:ascii="Times New Roman" w:hAnsi="Times New Roman"/>
          <w:b/>
          <w:sz w:val="28"/>
        </w:rPr>
        <w:t>konsultieren</w:t>
      </w:r>
      <w:r>
        <w:rPr>
          <w:rFonts w:ascii="Times New Roman" w:hAnsi="Times New Roman"/>
          <w:sz w:val="28"/>
        </w:rPr>
        <w:t>, um die reibungslose und effiziente Anwendung des Rahmenbeschlusses zu erleichtern.</w:t>
      </w:r>
    </w:p>
    <w:p w14:paraId="6B1D7B6F" w14:textId="77777777" w:rsidR="00E25CD0" w:rsidRPr="003E5188" w:rsidRDefault="00E25CD0" w:rsidP="00A257D5">
      <w:pPr>
        <w:jc w:val="both"/>
        <w:rPr>
          <w:rFonts w:ascii="Times New Roman" w:hAnsi="Times New Roman"/>
          <w:lang w:val="en-GB"/>
        </w:rPr>
      </w:pPr>
    </w:p>
    <w:bookmarkEnd w:id="3"/>
    <w:p w14:paraId="6515459C" w14:textId="77777777"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t>F5:</w:t>
      </w:r>
      <w:r>
        <w:rPr>
          <w:rFonts w:ascii="Times New Roman" w:hAnsi="Times New Roman"/>
          <w:color w:val="2F5496" w:themeColor="accent1" w:themeShade="BF"/>
          <w:sz w:val="28"/>
        </w:rPr>
        <w:t xml:space="preserve"> Vor welchen Herausforderungen steht die zuständige Ausstellungsbehörde möglicherweise, wenn sie um die Übertragung der Überwachung ersucht, und wie können diese bewältigt werden?</w:t>
      </w:r>
    </w:p>
    <w:p w14:paraId="7C1C6E46" w14:textId="77777777" w:rsidR="000F2C96" w:rsidRPr="003E5188" w:rsidRDefault="000F2C96" w:rsidP="00A257D5">
      <w:pPr>
        <w:jc w:val="both"/>
        <w:rPr>
          <w:rFonts w:ascii="Times New Roman" w:hAnsi="Times New Roman"/>
          <w:color w:val="2F5496" w:themeColor="accent1" w:themeShade="BF"/>
          <w:sz w:val="28"/>
          <w:szCs w:val="28"/>
          <w:lang w:val="en-GB"/>
        </w:rPr>
      </w:pPr>
    </w:p>
    <w:p w14:paraId="69BF7641" w14:textId="77777777" w:rsidR="006856B3" w:rsidRPr="003E5188" w:rsidRDefault="00246D57" w:rsidP="00A257D5">
      <w:pPr>
        <w:pStyle w:val="Listenabsatz"/>
        <w:numPr>
          <w:ilvl w:val="0"/>
          <w:numId w:val="9"/>
        </w:numPr>
        <w:jc w:val="both"/>
        <w:rPr>
          <w:rFonts w:ascii="Times New Roman" w:hAnsi="Times New Roman"/>
        </w:rPr>
      </w:pPr>
      <w:r>
        <w:rPr>
          <w:rFonts w:ascii="Times New Roman" w:hAnsi="Times New Roman"/>
          <w:b/>
          <w:i/>
          <w:sz w:val="28"/>
        </w:rPr>
        <w:t>Keine Kenntnis des Rechtsinstruments</w:t>
      </w:r>
    </w:p>
    <w:p w14:paraId="71287B25"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Obwohl der RBR 2008/947 seit dem 6.12.2011 in Kraft ist, wird das Rechtsinstrument auf europäischer Ebene noch nicht sehr häufig genutzt (meist wird es nur auf regionaler Ebene oder zwischen MS mit einer Tradition der Zusammenarbeit bei Überwachungsverfahren genutzt). </w:t>
      </w:r>
    </w:p>
    <w:p w14:paraId="39092AFC" w14:textId="77777777" w:rsidR="006856B3" w:rsidRPr="003E5188" w:rsidRDefault="00246D57" w:rsidP="00A257D5">
      <w:pPr>
        <w:jc w:val="both"/>
        <w:rPr>
          <w:rFonts w:ascii="Times New Roman" w:hAnsi="Times New Roman"/>
        </w:rPr>
      </w:pPr>
      <w:r>
        <w:rPr>
          <w:rFonts w:ascii="Times New Roman" w:hAnsi="Times New Roman"/>
          <w:sz w:val="28"/>
        </w:rPr>
        <w:t xml:space="preserve">Einer der Gründe dafür ist die </w:t>
      </w:r>
      <w:r>
        <w:rPr>
          <w:rFonts w:ascii="Times New Roman" w:hAnsi="Times New Roman"/>
          <w:i/>
          <w:sz w:val="28"/>
        </w:rPr>
        <w:t>fehlende Kenntnis</w:t>
      </w:r>
      <w:r>
        <w:rPr>
          <w:rFonts w:ascii="Times New Roman" w:hAnsi="Times New Roman"/>
          <w:sz w:val="28"/>
        </w:rPr>
        <w:t xml:space="preserve"> bei Rechtspraktikern und verurteilten Personen (zumal sie in dieser Phase des Prozesses – der Vollstreckung des Urteils – keinen Anwalt haben). </w:t>
      </w:r>
    </w:p>
    <w:p w14:paraId="2FC2D8CB" w14:textId="77777777" w:rsidR="006856B3" w:rsidRPr="003E5188" w:rsidRDefault="00246D57" w:rsidP="00A257D5">
      <w:pPr>
        <w:jc w:val="both"/>
        <w:rPr>
          <w:rFonts w:ascii="Times New Roman" w:hAnsi="Times New Roman"/>
          <w:sz w:val="28"/>
          <w:szCs w:val="28"/>
        </w:rPr>
      </w:pPr>
      <w:r>
        <w:rPr>
          <w:rFonts w:ascii="Times New Roman" w:hAnsi="Times New Roman"/>
          <w:sz w:val="28"/>
        </w:rPr>
        <w:t>Da in manchen Ländern die Bewährungshilfeämter von den zuständigen Gerichten getrennt sind, ist den zuständigen Gerichten, die um die Übertragung der Überwachung ersuchen, die Situation nach der Vollstreckung einer Sanktion meist nicht bekannt, da die Bewährungshilfeämter sich nur dann an die Gerichte wenden, wenn es Probleme bei der Auslegung der Sanktion gibt oder wenn die verurteilte Person den Überwachungsmaßnahmen oder ihren Auflagen nicht nachkommt.</w:t>
      </w:r>
    </w:p>
    <w:tbl>
      <w:tblPr>
        <w:tblW w:w="9108" w:type="dxa"/>
        <w:tblInd w:w="-29" w:type="dxa"/>
        <w:tblCellMar>
          <w:left w:w="10" w:type="dxa"/>
          <w:right w:w="10" w:type="dxa"/>
        </w:tblCellMar>
        <w:tblLook w:val="0000" w:firstRow="0" w:lastRow="0" w:firstColumn="0" w:lastColumn="0" w:noHBand="0" w:noVBand="0"/>
      </w:tblPr>
      <w:tblGrid>
        <w:gridCol w:w="9108"/>
      </w:tblGrid>
      <w:tr w:rsidR="006856B3" w:rsidRPr="003E5188" w14:paraId="666AA239" w14:textId="77777777" w:rsidTr="007A6D31">
        <w:trPr>
          <w:trHeight w:val="1125"/>
        </w:trPr>
        <w:tc>
          <w:tcPr>
            <w:tcW w:w="910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103B604" w14:textId="77777777" w:rsidR="006856B3" w:rsidRPr="003E5188" w:rsidRDefault="00246D57" w:rsidP="00A257D5">
            <w:pPr>
              <w:pStyle w:val="Listenabsatz"/>
              <w:numPr>
                <w:ilvl w:val="0"/>
                <w:numId w:val="12"/>
              </w:numPr>
              <w:jc w:val="both"/>
              <w:rPr>
                <w:rFonts w:ascii="Times New Roman" w:hAnsi="Times New Roman"/>
              </w:rPr>
            </w:pPr>
            <w:r>
              <w:rPr>
                <w:rFonts w:ascii="Times New Roman" w:hAnsi="Times New Roman"/>
                <w:sz w:val="28"/>
              </w:rPr>
              <w:t xml:space="preserve">Diese Situationen lassen sich überwinden, wenn </w:t>
            </w:r>
            <w:r>
              <w:rPr>
                <w:rFonts w:ascii="Times New Roman" w:hAnsi="Times New Roman"/>
                <w:i/>
                <w:sz w:val="28"/>
              </w:rPr>
              <w:t xml:space="preserve">beispielsweise </w:t>
            </w:r>
            <w:r>
              <w:rPr>
                <w:rFonts w:ascii="Times New Roman" w:hAnsi="Times New Roman"/>
                <w:sz w:val="28"/>
              </w:rPr>
              <w:t xml:space="preserve">das Gericht, das das Urteil gefällt hat, und die Bewährungshilfeämter, nachdem das Urteil rechtskräftig und vollstreckbar geworden ist, </w:t>
            </w:r>
            <w:r>
              <w:rPr>
                <w:rFonts w:ascii="Times New Roman" w:hAnsi="Times New Roman"/>
                <w:b/>
                <w:sz w:val="28"/>
              </w:rPr>
              <w:t>verurteilte Personen</w:t>
            </w:r>
            <w:r>
              <w:rPr>
                <w:rFonts w:ascii="Times New Roman" w:hAnsi="Times New Roman"/>
                <w:sz w:val="28"/>
              </w:rPr>
              <w:t xml:space="preserve"> (insbesondere Personen, die ihren rechtmäßigen und gewöhnlichen Aufenthalt in einem anderen Mitgliedstaat haben) </w:t>
            </w:r>
            <w:r>
              <w:rPr>
                <w:rFonts w:ascii="Times New Roman" w:hAnsi="Times New Roman"/>
                <w:b/>
                <w:sz w:val="28"/>
              </w:rPr>
              <w:t>über die Möglichkeit unterrichten, die Übertragung der Überwachung zu beantragen</w:t>
            </w:r>
            <w:r>
              <w:rPr>
                <w:rFonts w:ascii="Times New Roman" w:hAnsi="Times New Roman"/>
                <w:sz w:val="28"/>
              </w:rPr>
              <w:t xml:space="preserve">, und sie über die Voraussetzungen informieren, die erfüllt sein müssen, damit eine solche Übertragung </w:t>
            </w:r>
            <w:r>
              <w:rPr>
                <w:rFonts w:ascii="Times New Roman" w:hAnsi="Times New Roman"/>
                <w:sz w:val="28"/>
              </w:rPr>
              <w:lastRenderedPageBreak/>
              <w:t xml:space="preserve">beantragt und gewährt werden kann. Auch einschlägige </w:t>
            </w:r>
            <w:r>
              <w:rPr>
                <w:rFonts w:ascii="Times New Roman" w:hAnsi="Times New Roman"/>
                <w:b/>
                <w:sz w:val="28"/>
              </w:rPr>
              <w:t>Informationen, die auf den Websites der Gerichte und Bewährungshilfeämter verfügbar sind</w:t>
            </w:r>
            <w:r>
              <w:rPr>
                <w:rFonts w:ascii="Times New Roman" w:hAnsi="Times New Roman"/>
                <w:sz w:val="28"/>
              </w:rPr>
              <w:t>, könnten für die verurteilte Person von Nutzen sein.</w:t>
            </w:r>
          </w:p>
        </w:tc>
      </w:tr>
    </w:tbl>
    <w:p w14:paraId="23DE5EB1" w14:textId="77777777" w:rsidR="00E25CD0" w:rsidRPr="003E5188" w:rsidRDefault="00322CA4" w:rsidP="00A257D5">
      <w:pPr>
        <w:suppressAutoHyphens w:val="0"/>
        <w:autoSpaceDN/>
        <w:textAlignment w:val="auto"/>
        <w:rPr>
          <w:rFonts w:ascii="Times New Roman" w:hAnsi="Times New Roman"/>
          <w:b/>
          <w:bCs/>
          <w:i/>
          <w:iCs/>
          <w:sz w:val="28"/>
          <w:szCs w:val="28"/>
        </w:rPr>
      </w:pPr>
      <w:r>
        <w:br w:type="page"/>
      </w:r>
    </w:p>
    <w:p w14:paraId="24E37B0D" w14:textId="77777777" w:rsidR="006856B3" w:rsidRPr="003E5188" w:rsidRDefault="00246D57" w:rsidP="00A257D5">
      <w:pPr>
        <w:pStyle w:val="Listenabsatz"/>
        <w:numPr>
          <w:ilvl w:val="0"/>
          <w:numId w:val="9"/>
        </w:numPr>
        <w:jc w:val="both"/>
        <w:rPr>
          <w:rFonts w:ascii="Times New Roman" w:hAnsi="Times New Roman"/>
          <w:b/>
          <w:bCs/>
          <w:i/>
          <w:iCs/>
          <w:sz w:val="28"/>
          <w:szCs w:val="28"/>
        </w:rPr>
      </w:pPr>
      <w:r>
        <w:rPr>
          <w:rFonts w:ascii="Times New Roman" w:hAnsi="Times New Roman"/>
          <w:b/>
          <w:i/>
          <w:sz w:val="28"/>
        </w:rPr>
        <w:lastRenderedPageBreak/>
        <w:t>Unkenntnis des Justizsystems des Vollstreckungsmitgliedstaats</w:t>
      </w:r>
    </w:p>
    <w:p w14:paraId="45F477E4" w14:textId="77777777" w:rsidR="006856B3" w:rsidRPr="003E5188" w:rsidRDefault="00246D57" w:rsidP="00A257D5">
      <w:pPr>
        <w:jc w:val="both"/>
        <w:rPr>
          <w:rFonts w:ascii="Times New Roman" w:hAnsi="Times New Roman"/>
          <w:sz w:val="28"/>
          <w:szCs w:val="28"/>
        </w:rPr>
      </w:pPr>
      <w:r>
        <w:rPr>
          <w:rFonts w:ascii="Times New Roman" w:hAnsi="Times New Roman"/>
          <w:sz w:val="28"/>
        </w:rPr>
        <w:t>Die zuständigen Justizbehörden des Ausstellungsmitgliedstaats sind in der Regel zurückhaltend, wenn es darum geht, um die Übertragung der Überwachung des Urteils zu ersuchen. Die Unkenntnis des anderen Justizsystems ist eine der Herausforderungen für die Ausstellungsbehörde des MS.</w:t>
      </w:r>
    </w:p>
    <w:p w14:paraId="4EA83B52"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Bei Zweifeln hinsichtlich des anderen beteiligten Justizsystems verfügt die zuständige Ausstellungsbehörde über zahlreiche Quellen, über die sie sich informieren kann. </w:t>
      </w:r>
    </w:p>
    <w:tbl>
      <w:tblPr>
        <w:tblW w:w="9036" w:type="dxa"/>
        <w:tblInd w:w="7" w:type="dxa"/>
        <w:tblCellMar>
          <w:left w:w="10" w:type="dxa"/>
          <w:right w:w="10" w:type="dxa"/>
        </w:tblCellMar>
        <w:tblLook w:val="0000" w:firstRow="0" w:lastRow="0" w:firstColumn="0" w:lastColumn="0" w:noHBand="0" w:noVBand="0"/>
      </w:tblPr>
      <w:tblGrid>
        <w:gridCol w:w="9036"/>
      </w:tblGrid>
      <w:tr w:rsidR="006856B3" w:rsidRPr="003E5188" w14:paraId="2A90CB7B" w14:textId="77777777" w:rsidTr="00E00D02">
        <w:trPr>
          <w:trHeight w:val="1064"/>
        </w:trPr>
        <w:tc>
          <w:tcPr>
            <w:tcW w:w="903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26F89C4C" w14:textId="77777777" w:rsidR="006430E0" w:rsidRPr="00E00D02" w:rsidRDefault="00246D57" w:rsidP="00E00D02">
            <w:pPr>
              <w:pStyle w:val="Listenabsatz"/>
              <w:numPr>
                <w:ilvl w:val="0"/>
                <w:numId w:val="12"/>
              </w:numPr>
              <w:jc w:val="both"/>
              <w:rPr>
                <w:rFonts w:ascii="Times New Roman" w:hAnsi="Times New Roman"/>
                <w:sz w:val="28"/>
                <w:szCs w:val="28"/>
              </w:rPr>
            </w:pPr>
            <w:r>
              <w:rPr>
                <w:rFonts w:ascii="Times New Roman" w:hAnsi="Times New Roman"/>
                <w:sz w:val="28"/>
              </w:rPr>
              <w:t xml:space="preserve">In dem </w:t>
            </w:r>
            <w:hyperlink r:id="rId14" w:history="1">
              <w:r>
                <w:rPr>
                  <w:rStyle w:val="Hyperlink"/>
                  <w:rFonts w:ascii="Times New Roman" w:hAnsi="Times New Roman"/>
                  <w:sz w:val="28"/>
                </w:rPr>
                <w:t>Abschnitt zum RBR 2008/947</w:t>
              </w:r>
            </w:hyperlink>
            <w:r>
              <w:t xml:space="preserve"> </w:t>
            </w:r>
            <w:r>
              <w:rPr>
                <w:rFonts w:ascii="Times New Roman" w:hAnsi="Times New Roman"/>
                <w:sz w:val="28"/>
              </w:rPr>
              <w:t xml:space="preserve">bietet die Website des EJN beispielsweise wertvolle Informationen über das Justizsystem aller MS (z. B. nationale Rechtsvorschriften, Mitteilungen, Erklärungen, Berichte usw.). </w:t>
            </w:r>
          </w:p>
        </w:tc>
      </w:tr>
    </w:tbl>
    <w:p w14:paraId="0FDAE62F" w14:textId="77777777" w:rsidR="00322CA4" w:rsidRPr="003E5188" w:rsidRDefault="00322CA4" w:rsidP="00A257D5">
      <w:pPr>
        <w:jc w:val="both"/>
        <w:rPr>
          <w:rFonts w:ascii="Times New Roman" w:hAnsi="Times New Roman"/>
          <w:sz w:val="28"/>
          <w:szCs w:val="28"/>
          <w:lang w:val="en-GB"/>
        </w:rPr>
      </w:pPr>
    </w:p>
    <w:p w14:paraId="5BBD4AE6" w14:textId="77777777" w:rsidR="006856B3" w:rsidRPr="003E5188" w:rsidRDefault="00246D57" w:rsidP="000F2C96">
      <w:pPr>
        <w:jc w:val="both"/>
        <w:rPr>
          <w:rFonts w:ascii="Times New Roman" w:hAnsi="Times New Roman"/>
          <w:sz w:val="28"/>
          <w:szCs w:val="28"/>
        </w:rPr>
      </w:pPr>
      <w:r>
        <w:rPr>
          <w:rFonts w:ascii="Times New Roman" w:hAnsi="Times New Roman"/>
          <w:sz w:val="28"/>
        </w:rPr>
        <w:t xml:space="preserve">Außerdem ist zu berücksichtigen, dass alle MS (außer Irland, dessen Umsetzungsprozess noch andauert) den RBR umgesetzt haben, was bedeutet, dass die in Artikel 4 Absatz 1 des RBR vorgesehenen Bewährungsmaßnahmen und alternativen Sanktionen verfügbar sind und in allen MS überwacht werden können (außer wenn ein MS mitgeteilt oder erklärt hat, dass er sie bei der Übertragung der Überwachung einer Sanktion nicht anwenden wird). Artikel 4 Absatz 2 des RBR besagt, dass jeder Mitgliedstaat dem Generalsekretariat des Rates bei der Umsetzung dieses Rahmenbeschlusses mitteilt, welche Bewährungsmaßnahmen und alternativen Sanktionen </w:t>
      </w:r>
      <w:r>
        <w:rPr>
          <w:rFonts w:ascii="Times New Roman" w:hAnsi="Times New Roman"/>
          <w:i/>
          <w:sz w:val="28"/>
        </w:rPr>
        <w:t>neben den in Absatz 1 genannten er zu überwachen bereit ist</w:t>
      </w:r>
      <w:r>
        <w:rPr>
          <w:rFonts w:ascii="Times New Roman" w:hAnsi="Times New Roman"/>
          <w:sz w:val="28"/>
        </w:rPr>
        <w:t xml:space="preserve">. </w:t>
      </w:r>
    </w:p>
    <w:p w14:paraId="07EF51BE" w14:textId="77777777" w:rsidR="003A0A74" w:rsidRPr="003E5188" w:rsidRDefault="003A0A74" w:rsidP="000F2C96">
      <w:pPr>
        <w:jc w:val="both"/>
        <w:rPr>
          <w:rFonts w:ascii="Times New Roman" w:hAnsi="Times New Roman"/>
          <w:lang w:val="en-GB"/>
        </w:rPr>
      </w:pPr>
    </w:p>
    <w:p w14:paraId="031FA6FE" w14:textId="77777777" w:rsidR="006856B3" w:rsidRPr="003E5188" w:rsidRDefault="00246D57" w:rsidP="00A257D5">
      <w:pPr>
        <w:pStyle w:val="Listenabsatz"/>
        <w:numPr>
          <w:ilvl w:val="0"/>
          <w:numId w:val="9"/>
        </w:numPr>
        <w:jc w:val="both"/>
        <w:rPr>
          <w:rFonts w:ascii="Times New Roman" w:hAnsi="Times New Roman"/>
          <w:b/>
          <w:bCs/>
          <w:i/>
          <w:iCs/>
          <w:sz w:val="28"/>
          <w:szCs w:val="28"/>
        </w:rPr>
      </w:pPr>
      <w:r>
        <w:rPr>
          <w:rFonts w:ascii="Times New Roman" w:hAnsi="Times New Roman"/>
          <w:b/>
          <w:i/>
          <w:sz w:val="28"/>
        </w:rPr>
        <w:t>Kein Vertrauen in das andere Justizsystem</w:t>
      </w:r>
    </w:p>
    <w:p w14:paraId="7055FDE4"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Oft haben die zuständigen Ausstellungsbehörden andere Zweifel, wie z. B. kein Vertrauen in das andere Justizsystem, und leiten kein Ersuchen um Übertragung ein, zumal der RBR eine solche Verpflichtung nicht explizit vorsieht. </w:t>
      </w:r>
    </w:p>
    <w:tbl>
      <w:tblPr>
        <w:tblW w:w="9012" w:type="dxa"/>
        <w:tblInd w:w="7" w:type="dxa"/>
        <w:tblCellMar>
          <w:left w:w="10" w:type="dxa"/>
          <w:right w:w="10" w:type="dxa"/>
        </w:tblCellMar>
        <w:tblLook w:val="0000" w:firstRow="0" w:lastRow="0" w:firstColumn="0" w:lastColumn="0" w:noHBand="0" w:noVBand="0"/>
      </w:tblPr>
      <w:tblGrid>
        <w:gridCol w:w="9012"/>
      </w:tblGrid>
      <w:tr w:rsidR="006856B3" w:rsidRPr="003E5188" w14:paraId="006D06EB" w14:textId="77777777" w:rsidTr="000F2C96">
        <w:trPr>
          <w:trHeight w:val="5120"/>
        </w:trPr>
        <w:tc>
          <w:tcPr>
            <w:tcW w:w="901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2DFA06B2" w14:textId="77777777" w:rsidR="006856B3" w:rsidRPr="003E5188" w:rsidRDefault="00246D57" w:rsidP="00A257D5">
            <w:pPr>
              <w:pStyle w:val="Listenabsatz"/>
              <w:numPr>
                <w:ilvl w:val="0"/>
                <w:numId w:val="13"/>
              </w:numPr>
              <w:jc w:val="both"/>
              <w:rPr>
                <w:rFonts w:ascii="Times New Roman" w:hAnsi="Times New Roman"/>
              </w:rPr>
            </w:pPr>
            <w:r>
              <w:rPr>
                <w:rFonts w:ascii="Times New Roman" w:hAnsi="Times New Roman"/>
                <w:sz w:val="28"/>
              </w:rPr>
              <w:lastRenderedPageBreak/>
              <w:t xml:space="preserve">Die zuständigen Justizbehörden müssen sich stets der Ziele des RBR bewusst sein, die zuweilen über eine subjektive Entscheidung hinausgehen und die </w:t>
            </w:r>
            <w:r>
              <w:rPr>
                <w:rFonts w:ascii="Times New Roman" w:hAnsi="Times New Roman"/>
                <w:i/>
                <w:sz w:val="28"/>
              </w:rPr>
              <w:t>Erleichterung der Resozialisierung einer verurteilten Person, die Verbesserung des Opferschutzes und des Schutzes der Allgemeinheit sowie die Erleichterung der Anwendung angemessener Bewährungsmaßnahmen und alternativer Sanktionen</w:t>
            </w:r>
            <w:r>
              <w:rPr>
                <w:rFonts w:ascii="Times New Roman" w:hAnsi="Times New Roman"/>
                <w:sz w:val="28"/>
              </w:rPr>
              <w:t xml:space="preserve"> auf Straftäter, die nicht im Urteilsstaat leben, umfassen.</w:t>
            </w:r>
          </w:p>
          <w:p w14:paraId="6BDFB699" w14:textId="77777777" w:rsidR="006856B3" w:rsidRPr="003E5188" w:rsidRDefault="00246D57" w:rsidP="00A257D5">
            <w:pPr>
              <w:pStyle w:val="Listenabsatz"/>
              <w:numPr>
                <w:ilvl w:val="0"/>
                <w:numId w:val="13"/>
              </w:numPr>
              <w:jc w:val="both"/>
              <w:rPr>
                <w:rFonts w:ascii="Times New Roman" w:hAnsi="Times New Roman"/>
              </w:rPr>
            </w:pPr>
            <w:r>
              <w:rPr>
                <w:rFonts w:ascii="Times New Roman" w:hAnsi="Times New Roman"/>
                <w:sz w:val="28"/>
              </w:rPr>
              <w:t xml:space="preserve">In Erwägungsgrund 8 des RBR heißt es, dass </w:t>
            </w:r>
            <w:r>
              <w:rPr>
                <w:rFonts w:ascii="Times New Roman" w:hAnsi="Times New Roman"/>
                <w:i/>
                <w:sz w:val="28"/>
              </w:rPr>
              <w:t>die gegenseitige Anerkennung und Überwachung von Bewährungsstrafen, bedingten Verurteilungen, alternativen Sanktionen und Entscheidungen über bedingte Entlassungen die Aussichten auf Resozialisierung der verurteilten Person erhöhen soll, indem ihr die Möglichkeit verschafft wird, die familiären, sprachlichen, kulturellen und sonstigen Beziehungen aufrechtzuerhalten; es soll aber auch die Kontrolle der Einhaltung von Bewährungsmaßnahmen und alternativen Sanktionen verbessert werden mit dem Ziel, neue Straftaten zu unterbinden und damit dem Gedanken des Opferschutzes und des Schutzes der Allgemeinheit Rechnung zu tragen</w:t>
            </w:r>
            <w:r>
              <w:rPr>
                <w:rFonts w:ascii="Times New Roman" w:hAnsi="Times New Roman"/>
                <w:sz w:val="28"/>
              </w:rPr>
              <w:t>.</w:t>
            </w:r>
          </w:p>
        </w:tc>
      </w:tr>
    </w:tbl>
    <w:p w14:paraId="71AF183F" w14:textId="77777777" w:rsidR="006856B3" w:rsidRPr="003E5188" w:rsidRDefault="00246D57" w:rsidP="00A257D5">
      <w:pPr>
        <w:jc w:val="both"/>
        <w:rPr>
          <w:rFonts w:ascii="Times New Roman" w:hAnsi="Times New Roman"/>
        </w:rPr>
      </w:pPr>
      <w:r>
        <w:rPr>
          <w:rFonts w:ascii="Times New Roman" w:hAnsi="Times New Roman"/>
          <w:sz w:val="28"/>
        </w:rPr>
        <w:t xml:space="preserve">Außerdem müssen die zuständigen Ausstellungsbehörden bedenken, dass zur Erreichung dieser Ziele einige </w:t>
      </w:r>
      <w:r>
        <w:rPr>
          <w:rFonts w:ascii="Times New Roman" w:hAnsi="Times New Roman"/>
          <w:i/>
          <w:sz w:val="28"/>
        </w:rPr>
        <w:t>andere</w:t>
      </w:r>
      <w:r>
        <w:rPr>
          <w:rFonts w:ascii="Times New Roman" w:hAnsi="Times New Roman"/>
          <w:sz w:val="28"/>
        </w:rPr>
        <w:t xml:space="preserve"> Mitgliedstaaten </w:t>
      </w:r>
      <w:r>
        <w:rPr>
          <w:rFonts w:ascii="Times New Roman" w:hAnsi="Times New Roman"/>
          <w:i/>
          <w:sz w:val="28"/>
        </w:rPr>
        <w:t>als der Mitgliedstaat, in dem die verurteilte Person ihren rechtmäßigen und gewöhnlichen Aufenthalt hat</w:t>
      </w:r>
      <w:r>
        <w:rPr>
          <w:rFonts w:ascii="Times New Roman" w:hAnsi="Times New Roman"/>
          <w:sz w:val="28"/>
        </w:rPr>
        <w:t>, der Übertragung der Überwachung zugestimmt haben (Art. 5 Abs. 2 des RBR).</w:t>
      </w:r>
    </w:p>
    <w:p w14:paraId="65420F8A" w14:textId="77777777" w:rsidR="006856B3" w:rsidRPr="003E5188" w:rsidRDefault="006856B3" w:rsidP="00A257D5">
      <w:pPr>
        <w:ind w:firstLine="720"/>
        <w:jc w:val="both"/>
        <w:rPr>
          <w:rFonts w:ascii="Times New Roman" w:hAnsi="Times New Roman"/>
          <w:sz w:val="28"/>
          <w:szCs w:val="28"/>
          <w:lang w:val="en-GB"/>
        </w:rPr>
      </w:pPr>
    </w:p>
    <w:p w14:paraId="325B00AB" w14:textId="77777777" w:rsidR="006856B3" w:rsidRPr="003E5188" w:rsidRDefault="00246D57" w:rsidP="00A257D5">
      <w:pPr>
        <w:pStyle w:val="Listenabsatz"/>
        <w:numPr>
          <w:ilvl w:val="0"/>
          <w:numId w:val="9"/>
        </w:numPr>
        <w:jc w:val="both"/>
        <w:rPr>
          <w:rFonts w:ascii="Times New Roman" w:hAnsi="Times New Roman"/>
          <w:b/>
          <w:bCs/>
          <w:i/>
          <w:iCs/>
          <w:sz w:val="28"/>
          <w:szCs w:val="28"/>
        </w:rPr>
      </w:pPr>
      <w:r>
        <w:rPr>
          <w:rFonts w:ascii="Times New Roman" w:hAnsi="Times New Roman"/>
          <w:b/>
          <w:i/>
          <w:sz w:val="28"/>
        </w:rPr>
        <w:t>Schwierigkeit, die in Artikel 5 des RBR vorgesehenen Kriterien zu ermitteln</w:t>
      </w:r>
    </w:p>
    <w:p w14:paraId="68356A4C" w14:textId="77777777" w:rsidR="006856B3" w:rsidRPr="003E5188" w:rsidRDefault="00246D57" w:rsidP="00A257D5">
      <w:pPr>
        <w:jc w:val="both"/>
        <w:rPr>
          <w:rFonts w:ascii="Times New Roman" w:hAnsi="Times New Roman"/>
          <w:sz w:val="28"/>
          <w:szCs w:val="28"/>
        </w:rPr>
      </w:pPr>
      <w:r>
        <w:rPr>
          <w:rFonts w:ascii="Times New Roman" w:hAnsi="Times New Roman"/>
          <w:sz w:val="28"/>
        </w:rPr>
        <w:t>Normalerweise stehen der zuständigen Behörde des Ausstellungsmitgliedstaats in der Fallakte Informationen über den rechtmäßigen und gewöhnlichen Aufenthalt der verurteilten Person zur Verfügung, damit sie feststellen kann, wohin sie ihr Ersuchen gemäß Artikel 6 des RBR zu richten hat.</w:t>
      </w:r>
    </w:p>
    <w:p w14:paraId="643BDF11"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Dennoch ist es zuweilen, wenn die verurteilte Person nicht die Staatsangehörigkeit des MS besitzt, in den die Überstellung beantragt wird, schwierig festzustellen, ob die verurteilte Person nach dem Recht des anderen MS dort ein Aufenthaltsrecht besitzt. </w:t>
      </w:r>
    </w:p>
    <w:p w14:paraId="67E979DF"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Wenn zum Beispiel die verurteilte Person nicht die Staatsangehörigkeit des Vollstreckungsmitgliedstaats besitzt, ist manchmal schwierig zu beurteilen, ob sie nach dem Recht des anderen MS ein Aufenthaltsrecht im Vollstreckungsmitgliedstaat besitzt oder ob sie ein Familienmitglied eines </w:t>
      </w:r>
      <w:r>
        <w:rPr>
          <w:rFonts w:ascii="Times New Roman" w:hAnsi="Times New Roman"/>
          <w:sz w:val="28"/>
        </w:rPr>
        <w:lastRenderedPageBreak/>
        <w:t xml:space="preserve">Staatsangehörigen oder einer Person ist, die ein Aufenthaltsrecht im Vollstreckungsmitgliedstaat besitzt. </w:t>
      </w:r>
    </w:p>
    <w:p w14:paraId="02F55308" w14:textId="77777777" w:rsidR="006856B3" w:rsidRPr="003E5188" w:rsidRDefault="00246D57" w:rsidP="00A257D5">
      <w:pPr>
        <w:jc w:val="both"/>
        <w:rPr>
          <w:rFonts w:ascii="Times New Roman" w:hAnsi="Times New Roman"/>
          <w:sz w:val="28"/>
          <w:szCs w:val="28"/>
        </w:rPr>
      </w:pPr>
      <w:r>
        <w:rPr>
          <w:rFonts w:ascii="Times New Roman" w:hAnsi="Times New Roman"/>
          <w:sz w:val="28"/>
        </w:rPr>
        <w:t>Meistens macht die verurteilte Person diesbezüglich zusätzliche Angaben; zudem sollte sie stets nachweisen, dass sie z. B. eine lukrative Tätigkeit, ein Studium oder eine Berufsausbildung auf dem Gebiet des Vollstreckungsmitgliedstaats ausüben wird.</w:t>
      </w:r>
    </w:p>
    <w:tbl>
      <w:tblPr>
        <w:tblW w:w="9036" w:type="dxa"/>
        <w:tblInd w:w="43" w:type="dxa"/>
        <w:tblCellMar>
          <w:left w:w="10" w:type="dxa"/>
          <w:right w:w="10" w:type="dxa"/>
        </w:tblCellMar>
        <w:tblLook w:val="0000" w:firstRow="0" w:lastRow="0" w:firstColumn="0" w:lastColumn="0" w:noHBand="0" w:noVBand="0"/>
      </w:tblPr>
      <w:tblGrid>
        <w:gridCol w:w="9036"/>
      </w:tblGrid>
      <w:tr w:rsidR="006856B3" w:rsidRPr="003E5188" w14:paraId="5C25E64D" w14:textId="77777777" w:rsidTr="00B30DB0">
        <w:trPr>
          <w:trHeight w:val="1980"/>
        </w:trPr>
        <w:tc>
          <w:tcPr>
            <w:tcW w:w="903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87F066B" w14:textId="77777777" w:rsidR="006856B3" w:rsidRPr="003E5188" w:rsidRDefault="00246D57" w:rsidP="00A257D5">
            <w:pPr>
              <w:pStyle w:val="Listenabsatz"/>
              <w:numPr>
                <w:ilvl w:val="0"/>
                <w:numId w:val="14"/>
              </w:numPr>
              <w:jc w:val="both"/>
              <w:rPr>
                <w:rFonts w:ascii="Times New Roman" w:hAnsi="Times New Roman"/>
              </w:rPr>
            </w:pPr>
            <w:r>
              <w:rPr>
                <w:rFonts w:ascii="Times New Roman" w:hAnsi="Times New Roman"/>
                <w:sz w:val="28"/>
              </w:rPr>
              <w:t>Artikel 15 des RBR kann in dieser Phase durchaus Anwendung finden, da die zuständigen Behörden des Ausstellungsstaats und des Vollstreckungsstaats einander jederzeit konsultieren können, um die reibungslose und effiziente Anwendung des Rahmenbeschlusses zu erleichtern (in diesem Fall die Einholung von Informationen, bevor um die Übertragung der Überwachung der Bewährungsstrafe ersucht wird).</w:t>
            </w:r>
          </w:p>
        </w:tc>
      </w:tr>
    </w:tbl>
    <w:p w14:paraId="350107FE" w14:textId="77777777" w:rsidR="006856B3" w:rsidRPr="003E5188" w:rsidRDefault="006856B3" w:rsidP="00A257D5">
      <w:pPr>
        <w:jc w:val="both"/>
        <w:rPr>
          <w:rFonts w:ascii="Times New Roman" w:hAnsi="Times New Roman"/>
          <w:i/>
          <w:iCs/>
          <w:color w:val="FF0000"/>
          <w:sz w:val="28"/>
          <w:szCs w:val="28"/>
          <w:lang w:val="en-GB"/>
        </w:rPr>
      </w:pPr>
    </w:p>
    <w:p w14:paraId="039C63F5" w14:textId="77777777" w:rsidR="006856B3" w:rsidRPr="003E5188" w:rsidRDefault="00246D57" w:rsidP="00A257D5">
      <w:pPr>
        <w:pStyle w:val="Listenabsatz"/>
        <w:numPr>
          <w:ilvl w:val="0"/>
          <w:numId w:val="9"/>
        </w:numPr>
        <w:jc w:val="both"/>
        <w:rPr>
          <w:rFonts w:ascii="Times New Roman" w:hAnsi="Times New Roman"/>
          <w:b/>
          <w:bCs/>
          <w:i/>
          <w:iCs/>
          <w:sz w:val="28"/>
          <w:szCs w:val="28"/>
        </w:rPr>
      </w:pPr>
      <w:r>
        <w:rPr>
          <w:rFonts w:ascii="Times New Roman" w:hAnsi="Times New Roman"/>
          <w:b/>
          <w:i/>
          <w:sz w:val="28"/>
        </w:rPr>
        <w:t>Unkenntnis, wohin die Bescheinigung und das Urteil zu senden sind</w:t>
      </w:r>
    </w:p>
    <w:p w14:paraId="21B368D3" w14:textId="77777777" w:rsidR="006856B3" w:rsidRPr="003E5188" w:rsidRDefault="00246D57" w:rsidP="00A257D5">
      <w:pPr>
        <w:jc w:val="both"/>
        <w:rPr>
          <w:rFonts w:ascii="Times New Roman" w:hAnsi="Times New Roman"/>
        </w:rPr>
      </w:pPr>
      <w:r>
        <w:rPr>
          <w:rFonts w:ascii="Times New Roman" w:hAnsi="Times New Roman"/>
          <w:sz w:val="28"/>
        </w:rPr>
        <w:t xml:space="preserve">Die zuständige Behörde im Vollstreckungsmitgliedstaat zu finden, ist keine schwierige Aufgabe, zumal der </w:t>
      </w:r>
      <w:r>
        <w:rPr>
          <w:rFonts w:ascii="Times New Roman" w:hAnsi="Times New Roman"/>
          <w:b/>
          <w:i/>
          <w:sz w:val="28"/>
        </w:rPr>
        <w:t xml:space="preserve">Atlas </w:t>
      </w:r>
      <w:r>
        <w:rPr>
          <w:rFonts w:ascii="Times New Roman" w:hAnsi="Times New Roman"/>
          <w:sz w:val="28"/>
        </w:rPr>
        <w:t>auf der Website des EJN Rechtspraktikern dabei hilft, die zuständige Vollstreckungsbehörde für den anderen Mitgliedstaat zu ermitteln (wie unter Punkt 3 oben gesehen).</w:t>
      </w:r>
    </w:p>
    <w:p w14:paraId="7AC930AE" w14:textId="77777777" w:rsidR="006856B3" w:rsidRPr="003E5188" w:rsidRDefault="00246D57" w:rsidP="00A257D5">
      <w:pPr>
        <w:jc w:val="both"/>
        <w:rPr>
          <w:rFonts w:ascii="Times New Roman" w:hAnsi="Times New Roman"/>
        </w:rPr>
      </w:pPr>
      <w:r>
        <w:rPr>
          <w:rFonts w:ascii="Times New Roman" w:hAnsi="Times New Roman"/>
          <w:sz w:val="28"/>
        </w:rPr>
        <w:t xml:space="preserve">Ist der zuständigen Behörde des Ausstellungsstaats nicht bekannt, welche Behörde im Vollstreckungsstaat zuständig ist, so versucht sie zudem, diese beim Vollstreckungsstaat mit allen ihr zur Verfügung stehenden Mitteln – </w:t>
      </w:r>
      <w:r>
        <w:rPr>
          <w:rFonts w:ascii="Times New Roman" w:hAnsi="Times New Roman"/>
          <w:i/>
          <w:sz w:val="28"/>
        </w:rPr>
        <w:t>auch über die durch die Gemeinsame Maßnahme 98/428/JI des Rates vom 29. Juni 1998 zur Einrichtung eines Europäischen Justiziellen Netzes errichteten Kontaktstellen des Europäischen Justiziellen Netzes</w:t>
      </w:r>
      <w:r>
        <w:rPr>
          <w:rFonts w:ascii="Times New Roman" w:hAnsi="Times New Roman"/>
          <w:sz w:val="28"/>
        </w:rPr>
        <w:t xml:space="preserve"> – in Erfahrung zu bringen (Art. 6 Abs. 6 des RBR).</w:t>
      </w:r>
    </w:p>
    <w:p w14:paraId="135D6EBC" w14:textId="77777777" w:rsidR="006856B3" w:rsidRPr="003E5188" w:rsidRDefault="00246D57" w:rsidP="00A257D5">
      <w:pPr>
        <w:jc w:val="both"/>
        <w:rPr>
          <w:rFonts w:ascii="Times New Roman" w:hAnsi="Times New Roman"/>
        </w:rPr>
      </w:pPr>
      <w:r>
        <w:rPr>
          <w:rFonts w:ascii="Times New Roman" w:hAnsi="Times New Roman"/>
          <w:sz w:val="28"/>
        </w:rPr>
        <w:t xml:space="preserve">Nicht zu vergessen: Ist eine Behörde im Vollstreckungsstaat, die ein Urteil sowie gegebenenfalls eine Bewährungsentscheidung zusammen mit der in Absatz 1 genannten Bescheinigung erhält, nicht zuständig, dieses Urteil und gegebenenfalls die Bewährungsentscheidung anzuerkennen und die sich daraus ergebenden erforderlichen Maßnahmen zur Überwachung der Bewährungsmaßnahme oder alternativen Sanktion zu treffen, </w:t>
      </w:r>
      <w:r>
        <w:rPr>
          <w:rFonts w:ascii="Times New Roman" w:hAnsi="Times New Roman"/>
          <w:i/>
          <w:sz w:val="28"/>
        </w:rPr>
        <w:t>so übermittelt sie dieses Urteil und gegebenenfalls die Bewährungsentscheidung zusammen mit der in Absatz 1 genannten Bescheinigung von Amts wegen der zuständigen Behörde und unterrichtet dementsprechend die zuständige Behörde des Ausstellungsstaats unverzüglich</w:t>
      </w:r>
      <w:r>
        <w:rPr>
          <w:rFonts w:ascii="Times New Roman" w:hAnsi="Times New Roman"/>
          <w:sz w:val="28"/>
        </w:rPr>
        <w:t xml:space="preserve"> in einer Form, die einen schriftlichen Nachweis ermöglicht (Art. 6 Abs. 7 des RBR).</w:t>
      </w:r>
    </w:p>
    <w:p w14:paraId="026DEEF4" w14:textId="77777777" w:rsidR="006856B3" w:rsidRPr="003E5188" w:rsidRDefault="006856B3" w:rsidP="00A257D5">
      <w:pPr>
        <w:pStyle w:val="Listenabsatz"/>
        <w:numPr>
          <w:ilvl w:val="0"/>
          <w:numId w:val="11"/>
        </w:numPr>
        <w:jc w:val="both"/>
        <w:rPr>
          <w:rFonts w:ascii="Times New Roman" w:hAnsi="Times New Roman"/>
          <w:i/>
          <w:iCs/>
          <w:color w:val="FF0000"/>
          <w:sz w:val="28"/>
          <w:szCs w:val="28"/>
          <w:lang w:val="en-GB"/>
        </w:rPr>
      </w:pPr>
    </w:p>
    <w:p w14:paraId="4E74B326" w14:textId="77777777" w:rsidR="006856B3" w:rsidRPr="003E5188" w:rsidRDefault="00246D57" w:rsidP="00A257D5">
      <w:pPr>
        <w:pStyle w:val="Listenabsatz"/>
        <w:numPr>
          <w:ilvl w:val="0"/>
          <w:numId w:val="9"/>
        </w:numPr>
        <w:jc w:val="both"/>
        <w:rPr>
          <w:rFonts w:ascii="Times New Roman" w:hAnsi="Times New Roman"/>
          <w:b/>
          <w:bCs/>
          <w:i/>
          <w:iCs/>
          <w:sz w:val="28"/>
          <w:szCs w:val="28"/>
        </w:rPr>
      </w:pPr>
      <w:r>
        <w:rPr>
          <w:rFonts w:ascii="Times New Roman" w:hAnsi="Times New Roman"/>
          <w:b/>
          <w:i/>
          <w:sz w:val="28"/>
        </w:rPr>
        <w:t xml:space="preserve">Der Prozess nimmt zu viel Zeit in Anspruch </w:t>
      </w:r>
    </w:p>
    <w:p w14:paraId="6E098E99" w14:textId="77777777" w:rsidR="006856B3" w:rsidRPr="003E5188" w:rsidRDefault="00246D57" w:rsidP="00A257D5">
      <w:pPr>
        <w:jc w:val="both"/>
        <w:rPr>
          <w:rFonts w:ascii="Times New Roman" w:hAnsi="Times New Roman"/>
          <w:sz w:val="28"/>
          <w:szCs w:val="28"/>
        </w:rPr>
      </w:pPr>
      <w:r>
        <w:rPr>
          <w:rFonts w:ascii="Times New Roman" w:hAnsi="Times New Roman"/>
          <w:sz w:val="28"/>
        </w:rPr>
        <w:lastRenderedPageBreak/>
        <w:t xml:space="preserve">Wenn sie mit der Situation einer möglichen Übertragung der Überwachung in einen anderen Mitgliedstaat konfrontiert werden, denken die mit der Überwachung betrauten Personen oder die zuständigen nationalen Behörden oftmals, dass das Verfahren zu viel Zeit in Anspruch nehmen wird und zu kompliziert ist. Und wenn sie der Meinung sind, dass die zuständige nationale Ausstellungsbehörde dem Ersuchen um Übertragung nicht zustimmen wird oder dass die zuständige Vollstreckungsbehörde die Übertragung des Verfahrens ablehnen wird, dann ist das Bild komplett. </w:t>
      </w:r>
    </w:p>
    <w:p w14:paraId="7FB07399" w14:textId="77777777" w:rsidR="006856B3" w:rsidRPr="003E5188" w:rsidRDefault="00246D57" w:rsidP="00A257D5">
      <w:pPr>
        <w:jc w:val="both"/>
        <w:rPr>
          <w:rFonts w:ascii="Times New Roman" w:hAnsi="Times New Roman"/>
          <w:sz w:val="28"/>
          <w:szCs w:val="28"/>
        </w:rPr>
      </w:pPr>
      <w:r>
        <w:rPr>
          <w:rFonts w:ascii="Times New Roman" w:hAnsi="Times New Roman"/>
          <w:sz w:val="28"/>
        </w:rPr>
        <w:t>Die Bewährungshelfer müssen Papiere ausfüllen und sich dann an die zuständige Behörde im Ausstellungsmitgliedstaat wenden. Deshalb gibt es jetzt die Situation, dass Personen, die in einem anderen MS wohnen oder arbeiten, z. B. alle 6 Monate in dem MS, in dem die Person verurteilt wurde, überwacht werden. Diese Art der Überwachung liegt außerhalb der im RBR genannten Ziele.</w:t>
      </w:r>
    </w:p>
    <w:tbl>
      <w:tblPr>
        <w:tblW w:w="9072" w:type="dxa"/>
        <w:tblInd w:w="7" w:type="dxa"/>
        <w:tblCellMar>
          <w:left w:w="10" w:type="dxa"/>
          <w:right w:w="10" w:type="dxa"/>
        </w:tblCellMar>
        <w:tblLook w:val="0000" w:firstRow="0" w:lastRow="0" w:firstColumn="0" w:lastColumn="0" w:noHBand="0" w:noVBand="0"/>
      </w:tblPr>
      <w:tblGrid>
        <w:gridCol w:w="9072"/>
      </w:tblGrid>
      <w:tr w:rsidR="006856B3" w:rsidRPr="003E5188" w14:paraId="1D47F241" w14:textId="77777777" w:rsidTr="00B30DB0">
        <w:trPr>
          <w:trHeight w:val="2681"/>
        </w:trPr>
        <w:tc>
          <w:tcPr>
            <w:tcW w:w="907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2F4FA3B4" w14:textId="77777777" w:rsidR="006856B3" w:rsidRPr="003E5188" w:rsidRDefault="00246D57" w:rsidP="00A257D5">
            <w:pPr>
              <w:pStyle w:val="Listenabsatz"/>
              <w:numPr>
                <w:ilvl w:val="0"/>
                <w:numId w:val="14"/>
              </w:numPr>
              <w:jc w:val="both"/>
              <w:rPr>
                <w:rFonts w:ascii="Times New Roman" w:hAnsi="Times New Roman"/>
                <w:sz w:val="28"/>
                <w:szCs w:val="28"/>
              </w:rPr>
            </w:pPr>
            <w:r>
              <w:rPr>
                <w:rFonts w:ascii="Times New Roman" w:hAnsi="Times New Roman"/>
                <w:sz w:val="28"/>
              </w:rPr>
              <w:t>Wenn die Überwachung auf einen anderen MS übertragen werden soll, müssen sich die mit der Überwachung betrauten Personen stets der Ziele des RBR bewusst sein, sowie des damit verbundenen Nutzens, insbesondere für die verurteilte Person. Sie sollten auch bedenken, dass es viel einfacher ist, eine verurteilte Person in dem Land zu überwachen, in dem sie ihren rechtmäßigen und gewöhnlichen Aufenthalt hat oder studiert, usw. Die Gründe für die Versagung der Übertragung der Überwachung sind begrenzt und im RBR ausdrücklich aufgeführt, was die Möglichkeit einer diesbezüglichen Ermessensentscheidung der zuständigen Vollstreckungsbehörden einschränkt.</w:t>
            </w:r>
          </w:p>
        </w:tc>
      </w:tr>
    </w:tbl>
    <w:p w14:paraId="6C25747D" w14:textId="77777777" w:rsidR="006856B3" w:rsidRPr="003E5188" w:rsidRDefault="006856B3" w:rsidP="00A257D5">
      <w:pPr>
        <w:jc w:val="both"/>
        <w:rPr>
          <w:rFonts w:ascii="Times New Roman" w:hAnsi="Times New Roman"/>
          <w:i/>
          <w:iCs/>
          <w:color w:val="FF0000"/>
          <w:sz w:val="28"/>
          <w:szCs w:val="28"/>
          <w:lang w:val="en-GB"/>
        </w:rPr>
      </w:pPr>
    </w:p>
    <w:p w14:paraId="73F2C72F" w14:textId="77777777"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t>F6:</w:t>
      </w:r>
      <w:r>
        <w:rPr>
          <w:rFonts w:ascii="Times New Roman" w:hAnsi="Times New Roman"/>
          <w:color w:val="2F5496" w:themeColor="accent1" w:themeShade="BF"/>
          <w:sz w:val="28"/>
        </w:rPr>
        <w:t xml:space="preserve"> Vor welchen Herausforderungen steht die zuständige Vollstreckungsbehörde möglicherweise während des Anerkennungsprozesses, und wie können diese bewältigt werden?</w:t>
      </w:r>
    </w:p>
    <w:p w14:paraId="43D045F1" w14:textId="77777777" w:rsidR="006856B3" w:rsidRPr="003E5188" w:rsidRDefault="00246D57" w:rsidP="00A257D5">
      <w:pPr>
        <w:pStyle w:val="Listenabsatz"/>
        <w:numPr>
          <w:ilvl w:val="0"/>
          <w:numId w:val="9"/>
        </w:numPr>
        <w:jc w:val="both"/>
        <w:rPr>
          <w:rFonts w:ascii="Times New Roman" w:hAnsi="Times New Roman"/>
        </w:rPr>
      </w:pPr>
      <w:r>
        <w:rPr>
          <w:rFonts w:ascii="Times New Roman" w:hAnsi="Times New Roman"/>
          <w:b/>
          <w:i/>
          <w:sz w:val="28"/>
        </w:rPr>
        <w:t>Probleme in Bezug auf die erhaltene Bescheinigung (unvollständige, verwirrende Informationen, nicht korrekt oder gar nicht angekreuzte Felder, wenn es sich um Pflichtfelder handelt usw.)</w:t>
      </w:r>
    </w:p>
    <w:p w14:paraId="28180FBC"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Zuweilen wird die Bescheinigung von der Ausstellungsbehörde nicht korrekt ausgefüllt, Informationen fehlen oder sind verwirrend oder entsprechen offensichtlich nicht dem Urteil oder der Bewährungsentscheidung. </w:t>
      </w:r>
    </w:p>
    <w:p w14:paraId="3E206954" w14:textId="77777777" w:rsidR="006856B3" w:rsidRPr="003E5188" w:rsidRDefault="00246D57" w:rsidP="00A257D5">
      <w:pPr>
        <w:jc w:val="both"/>
        <w:rPr>
          <w:rFonts w:ascii="Times New Roman" w:hAnsi="Times New Roman"/>
          <w:sz w:val="28"/>
          <w:szCs w:val="28"/>
        </w:rPr>
      </w:pPr>
      <w:r>
        <w:rPr>
          <w:rFonts w:ascii="Times New Roman" w:hAnsi="Times New Roman"/>
          <w:sz w:val="28"/>
        </w:rPr>
        <w:t>Diese Situationen gelten gemäß Art. 11 Abs. 1 Buchst. a des RBR als Grund für die Versagung der Anerkennung und Überwachung durch die zuständige Behörde des Vollstreckungsmitgliedstaats.</w:t>
      </w:r>
    </w:p>
    <w:tbl>
      <w:tblPr>
        <w:tblW w:w="8910" w:type="dxa"/>
        <w:tblInd w:w="85" w:type="dxa"/>
        <w:tblCellMar>
          <w:left w:w="10" w:type="dxa"/>
          <w:right w:w="10" w:type="dxa"/>
        </w:tblCellMar>
        <w:tblLook w:val="0000" w:firstRow="0" w:lastRow="0" w:firstColumn="0" w:lastColumn="0" w:noHBand="0" w:noVBand="0"/>
      </w:tblPr>
      <w:tblGrid>
        <w:gridCol w:w="8910"/>
      </w:tblGrid>
      <w:tr w:rsidR="006856B3" w:rsidRPr="003E5188" w14:paraId="2F65D6A7" w14:textId="77777777" w:rsidTr="00B30DB0">
        <w:trPr>
          <w:trHeight w:val="1056"/>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C7580AC" w14:textId="77777777" w:rsidR="006856B3" w:rsidRPr="003E5188" w:rsidRDefault="00246D57" w:rsidP="00A257D5">
            <w:pPr>
              <w:pStyle w:val="Listenabsatz"/>
              <w:numPr>
                <w:ilvl w:val="0"/>
                <w:numId w:val="15"/>
              </w:numPr>
              <w:jc w:val="both"/>
              <w:rPr>
                <w:rFonts w:ascii="Times New Roman" w:hAnsi="Times New Roman"/>
              </w:rPr>
            </w:pPr>
            <w:r>
              <w:rPr>
                <w:rFonts w:ascii="Times New Roman" w:hAnsi="Times New Roman"/>
                <w:sz w:val="28"/>
              </w:rPr>
              <w:lastRenderedPageBreak/>
              <w:t xml:space="preserve">Bevor die zuständige Vollstreckungsbehörde beschließt, die Anerkennung und Überwachung zu versagen, </w:t>
            </w:r>
            <w:r>
              <w:rPr>
                <w:rFonts w:ascii="Times New Roman" w:hAnsi="Times New Roman"/>
                <w:b/>
                <w:sz w:val="28"/>
              </w:rPr>
              <w:t>muss</w:t>
            </w:r>
            <w:r>
              <w:rPr>
                <w:rFonts w:ascii="Times New Roman" w:hAnsi="Times New Roman"/>
                <w:sz w:val="28"/>
              </w:rPr>
              <w:t xml:space="preserve"> sie gemäß Artikel 15 des RBR mit der Ausstellungsbehörde in </w:t>
            </w:r>
            <w:r>
              <w:rPr>
                <w:rFonts w:ascii="Times New Roman" w:hAnsi="Times New Roman"/>
                <w:b/>
                <w:sz w:val="28"/>
              </w:rPr>
              <w:t>Kontakt treten</w:t>
            </w:r>
            <w:r>
              <w:rPr>
                <w:rFonts w:ascii="Times New Roman" w:hAnsi="Times New Roman"/>
                <w:sz w:val="28"/>
              </w:rPr>
              <w:t xml:space="preserve"> und diese ersuchen, die Bescheinigung innerhalb einer angemessenen Frist zu vervollständigen oder zu berichtigen, oder aber zusätzliche Informationen zu übermitteln. </w:t>
            </w:r>
          </w:p>
          <w:p w14:paraId="42D6396D" w14:textId="68A308EF" w:rsidR="006856B3" w:rsidRPr="003E5188" w:rsidRDefault="00246D57" w:rsidP="00A257D5">
            <w:pPr>
              <w:pStyle w:val="Listenabsatz"/>
              <w:numPr>
                <w:ilvl w:val="0"/>
                <w:numId w:val="15"/>
              </w:numPr>
              <w:jc w:val="both"/>
              <w:rPr>
                <w:rFonts w:ascii="Times New Roman" w:hAnsi="Times New Roman"/>
                <w:sz w:val="28"/>
                <w:szCs w:val="28"/>
              </w:rPr>
            </w:pPr>
            <w:r>
              <w:rPr>
                <w:rFonts w:ascii="Times New Roman" w:hAnsi="Times New Roman"/>
                <w:sz w:val="28"/>
              </w:rPr>
              <w:t>Nur wenn die Bescheinigung innerhalb dieser angemessenen Frist nicht vervollständigt oder berichtigt wird, oder wenn zusätzliche Informationen nicht vorgelegt werden, kann der Vollstreckungs</w:t>
            </w:r>
            <w:r w:rsidR="007A6D31">
              <w:rPr>
                <w:rFonts w:ascii="Times New Roman" w:hAnsi="Times New Roman"/>
                <w:sz w:val="28"/>
              </w:rPr>
              <w:softHyphen/>
            </w:r>
            <w:r>
              <w:rPr>
                <w:rFonts w:ascii="Times New Roman" w:hAnsi="Times New Roman"/>
                <w:sz w:val="28"/>
              </w:rPr>
              <w:t>mitgliedstaat die Anerkennung und Überwachung versagen (der in Art.</w:t>
            </w:r>
            <w:r w:rsidR="007A6D31">
              <w:rPr>
                <w:rFonts w:ascii="Times New Roman" w:hAnsi="Times New Roman"/>
                <w:sz w:val="28"/>
              </w:rPr>
              <w:t> </w:t>
            </w:r>
            <w:r>
              <w:rPr>
                <w:rFonts w:ascii="Times New Roman" w:hAnsi="Times New Roman"/>
                <w:sz w:val="28"/>
              </w:rPr>
              <w:t>11 Abs. 1 Buchst. a des RBR genannte Grund).</w:t>
            </w:r>
          </w:p>
        </w:tc>
      </w:tr>
    </w:tbl>
    <w:p w14:paraId="70E88627" w14:textId="77777777" w:rsidR="006856B3" w:rsidRPr="003E5188" w:rsidRDefault="006856B3" w:rsidP="00A257D5">
      <w:pPr>
        <w:suppressAutoHyphens w:val="0"/>
        <w:autoSpaceDN/>
        <w:textAlignment w:val="auto"/>
        <w:rPr>
          <w:rFonts w:ascii="Times New Roman" w:hAnsi="Times New Roman"/>
          <w:b/>
          <w:bCs/>
          <w:i/>
          <w:iCs/>
          <w:sz w:val="28"/>
          <w:szCs w:val="28"/>
          <w:lang w:val="en-GB"/>
        </w:rPr>
      </w:pPr>
    </w:p>
    <w:p w14:paraId="236F7CEE" w14:textId="77777777" w:rsidR="006856B3" w:rsidRPr="003E5188" w:rsidRDefault="00246D57" w:rsidP="00A257D5">
      <w:pPr>
        <w:pStyle w:val="Listenabsatz"/>
        <w:numPr>
          <w:ilvl w:val="0"/>
          <w:numId w:val="9"/>
        </w:numPr>
        <w:jc w:val="both"/>
        <w:rPr>
          <w:rFonts w:ascii="Times New Roman" w:hAnsi="Times New Roman"/>
          <w:b/>
          <w:bCs/>
          <w:i/>
          <w:iCs/>
          <w:sz w:val="28"/>
          <w:szCs w:val="28"/>
        </w:rPr>
      </w:pPr>
      <w:r>
        <w:rPr>
          <w:rFonts w:ascii="Times New Roman" w:hAnsi="Times New Roman"/>
          <w:b/>
          <w:i/>
          <w:sz w:val="28"/>
        </w:rPr>
        <w:t xml:space="preserve">Probleme in Bezug auf das Verständnis oder die Anwendung des im anderen MS ergangenen Urteils </w:t>
      </w:r>
    </w:p>
    <w:p w14:paraId="07188C8F"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Manchmal wird die zuständige Vollstreckungsbehörde möglicherweise Schwierigkeiten haben, das im anderen MS ergangene Urteil zu verstehen oder anzuwenden. </w:t>
      </w:r>
    </w:p>
    <w:tbl>
      <w:tblPr>
        <w:tblW w:w="9120" w:type="dxa"/>
        <w:tblInd w:w="-29" w:type="dxa"/>
        <w:tblCellMar>
          <w:left w:w="10" w:type="dxa"/>
          <w:right w:w="10" w:type="dxa"/>
        </w:tblCellMar>
        <w:tblLook w:val="0000" w:firstRow="0" w:lastRow="0" w:firstColumn="0" w:lastColumn="0" w:noHBand="0" w:noVBand="0"/>
      </w:tblPr>
      <w:tblGrid>
        <w:gridCol w:w="9120"/>
      </w:tblGrid>
      <w:tr w:rsidR="006856B3" w:rsidRPr="003E5188" w14:paraId="2B5903CD" w14:textId="77777777" w:rsidTr="00B30DB0">
        <w:trPr>
          <w:trHeight w:val="773"/>
        </w:trPr>
        <w:tc>
          <w:tcPr>
            <w:tcW w:w="912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3D4F21C" w14:textId="77777777" w:rsidR="006856B3" w:rsidRPr="003E5188" w:rsidRDefault="00246D57" w:rsidP="00A257D5">
            <w:pPr>
              <w:pStyle w:val="Listenabsatz"/>
              <w:numPr>
                <w:ilvl w:val="0"/>
                <w:numId w:val="16"/>
              </w:numPr>
              <w:jc w:val="both"/>
              <w:rPr>
                <w:rFonts w:ascii="Times New Roman" w:hAnsi="Times New Roman"/>
              </w:rPr>
            </w:pPr>
            <w:r>
              <w:rPr>
                <w:rFonts w:ascii="Times New Roman" w:hAnsi="Times New Roman"/>
                <w:sz w:val="28"/>
              </w:rPr>
              <w:t>Dann ist es wichtig, mit der zuständigen Ausstellungsbehörde gemäß Artikel 15 des RBR in Kontakt zu treten und Rücksprache zu halten.</w:t>
            </w:r>
          </w:p>
        </w:tc>
      </w:tr>
    </w:tbl>
    <w:p w14:paraId="10F38AF8" w14:textId="77777777" w:rsidR="006856B3" w:rsidRPr="003E5188" w:rsidRDefault="006856B3" w:rsidP="00A257D5">
      <w:pPr>
        <w:jc w:val="both"/>
        <w:rPr>
          <w:rFonts w:ascii="Times New Roman" w:hAnsi="Times New Roman"/>
          <w:lang w:val="en-GB"/>
        </w:rPr>
      </w:pPr>
    </w:p>
    <w:p w14:paraId="6A27081C" w14:textId="77777777" w:rsidR="006856B3" w:rsidRPr="003E5188" w:rsidRDefault="00246D57" w:rsidP="00A257D5">
      <w:pPr>
        <w:pStyle w:val="Listenabsatz"/>
        <w:numPr>
          <w:ilvl w:val="0"/>
          <w:numId w:val="9"/>
        </w:numPr>
        <w:jc w:val="both"/>
        <w:rPr>
          <w:rFonts w:ascii="Times New Roman" w:hAnsi="Times New Roman"/>
          <w:b/>
          <w:bCs/>
          <w:i/>
          <w:iCs/>
          <w:sz w:val="28"/>
          <w:szCs w:val="28"/>
        </w:rPr>
      </w:pPr>
      <w:r>
        <w:rPr>
          <w:rFonts w:ascii="Times New Roman" w:hAnsi="Times New Roman"/>
          <w:b/>
          <w:i/>
          <w:sz w:val="28"/>
        </w:rPr>
        <w:t xml:space="preserve">Probleme bei der Einhaltung der Fristen </w:t>
      </w:r>
    </w:p>
    <w:p w14:paraId="766F06F7" w14:textId="77777777" w:rsidR="006856B3" w:rsidRPr="003E5188" w:rsidRDefault="00246D57" w:rsidP="00A257D5">
      <w:pPr>
        <w:jc w:val="both"/>
        <w:rPr>
          <w:rFonts w:ascii="Times New Roman" w:hAnsi="Times New Roman"/>
        </w:rPr>
      </w:pPr>
      <w:r>
        <w:rPr>
          <w:rFonts w:ascii="Times New Roman" w:hAnsi="Times New Roman"/>
          <w:sz w:val="28"/>
        </w:rPr>
        <w:t>Gemäß Artikel 12 des RBR entscheidet die zuständige Behörde des Vollstreckungsstaats so bald wie möglich, jedoch innerhalb von 60 Tagen nach Eingang des Urteils und gegebenenfalls der Bewährungsentscheidung zusammen mit der in Artikel 6 Absatz 1 genannten Bescheinigung, ob sie das Urteil und gegebenenfalls die Bewährungsentscheidung anerkennt oder nicht und ob sie die Zuständigkeit für die Überwachung der Bewährungsmaßnahmen und alternativen Sanktionen übernimmt oder nicht.</w:t>
      </w:r>
    </w:p>
    <w:p w14:paraId="1C6B280B" w14:textId="77777777" w:rsidR="006856B3" w:rsidRPr="003E5188" w:rsidRDefault="00246D57" w:rsidP="00A257D5">
      <w:pPr>
        <w:jc w:val="both"/>
        <w:rPr>
          <w:rFonts w:ascii="Times New Roman" w:hAnsi="Times New Roman"/>
          <w:sz w:val="28"/>
          <w:szCs w:val="28"/>
        </w:rPr>
      </w:pPr>
      <w:r>
        <w:rPr>
          <w:rFonts w:ascii="Times New Roman" w:hAnsi="Times New Roman"/>
          <w:sz w:val="28"/>
        </w:rPr>
        <w:t>Ist es nicht möglich, diese Frist einzuhalten, so unterrichtet die zuständige Behörde des Vollstreckungsstaats unverzüglich die zuständige Behörde des Ausstellungsstaats in jeder beliebigen Form und gibt dabei die Gründe für die Verzögerung und die Zeit an, die voraussichtlich für eine endgültige Entscheidung benötigt wird.</w:t>
      </w:r>
    </w:p>
    <w:tbl>
      <w:tblPr>
        <w:tblW w:w="9168" w:type="dxa"/>
        <w:tblInd w:w="-125" w:type="dxa"/>
        <w:tblCellMar>
          <w:left w:w="10" w:type="dxa"/>
          <w:right w:w="10" w:type="dxa"/>
        </w:tblCellMar>
        <w:tblLook w:val="0000" w:firstRow="0" w:lastRow="0" w:firstColumn="0" w:lastColumn="0" w:noHBand="0" w:noVBand="0"/>
      </w:tblPr>
      <w:tblGrid>
        <w:gridCol w:w="9168"/>
      </w:tblGrid>
      <w:tr w:rsidR="006856B3" w:rsidRPr="003E5188" w14:paraId="59E17AD4" w14:textId="77777777" w:rsidTr="007A6D31">
        <w:trPr>
          <w:trHeight w:val="416"/>
        </w:trPr>
        <w:tc>
          <w:tcPr>
            <w:tcW w:w="916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5EC00A4" w14:textId="77777777" w:rsidR="006856B3" w:rsidRPr="003E5188" w:rsidRDefault="00246D57" w:rsidP="00A257D5">
            <w:pPr>
              <w:pStyle w:val="Listenabsatz"/>
              <w:numPr>
                <w:ilvl w:val="0"/>
                <w:numId w:val="17"/>
              </w:numPr>
              <w:jc w:val="both"/>
              <w:rPr>
                <w:rFonts w:ascii="Times New Roman" w:hAnsi="Times New Roman"/>
              </w:rPr>
            </w:pPr>
            <w:r>
              <w:rPr>
                <w:rFonts w:ascii="Times New Roman" w:hAnsi="Times New Roman"/>
                <w:sz w:val="28"/>
              </w:rPr>
              <w:t xml:space="preserve">Die Gründe für die Nichteinhaltung der in Artikel 12 des RBR vorgesehenen Fristen müssen </w:t>
            </w:r>
            <w:r>
              <w:rPr>
                <w:rFonts w:ascii="Times New Roman" w:hAnsi="Times New Roman"/>
                <w:sz w:val="28"/>
                <w:u w:val="single"/>
              </w:rPr>
              <w:t>außergewöhnliche Umstände sein und sollten sich nur auf objektive Situationen beschränken</w:t>
            </w:r>
            <w:r>
              <w:rPr>
                <w:rFonts w:ascii="Times New Roman" w:hAnsi="Times New Roman"/>
                <w:sz w:val="28"/>
              </w:rPr>
              <w:t xml:space="preserve"> (</w:t>
            </w:r>
            <w:r>
              <w:rPr>
                <w:rFonts w:ascii="Times New Roman" w:hAnsi="Times New Roman"/>
                <w:i/>
                <w:sz w:val="28"/>
              </w:rPr>
              <w:t xml:space="preserve">z. B. wenn zusätzliche Informationen vom Ausstellungsmitgliedstaat oder von anderen am Anerkennungsverfahren beteiligten zuständigen Behörden </w:t>
            </w:r>
            <w:r>
              <w:rPr>
                <w:rFonts w:ascii="Times New Roman" w:hAnsi="Times New Roman"/>
                <w:i/>
                <w:sz w:val="28"/>
              </w:rPr>
              <w:lastRenderedPageBreak/>
              <w:t>benötigt werden</w:t>
            </w:r>
            <w:r>
              <w:rPr>
                <w:rFonts w:ascii="Times New Roman" w:hAnsi="Times New Roman"/>
                <w:sz w:val="28"/>
              </w:rPr>
              <w:t>).</w:t>
            </w:r>
          </w:p>
        </w:tc>
      </w:tr>
    </w:tbl>
    <w:p w14:paraId="3A31FC65" w14:textId="77777777" w:rsidR="006856B3" w:rsidRPr="003E5188" w:rsidRDefault="006856B3" w:rsidP="00A257D5">
      <w:pPr>
        <w:ind w:firstLine="720"/>
        <w:jc w:val="both"/>
        <w:rPr>
          <w:rFonts w:ascii="Times New Roman" w:hAnsi="Times New Roman"/>
          <w:sz w:val="28"/>
          <w:szCs w:val="28"/>
          <w:lang w:val="en-GB"/>
        </w:rPr>
      </w:pPr>
    </w:p>
    <w:p w14:paraId="2AAC7F51" w14:textId="77777777" w:rsidR="006856B3" w:rsidRPr="003E5188" w:rsidRDefault="00246D57" w:rsidP="00A257D5">
      <w:pPr>
        <w:pStyle w:val="Listenabsatz"/>
        <w:numPr>
          <w:ilvl w:val="0"/>
          <w:numId w:val="9"/>
        </w:numPr>
        <w:jc w:val="both"/>
        <w:rPr>
          <w:rFonts w:ascii="Times New Roman" w:hAnsi="Times New Roman"/>
        </w:rPr>
      </w:pPr>
      <w:r>
        <w:rPr>
          <w:rFonts w:ascii="Times New Roman" w:hAnsi="Times New Roman"/>
          <w:b/>
          <w:i/>
          <w:sz w:val="28"/>
        </w:rPr>
        <w:t>Probleme bei der Anpassung der Bewährungsmaßnahmen oder alternativen Sanktionen</w:t>
      </w:r>
    </w:p>
    <w:p w14:paraId="369D0AFC"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Die vielleicht größte Herausforderung für die zuständige Behörde des Vollstreckungsstaats ist die Anpassung der Bewährungsmaßnahmen oder alternativen Sanktionen, denn nicht immer sind die beiden beteiligten Justizsysteme die gleichen. </w:t>
      </w:r>
    </w:p>
    <w:p w14:paraId="41BB471B" w14:textId="77777777" w:rsidR="006856B3" w:rsidRPr="003E5188" w:rsidRDefault="00246D57" w:rsidP="00A257D5">
      <w:pPr>
        <w:jc w:val="both"/>
        <w:rPr>
          <w:rFonts w:ascii="Times New Roman" w:hAnsi="Times New Roman"/>
        </w:rPr>
      </w:pPr>
      <w:r>
        <w:rPr>
          <w:rFonts w:ascii="Times New Roman" w:hAnsi="Times New Roman"/>
          <w:sz w:val="28"/>
        </w:rPr>
        <w:t>Probleme können in Bezug auf die</w:t>
      </w:r>
      <w:r w:rsidRPr="007A6D31">
        <w:rPr>
          <w:rFonts w:ascii="Times New Roman" w:hAnsi="Times New Roman"/>
          <w:i/>
          <w:sz w:val="28"/>
        </w:rPr>
        <w:t xml:space="preserve"> </w:t>
      </w:r>
      <w:r>
        <w:rPr>
          <w:rFonts w:ascii="Times New Roman" w:hAnsi="Times New Roman"/>
          <w:i/>
          <w:sz w:val="28"/>
          <w:u w:val="single"/>
        </w:rPr>
        <w:t>Art</w:t>
      </w:r>
      <w:r>
        <w:rPr>
          <w:rFonts w:ascii="Times New Roman" w:hAnsi="Times New Roman"/>
          <w:i/>
          <w:sz w:val="28"/>
        </w:rPr>
        <w:t xml:space="preserve"> und die </w:t>
      </w:r>
      <w:r>
        <w:rPr>
          <w:rFonts w:ascii="Times New Roman" w:hAnsi="Times New Roman"/>
          <w:i/>
          <w:sz w:val="28"/>
          <w:u w:val="single"/>
        </w:rPr>
        <w:t>Dauer der Bewährungsmaßnahmen oder alternativen Sanktionen</w:t>
      </w:r>
      <w:r>
        <w:rPr>
          <w:rFonts w:ascii="Times New Roman" w:hAnsi="Times New Roman"/>
          <w:i/>
          <w:sz w:val="28"/>
        </w:rPr>
        <w:t xml:space="preserve"> </w:t>
      </w:r>
      <w:r>
        <w:rPr>
          <w:rFonts w:ascii="Times New Roman" w:hAnsi="Times New Roman"/>
          <w:sz w:val="28"/>
        </w:rPr>
        <w:t>oder hinsichtlich der</w:t>
      </w:r>
      <w:r>
        <w:rPr>
          <w:rFonts w:ascii="Times New Roman" w:hAnsi="Times New Roman"/>
          <w:i/>
          <w:sz w:val="28"/>
        </w:rPr>
        <w:t xml:space="preserve"> </w:t>
      </w:r>
      <w:r>
        <w:rPr>
          <w:rFonts w:ascii="Times New Roman" w:hAnsi="Times New Roman"/>
          <w:i/>
          <w:sz w:val="28"/>
          <w:u w:val="single"/>
        </w:rPr>
        <w:t>Bewährungszeit</w:t>
      </w:r>
      <w:r>
        <w:rPr>
          <w:rFonts w:ascii="Times New Roman" w:hAnsi="Times New Roman"/>
          <w:sz w:val="28"/>
        </w:rPr>
        <w:t xml:space="preserve"> auftreten.</w:t>
      </w:r>
    </w:p>
    <w:p w14:paraId="48A39D51" w14:textId="77777777" w:rsidR="006856B3" w:rsidRPr="003E5188" w:rsidRDefault="00246D57" w:rsidP="00A257D5">
      <w:pPr>
        <w:ind w:firstLine="720"/>
        <w:jc w:val="both"/>
        <w:rPr>
          <w:rFonts w:ascii="Times New Roman" w:hAnsi="Times New Roman"/>
        </w:rPr>
      </w:pPr>
      <w:r>
        <w:rPr>
          <w:rFonts w:ascii="Times New Roman" w:hAnsi="Times New Roman"/>
          <w:sz w:val="28"/>
        </w:rPr>
        <w:t xml:space="preserve">- </w:t>
      </w:r>
      <w:r>
        <w:rPr>
          <w:rFonts w:ascii="Times New Roman" w:hAnsi="Times New Roman"/>
          <w:b/>
          <w:sz w:val="28"/>
        </w:rPr>
        <w:t>Übersteigt die Dauer der Bewährungsmaßnahme, der alternativen Sanktion oder der Bewährung die nach dem Recht des Vollstreckungsstaats vorgesehene Höchstdauer</w:t>
      </w:r>
      <w:r>
        <w:rPr>
          <w:rFonts w:ascii="Times New Roman" w:hAnsi="Times New Roman"/>
          <w:sz w:val="28"/>
        </w:rPr>
        <w:t xml:space="preserve">, so kann die Dauer angepasst werden, wobei die Dauer der angepassten Bewährungsmaßnahme, alternativen Sanktion oder Bewährungszeit </w:t>
      </w:r>
      <w:r>
        <w:rPr>
          <w:rFonts w:ascii="Times New Roman" w:hAnsi="Times New Roman"/>
          <w:i/>
          <w:sz w:val="28"/>
        </w:rPr>
        <w:t>nicht unter der für entsprechende Straftaten nach dem Recht des Vollstreckungsstaats vorgesehenen Höchstdauer liegen</w:t>
      </w:r>
      <w:r>
        <w:rPr>
          <w:rFonts w:ascii="Times New Roman" w:hAnsi="Times New Roman"/>
          <w:sz w:val="28"/>
        </w:rPr>
        <w:t xml:space="preserve"> darf. Auch darf die angepasste Bewährungsmaßnahme, alternative Sanktion oder Bewährungszeit </w:t>
      </w:r>
      <w:r>
        <w:rPr>
          <w:rFonts w:ascii="Times New Roman" w:hAnsi="Times New Roman"/>
          <w:i/>
          <w:sz w:val="28"/>
        </w:rPr>
        <w:t xml:space="preserve">nicht strenger oder länger als die ursprünglich auferlegte Bewährungsmaßnahme, alternative Sanktion oder Bewährungszeit </w:t>
      </w:r>
      <w:r>
        <w:rPr>
          <w:rFonts w:ascii="Times New Roman" w:hAnsi="Times New Roman"/>
          <w:sz w:val="28"/>
        </w:rPr>
        <w:t>sein.</w:t>
      </w:r>
    </w:p>
    <w:tbl>
      <w:tblPr>
        <w:tblW w:w="9072" w:type="dxa"/>
        <w:tblInd w:w="-29" w:type="dxa"/>
        <w:tblCellMar>
          <w:left w:w="10" w:type="dxa"/>
          <w:right w:w="10" w:type="dxa"/>
        </w:tblCellMar>
        <w:tblLook w:val="0000" w:firstRow="0" w:lastRow="0" w:firstColumn="0" w:lastColumn="0" w:noHBand="0" w:noVBand="0"/>
      </w:tblPr>
      <w:tblGrid>
        <w:gridCol w:w="9072"/>
      </w:tblGrid>
      <w:tr w:rsidR="006856B3" w:rsidRPr="003E5188" w14:paraId="314A8A88" w14:textId="77777777" w:rsidTr="00B30DB0">
        <w:trPr>
          <w:trHeight w:val="2285"/>
        </w:trPr>
        <w:tc>
          <w:tcPr>
            <w:tcW w:w="907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47D70358" w14:textId="77777777" w:rsidR="006856B3" w:rsidRPr="003E5188" w:rsidRDefault="00246D57" w:rsidP="00A257D5">
            <w:pPr>
              <w:pStyle w:val="Listenabsatz"/>
              <w:numPr>
                <w:ilvl w:val="0"/>
                <w:numId w:val="18"/>
              </w:numPr>
              <w:ind w:left="714" w:hanging="357"/>
              <w:jc w:val="both"/>
              <w:rPr>
                <w:rFonts w:ascii="Times New Roman" w:hAnsi="Times New Roman"/>
              </w:rPr>
            </w:pPr>
            <w:r>
              <w:rPr>
                <w:rFonts w:ascii="Times New Roman" w:hAnsi="Times New Roman"/>
                <w:i/>
                <w:sz w:val="28"/>
              </w:rPr>
              <w:t>Beispielsweise</w:t>
            </w:r>
            <w:r>
              <w:rPr>
                <w:rFonts w:ascii="Times New Roman" w:hAnsi="Times New Roman"/>
                <w:sz w:val="28"/>
              </w:rPr>
              <w:t xml:space="preserve"> wurde in unserem Fall die verhängte Strafe für 4 Jahre zur Bewährung ausgesetzt. Wenn die Bewährungszeit nach deutschem Recht bei höchstens 3 Jahren liegt, dann wird die Bewährungszeit nach dem Recht des Vollstreckungsstaats auf 3 Jahre reduziert. Wenn in Deutschland z. </w:t>
            </w:r>
            <w:r>
              <w:rPr>
                <w:rFonts w:ascii="Times New Roman" w:hAnsi="Times New Roman"/>
                <w:i/>
                <w:sz w:val="28"/>
              </w:rPr>
              <w:t>B</w:t>
            </w:r>
            <w:r>
              <w:rPr>
                <w:rFonts w:ascii="Times New Roman" w:hAnsi="Times New Roman"/>
                <w:sz w:val="28"/>
              </w:rPr>
              <w:t xml:space="preserve">. die Höchstdauer in demselben Fall 5 Jahre beträgt, wird die Vollstreckungsbehörde die in Rumänien verhängten 4 Jahre beibehalten und die Dauer nicht auf 5 Jahre festsetzen, weil sie in diesem Fall länger als die ursprüngliche Dauer wäre und die Situation der verurteilten Person verschärfen würde. </w:t>
            </w:r>
          </w:p>
          <w:p w14:paraId="1EA8156C" w14:textId="77777777" w:rsidR="006856B3" w:rsidRPr="003E5188" w:rsidRDefault="00246D57" w:rsidP="00A257D5">
            <w:pPr>
              <w:pStyle w:val="Listenabsatz"/>
              <w:numPr>
                <w:ilvl w:val="0"/>
                <w:numId w:val="18"/>
              </w:numPr>
              <w:jc w:val="both"/>
              <w:rPr>
                <w:rFonts w:ascii="Times New Roman" w:hAnsi="Times New Roman"/>
              </w:rPr>
            </w:pPr>
            <w:r>
              <w:rPr>
                <w:rFonts w:ascii="Times New Roman" w:hAnsi="Times New Roman"/>
                <w:sz w:val="28"/>
              </w:rPr>
              <w:t xml:space="preserve">Wenn der verurteilten Person </w:t>
            </w:r>
            <w:r>
              <w:rPr>
                <w:rFonts w:ascii="Times New Roman" w:hAnsi="Times New Roman"/>
                <w:i/>
                <w:sz w:val="28"/>
              </w:rPr>
              <w:t xml:space="preserve">beispielsweise </w:t>
            </w:r>
            <w:r>
              <w:rPr>
                <w:rFonts w:ascii="Times New Roman" w:hAnsi="Times New Roman"/>
                <w:sz w:val="28"/>
              </w:rPr>
              <w:t xml:space="preserve">eine Verpflichtung zu einer gemeinnützigen Leistung über einen Zeitraum von 1 Jahr auferlegt wurde, kann die zuständige Vollstreckungsbehörde diesen Zeitraum verkürzen, wenn das nationale Recht einen Zeitraum von höchstens 6 Monaten vorsieht; sie kann die Verpflichtung jedoch nicht nach nationalem Recht für einen Zeitraum von 2 Jahren auferlegen, da sie in diesem Fall länger wäre als der ursprüngliche Zeitraum und die Situation der verurteilten Person verschärfen würde. </w:t>
            </w:r>
          </w:p>
        </w:tc>
      </w:tr>
    </w:tbl>
    <w:p w14:paraId="13B14306" w14:textId="77777777" w:rsidR="006856B3" w:rsidRPr="003E5188" w:rsidRDefault="006856B3" w:rsidP="00A257D5">
      <w:pPr>
        <w:ind w:firstLine="720"/>
        <w:jc w:val="both"/>
        <w:rPr>
          <w:rFonts w:ascii="Times New Roman" w:hAnsi="Times New Roman"/>
          <w:sz w:val="28"/>
          <w:szCs w:val="28"/>
          <w:lang w:val="en-GB"/>
        </w:rPr>
      </w:pPr>
    </w:p>
    <w:p w14:paraId="1264F8D3" w14:textId="77777777" w:rsidR="006856B3" w:rsidRPr="003E5188" w:rsidRDefault="00246D57" w:rsidP="00A257D5">
      <w:pPr>
        <w:ind w:firstLine="720"/>
        <w:jc w:val="both"/>
        <w:rPr>
          <w:rFonts w:ascii="Times New Roman" w:hAnsi="Times New Roman"/>
        </w:rPr>
      </w:pPr>
      <w:r>
        <w:rPr>
          <w:rFonts w:ascii="Times New Roman" w:hAnsi="Times New Roman"/>
          <w:sz w:val="28"/>
        </w:rPr>
        <w:lastRenderedPageBreak/>
        <w:t xml:space="preserve">- Ist die </w:t>
      </w:r>
      <w:r>
        <w:rPr>
          <w:rFonts w:ascii="Times New Roman" w:hAnsi="Times New Roman"/>
          <w:b/>
          <w:sz w:val="28"/>
        </w:rPr>
        <w:t>Art der einschlägigen Bewährungsmaßnahme oder alternativen Sanktion mit dem Recht des Vollstreckungsstaats nicht vereinbar, so kann die zuständige Behörde dieses Staates</w:t>
      </w:r>
      <w:r>
        <w:rPr>
          <w:rFonts w:ascii="Times New Roman" w:hAnsi="Times New Roman"/>
          <w:sz w:val="28"/>
        </w:rPr>
        <w:t xml:space="preserve"> sie an die nach ihrem eigenen Recht für entsprechende Straftaten geltende Art und Dauer der Bewährungsmaßnahmen und alternativen Sanktionen oder die bestehende Dauer der Bewährungszeit anpassen. Die angepasste Bewährungsmaßnahme, alternative Sanktion oder Dauer der Bewährungszeit muss so weit wie möglich der im Ausstellungsstaat verhängten Bewährungsmaßnahme, alternativen Sanktion oder Dauer der Bewährungszeit entsprechen (Art. 9 Abs. 1 des RBR).</w:t>
      </w:r>
    </w:p>
    <w:tbl>
      <w:tblPr>
        <w:tblW w:w="9180" w:type="dxa"/>
        <w:tblInd w:w="-5" w:type="dxa"/>
        <w:tblCellMar>
          <w:left w:w="10" w:type="dxa"/>
          <w:right w:w="10" w:type="dxa"/>
        </w:tblCellMar>
        <w:tblLook w:val="0000" w:firstRow="0" w:lastRow="0" w:firstColumn="0" w:lastColumn="0" w:noHBand="0" w:noVBand="0"/>
      </w:tblPr>
      <w:tblGrid>
        <w:gridCol w:w="9180"/>
      </w:tblGrid>
      <w:tr w:rsidR="006856B3" w:rsidRPr="003E5188" w14:paraId="16149EDE" w14:textId="77777777" w:rsidTr="00B30DB0">
        <w:trPr>
          <w:trHeight w:val="1070"/>
        </w:trPr>
        <w:tc>
          <w:tcPr>
            <w:tcW w:w="918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46AA809B" w14:textId="77777777" w:rsidR="006856B3" w:rsidRPr="003E5188" w:rsidRDefault="00246D57" w:rsidP="00A257D5">
            <w:pPr>
              <w:pStyle w:val="Listenabsatz"/>
              <w:numPr>
                <w:ilvl w:val="0"/>
                <w:numId w:val="19"/>
              </w:numPr>
              <w:jc w:val="both"/>
              <w:rPr>
                <w:rFonts w:ascii="Times New Roman" w:hAnsi="Times New Roman"/>
              </w:rPr>
            </w:pPr>
            <w:r>
              <w:rPr>
                <w:rFonts w:ascii="Times New Roman" w:hAnsi="Times New Roman"/>
                <w:sz w:val="28"/>
              </w:rPr>
              <w:t xml:space="preserve">Beispielsweise ist im Vollstreckungsstaat </w:t>
            </w:r>
            <w:r>
              <w:rPr>
                <w:rFonts w:ascii="Times New Roman" w:hAnsi="Times New Roman"/>
                <w:i/>
                <w:sz w:val="28"/>
              </w:rPr>
              <w:t>die Verpflichtung zu einer gemeinnützigen Leistung</w:t>
            </w:r>
            <w:r>
              <w:rPr>
                <w:rFonts w:ascii="Times New Roman" w:hAnsi="Times New Roman"/>
                <w:sz w:val="28"/>
              </w:rPr>
              <w:t xml:space="preserve"> nicht als Auflage im Rahmen einer Bewährungsstrafe vorgesehen und stellt nach nationalem Recht selbst eine Strafe dar. In diesem Fall übernimmt der Vollstreckungsstaat auch die Überwachung dieser Auflage, obgleich dies im nationalen Recht nicht so wie im Recht des Ausstellungsstaats vorgesehen ist. Natürlich kann die Dauer an die im nationalen Recht vorgesehene Höchstdauer angepasst werden, wie im oben genannten Beispiel erwähnt.</w:t>
            </w:r>
          </w:p>
        </w:tc>
      </w:tr>
    </w:tbl>
    <w:p w14:paraId="301F54FC" w14:textId="77777777" w:rsidR="006856B3" w:rsidRPr="003E5188" w:rsidRDefault="006856B3" w:rsidP="00A257D5">
      <w:pPr>
        <w:jc w:val="both"/>
        <w:rPr>
          <w:rFonts w:ascii="Times New Roman" w:hAnsi="Times New Roman"/>
          <w:sz w:val="28"/>
          <w:szCs w:val="28"/>
          <w:lang w:val="en-GB"/>
        </w:rPr>
      </w:pPr>
    </w:p>
    <w:p w14:paraId="3D0C1313" w14:textId="77777777" w:rsidR="00326B60" w:rsidRPr="003E5188" w:rsidRDefault="00246D57" w:rsidP="00A257D5">
      <w:pPr>
        <w:jc w:val="both"/>
        <w:rPr>
          <w:rFonts w:ascii="Times New Roman" w:hAnsi="Times New Roman"/>
          <w:sz w:val="28"/>
          <w:szCs w:val="28"/>
        </w:rPr>
      </w:pPr>
      <w:r>
        <w:rPr>
          <w:rFonts w:ascii="Times New Roman" w:hAnsi="Times New Roman"/>
          <w:sz w:val="28"/>
        </w:rPr>
        <w:t xml:space="preserve">Bevor die </w:t>
      </w:r>
      <w:r>
        <w:rPr>
          <w:rFonts w:ascii="Times New Roman" w:hAnsi="Times New Roman"/>
          <w:b/>
          <w:sz w:val="28"/>
        </w:rPr>
        <w:t>zuständige Vollstreckungsbehörde</w:t>
      </w:r>
      <w:r>
        <w:rPr>
          <w:rFonts w:ascii="Times New Roman" w:hAnsi="Times New Roman"/>
          <w:sz w:val="28"/>
        </w:rPr>
        <w:t xml:space="preserve"> eine Anpassung vornimmt, </w:t>
      </w:r>
      <w:r>
        <w:rPr>
          <w:rFonts w:ascii="Times New Roman" w:hAnsi="Times New Roman"/>
          <w:b/>
          <w:sz w:val="28"/>
        </w:rPr>
        <w:t>teilt sie dies der zuständigen Ausstellungsbehörde mit</w:t>
      </w:r>
      <w:r>
        <w:rPr>
          <w:rFonts w:ascii="Times New Roman" w:hAnsi="Times New Roman"/>
          <w:sz w:val="28"/>
        </w:rPr>
        <w:t>, die beschließen kann, die in Artikel 6 Absatz 1 genannte Bescheinigung zurückzuziehen, solange die Überwachung im Vollstreckungsstaat noch nicht begonnen hat. In diesen Fällen muss diese Entscheidung auf jeden Fall so schnell wie möglich ergehen und mitgeteilt werden, spätestens aber innerhalb von zehn Tagen nach Erhalt der Information.</w:t>
      </w:r>
    </w:p>
    <w:p w14:paraId="13449D57" w14:textId="77777777" w:rsidR="006856B3" w:rsidRPr="003E5188" w:rsidRDefault="00326B60" w:rsidP="00326B60">
      <w:pPr>
        <w:suppressAutoHyphens w:val="0"/>
        <w:autoSpaceDN/>
        <w:spacing w:after="0"/>
        <w:textAlignment w:val="auto"/>
        <w:rPr>
          <w:rFonts w:ascii="Times New Roman" w:hAnsi="Times New Roman"/>
          <w:sz w:val="28"/>
          <w:szCs w:val="28"/>
        </w:rPr>
      </w:pPr>
      <w:r>
        <w:br w:type="page"/>
      </w:r>
    </w:p>
    <w:p w14:paraId="4A54D97D" w14:textId="77777777" w:rsidR="006856B3" w:rsidRPr="003E5188" w:rsidRDefault="00246D57" w:rsidP="00A257D5">
      <w:pPr>
        <w:pStyle w:val="Listenabsatz"/>
        <w:numPr>
          <w:ilvl w:val="0"/>
          <w:numId w:val="9"/>
        </w:numPr>
        <w:jc w:val="both"/>
        <w:rPr>
          <w:rFonts w:ascii="Times New Roman" w:hAnsi="Times New Roman"/>
          <w:b/>
          <w:bCs/>
          <w:i/>
          <w:iCs/>
          <w:sz w:val="28"/>
          <w:szCs w:val="28"/>
        </w:rPr>
      </w:pPr>
      <w:r>
        <w:rPr>
          <w:rFonts w:ascii="Times New Roman" w:hAnsi="Times New Roman"/>
          <w:b/>
          <w:i/>
          <w:sz w:val="28"/>
        </w:rPr>
        <w:lastRenderedPageBreak/>
        <w:t>Probleme im Zusammenhang mit den Kosten (insbesondere im Zusammenhang mit einer Heilbehandlung)</w:t>
      </w:r>
    </w:p>
    <w:p w14:paraId="342863CE" w14:textId="77777777" w:rsidR="006856B3" w:rsidRPr="003E5188" w:rsidRDefault="00246D57" w:rsidP="00A257D5">
      <w:pPr>
        <w:jc w:val="both"/>
        <w:rPr>
          <w:rFonts w:ascii="Times New Roman" w:hAnsi="Times New Roman"/>
          <w:sz w:val="28"/>
          <w:szCs w:val="28"/>
        </w:rPr>
      </w:pPr>
      <w:r>
        <w:rPr>
          <w:rFonts w:ascii="Times New Roman" w:hAnsi="Times New Roman"/>
          <w:sz w:val="28"/>
        </w:rPr>
        <w:t>Artikel 22 des RBR besagt, dass die Kosten, die bei der Anwendung dieses Rahmenbeschlusses entstehen, vom Vollstreckungsstaat getragen werden, ausgenommen solche, die ausschließlich im Hoheitsgebiet des Ausstellungsstaats entstehen.</w:t>
      </w:r>
    </w:p>
    <w:p w14:paraId="0C89B60C" w14:textId="77777777" w:rsidR="006856B3" w:rsidRPr="003E5188" w:rsidRDefault="00246D57" w:rsidP="00A257D5">
      <w:pPr>
        <w:jc w:val="both"/>
        <w:rPr>
          <w:rFonts w:ascii="Times New Roman" w:hAnsi="Times New Roman"/>
        </w:rPr>
      </w:pPr>
      <w:r>
        <w:rPr>
          <w:rFonts w:ascii="Times New Roman" w:hAnsi="Times New Roman"/>
          <w:sz w:val="28"/>
        </w:rPr>
        <w:t xml:space="preserve">Wurde in einer solchen Situation </w:t>
      </w:r>
      <w:r>
        <w:rPr>
          <w:rFonts w:ascii="Times New Roman" w:hAnsi="Times New Roman"/>
          <w:i/>
          <w:sz w:val="28"/>
        </w:rPr>
        <w:t>eine Verpflichtung, sich einer Heilbehandlung oder einer Entziehungskur zu unterziehen,</w:t>
      </w:r>
      <w:r>
        <w:rPr>
          <w:rFonts w:ascii="Times New Roman" w:hAnsi="Times New Roman"/>
          <w:sz w:val="28"/>
        </w:rPr>
        <w:t xml:space="preserve"> auferlegt, kann sich für die zuständige Vollstreckungsbehörde das Problem möglicher Kosten stellen, insbesondere bei Behandlungen mit relativ hohen Kosten.</w:t>
      </w:r>
    </w:p>
    <w:tbl>
      <w:tblPr>
        <w:tblW w:w="8862" w:type="dxa"/>
        <w:tblInd w:w="85" w:type="dxa"/>
        <w:tblCellMar>
          <w:left w:w="10" w:type="dxa"/>
          <w:right w:w="10" w:type="dxa"/>
        </w:tblCellMar>
        <w:tblLook w:val="0000" w:firstRow="0" w:lastRow="0" w:firstColumn="0" w:lastColumn="0" w:noHBand="0" w:noVBand="0"/>
      </w:tblPr>
      <w:tblGrid>
        <w:gridCol w:w="8862"/>
      </w:tblGrid>
      <w:tr w:rsidR="006856B3" w:rsidRPr="003E5188" w14:paraId="65165D69" w14:textId="77777777" w:rsidTr="00B30DB0">
        <w:trPr>
          <w:trHeight w:val="1664"/>
        </w:trPr>
        <w:tc>
          <w:tcPr>
            <w:tcW w:w="886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A19A688" w14:textId="77777777" w:rsidR="006856B3" w:rsidRPr="003E5188" w:rsidRDefault="00246D57" w:rsidP="00A257D5">
            <w:pPr>
              <w:pStyle w:val="Listenabsatz"/>
              <w:numPr>
                <w:ilvl w:val="0"/>
                <w:numId w:val="19"/>
              </w:numPr>
              <w:jc w:val="both"/>
              <w:rPr>
                <w:rFonts w:ascii="Times New Roman" w:hAnsi="Times New Roman"/>
                <w:sz w:val="28"/>
                <w:szCs w:val="28"/>
              </w:rPr>
            </w:pPr>
            <w:r>
              <w:rPr>
                <w:rFonts w:ascii="Times New Roman" w:hAnsi="Times New Roman"/>
                <w:sz w:val="28"/>
              </w:rPr>
              <w:t>Dies kann für den Vollstreckungsstaat ein heikles Thema sein, aber im Hinblick auf die Umsetzung des RBR und seiner Ziele sollte die Übertragung der Überwachung – wie bereits oben ausgeführt – nicht in direktem Zusammenhang mit den möglicherweise entstehenden Kosten stehen, und für die Entscheidung über die Anerkennung und Vollstreckung sollte dieses Thema keine Rolle spielen.</w:t>
            </w:r>
          </w:p>
        </w:tc>
      </w:tr>
    </w:tbl>
    <w:p w14:paraId="260A7337" w14:textId="77777777" w:rsidR="006856B3" w:rsidRPr="003E5188" w:rsidRDefault="006856B3" w:rsidP="00A257D5">
      <w:pPr>
        <w:jc w:val="both"/>
        <w:rPr>
          <w:rFonts w:ascii="Times New Roman" w:hAnsi="Times New Roman"/>
          <w:sz w:val="28"/>
          <w:szCs w:val="28"/>
          <w:lang w:val="en-GB"/>
        </w:rPr>
      </w:pPr>
    </w:p>
    <w:p w14:paraId="79F2D84C" w14:textId="77777777" w:rsidR="00E25CD0"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t xml:space="preserve">F7: </w:t>
      </w:r>
      <w:r>
        <w:rPr>
          <w:rFonts w:ascii="Times New Roman" w:hAnsi="Times New Roman"/>
          <w:color w:val="2F5496" w:themeColor="accent1" w:themeShade="BF"/>
          <w:sz w:val="28"/>
        </w:rPr>
        <w:t xml:space="preserve">Welche Vorteile hat es in diesem Fall, wenn die deutschen zuständigen Behörden einer solchen Übertragung der Überwachung zustimmen? </w:t>
      </w:r>
    </w:p>
    <w:p w14:paraId="7460DB36" w14:textId="77777777" w:rsidR="006856B3" w:rsidRPr="003E5188" w:rsidRDefault="00246D57" w:rsidP="00A257D5">
      <w:pPr>
        <w:pStyle w:val="Listenabsatz"/>
        <w:numPr>
          <w:ilvl w:val="0"/>
          <w:numId w:val="9"/>
        </w:numPr>
        <w:jc w:val="both"/>
        <w:rPr>
          <w:rFonts w:ascii="Times New Roman" w:hAnsi="Times New Roman"/>
          <w:b/>
          <w:bCs/>
          <w:i/>
          <w:iCs/>
          <w:sz w:val="28"/>
          <w:szCs w:val="28"/>
        </w:rPr>
      </w:pPr>
      <w:r>
        <w:rPr>
          <w:rFonts w:ascii="Times New Roman" w:hAnsi="Times New Roman"/>
          <w:b/>
          <w:i/>
          <w:sz w:val="28"/>
        </w:rPr>
        <w:t>Bessere Perspektive für die Resozialisierung im Vollstreckungsmitgliedstaat</w:t>
      </w:r>
    </w:p>
    <w:p w14:paraId="42C68D58" w14:textId="77777777" w:rsidR="006856B3" w:rsidRPr="003E5188" w:rsidRDefault="00246D57" w:rsidP="00A257D5">
      <w:pPr>
        <w:jc w:val="both"/>
        <w:rPr>
          <w:rFonts w:ascii="Times New Roman" w:hAnsi="Times New Roman"/>
        </w:rPr>
      </w:pPr>
      <w:r>
        <w:rPr>
          <w:rFonts w:ascii="Times New Roman" w:hAnsi="Times New Roman"/>
          <w:sz w:val="28"/>
        </w:rPr>
        <w:t xml:space="preserve">In Erwägungsgrund 8 des RBR heißt es, dass die gegenseitige Anerkennung und Überwachung von Bewährungsstrafen, bedingten Verurteilungen, alternativen Sanktionen und Entscheidungen über bedingte Entlassungen </w:t>
      </w:r>
      <w:r>
        <w:rPr>
          <w:rFonts w:ascii="Times New Roman" w:hAnsi="Times New Roman"/>
          <w:i/>
          <w:sz w:val="28"/>
        </w:rPr>
        <w:t>die Aussichten auf Resozialisierung der verurteilten Person erhöhen soll, indem ihr die Möglichkeit verschafft wird, die familiären, sprachlichen, kulturellen und sonstigen Beziehungen aufrechtzuerhalten</w:t>
      </w:r>
      <w:r>
        <w:rPr>
          <w:rFonts w:ascii="Times New Roman" w:hAnsi="Times New Roman"/>
          <w:sz w:val="28"/>
        </w:rPr>
        <w:t>; es soll aber auch die Kontrolle der Einhaltung von Bewährungsmaßnahmen und alternativen Sanktionen verbessert werden.</w:t>
      </w:r>
    </w:p>
    <w:p w14:paraId="56294401" w14:textId="77777777" w:rsidR="006856B3" w:rsidRPr="003E5188" w:rsidRDefault="00246D57" w:rsidP="00A257D5">
      <w:pPr>
        <w:pStyle w:val="Listenabsatz"/>
        <w:numPr>
          <w:ilvl w:val="0"/>
          <w:numId w:val="9"/>
        </w:numPr>
        <w:jc w:val="both"/>
        <w:rPr>
          <w:rFonts w:ascii="Times New Roman" w:hAnsi="Times New Roman"/>
          <w:b/>
          <w:bCs/>
          <w:i/>
          <w:iCs/>
          <w:sz w:val="28"/>
          <w:szCs w:val="28"/>
        </w:rPr>
      </w:pPr>
      <w:r>
        <w:rPr>
          <w:rFonts w:ascii="Times New Roman" w:hAnsi="Times New Roman"/>
          <w:b/>
          <w:i/>
          <w:sz w:val="28"/>
        </w:rPr>
        <w:t>Bessere Chancen für die verurteilte Person, nicht erneut straffällig zu werden</w:t>
      </w:r>
    </w:p>
    <w:p w14:paraId="0822CECE"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Durch die Aufrechterhaltung der familiären, sprachlichen, kulturellen und sonstigen Beziehungen zu ihrem Herkunftsland hat die verurteilte Person bessere Chancen, während der Bewährungszeit nicht erneut straffällig zu werden. </w:t>
      </w:r>
    </w:p>
    <w:p w14:paraId="3A6472A7" w14:textId="77777777" w:rsidR="006856B3" w:rsidRPr="003E5188" w:rsidRDefault="00246D57" w:rsidP="00A257D5">
      <w:pPr>
        <w:jc w:val="both"/>
        <w:rPr>
          <w:rFonts w:ascii="Times New Roman" w:hAnsi="Times New Roman"/>
        </w:rPr>
      </w:pPr>
      <w:r>
        <w:rPr>
          <w:rFonts w:ascii="Times New Roman" w:hAnsi="Times New Roman"/>
          <w:sz w:val="28"/>
        </w:rPr>
        <w:t>Es ist erwiesen, dass durch die Aufrechterhaltung solcher Beziehungen die verurteilte Person bessere Chancen hat, nicht erneut straffällig zu werden und sich wieder in die Gesellschaft zu integrieren.</w:t>
      </w:r>
    </w:p>
    <w:p w14:paraId="3A8F44E3" w14:textId="77777777" w:rsidR="006856B3" w:rsidRPr="003E5188" w:rsidRDefault="00246D57" w:rsidP="00A257D5">
      <w:pPr>
        <w:pStyle w:val="Listenabsatz"/>
        <w:numPr>
          <w:ilvl w:val="0"/>
          <w:numId w:val="9"/>
        </w:numPr>
        <w:jc w:val="both"/>
        <w:rPr>
          <w:rFonts w:ascii="Times New Roman" w:hAnsi="Times New Roman"/>
          <w:b/>
          <w:bCs/>
          <w:i/>
          <w:iCs/>
          <w:sz w:val="28"/>
          <w:szCs w:val="28"/>
        </w:rPr>
      </w:pPr>
      <w:r>
        <w:rPr>
          <w:rFonts w:ascii="Times New Roman" w:hAnsi="Times New Roman"/>
          <w:b/>
          <w:i/>
          <w:sz w:val="28"/>
        </w:rPr>
        <w:lastRenderedPageBreak/>
        <w:t>Die verurteilte Person ist im Vollstreckungsmitgliedstaat viel einfacher zu überwachen</w:t>
      </w:r>
    </w:p>
    <w:p w14:paraId="2552989A" w14:textId="77777777" w:rsidR="006856B3" w:rsidRPr="003E5188" w:rsidRDefault="00246D57" w:rsidP="00A257D5">
      <w:pPr>
        <w:jc w:val="both"/>
        <w:rPr>
          <w:rFonts w:ascii="Times New Roman" w:hAnsi="Times New Roman"/>
          <w:sz w:val="28"/>
          <w:szCs w:val="28"/>
        </w:rPr>
      </w:pPr>
      <w:r>
        <w:rPr>
          <w:rFonts w:ascii="Times New Roman" w:hAnsi="Times New Roman"/>
          <w:sz w:val="28"/>
        </w:rPr>
        <w:t>Durch die Übertragung der Überwachung an den Vollstreckungsmitgliedstaat wird die Überwachung der Einhaltung von Bewährungsmaßnahmen und alternativen Sanktionen verbessert. Die verurteilte Person hat dort ihren rechtmäßigen und gewöhnlichen Aufenthalt, so dass sie zur Kooperation bereit sein wird, um die Überwachungszeit zu beenden.</w:t>
      </w:r>
    </w:p>
    <w:p w14:paraId="6CB50124" w14:textId="77777777" w:rsidR="00845209" w:rsidRPr="003E5188" w:rsidRDefault="00845209" w:rsidP="00A257D5">
      <w:pPr>
        <w:jc w:val="both"/>
        <w:rPr>
          <w:rFonts w:ascii="Times New Roman" w:hAnsi="Times New Roman"/>
          <w:sz w:val="28"/>
          <w:szCs w:val="28"/>
          <w:lang w:val="en-GB"/>
        </w:rPr>
      </w:pPr>
    </w:p>
    <w:p w14:paraId="76F9C0EE" w14:textId="77777777" w:rsidR="006856B3" w:rsidRPr="003E5188" w:rsidRDefault="00246D57" w:rsidP="00A257D5">
      <w:pPr>
        <w:pStyle w:val="Listenabsatz"/>
        <w:numPr>
          <w:ilvl w:val="0"/>
          <w:numId w:val="9"/>
        </w:numPr>
        <w:jc w:val="both"/>
        <w:rPr>
          <w:rFonts w:ascii="Times New Roman" w:hAnsi="Times New Roman"/>
          <w:b/>
          <w:bCs/>
          <w:i/>
          <w:iCs/>
          <w:sz w:val="28"/>
          <w:szCs w:val="28"/>
        </w:rPr>
      </w:pPr>
      <w:r>
        <w:rPr>
          <w:rFonts w:ascii="Times New Roman" w:hAnsi="Times New Roman"/>
          <w:b/>
          <w:i/>
          <w:sz w:val="28"/>
        </w:rPr>
        <w:t>Verbesserung des Opferschutzes und des Schutzes der Allgemeinheit</w:t>
      </w:r>
    </w:p>
    <w:p w14:paraId="666B583B"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Eines der Ziele des RBR ist die Verbesserung des Opferschutzes und des Schutzes der Allgemeinheit. In den meisten Fällen bedeutet die Übertragung der Überwachung an einen anderen MS, dass die verurteilte Person weit von ihrem Opfer entfernt sein wird, das im Ausstellungsmitgliedstaat verbleibt. </w:t>
      </w:r>
    </w:p>
    <w:p w14:paraId="3F24AD52" w14:textId="44E051E4" w:rsidR="006856B3" w:rsidRPr="003E5188" w:rsidRDefault="00246D57" w:rsidP="00A257D5">
      <w:pPr>
        <w:jc w:val="both"/>
        <w:rPr>
          <w:rFonts w:ascii="Times New Roman" w:hAnsi="Times New Roman"/>
          <w:sz w:val="28"/>
          <w:szCs w:val="28"/>
        </w:rPr>
      </w:pPr>
      <w:r>
        <w:rPr>
          <w:rFonts w:ascii="Times New Roman" w:hAnsi="Times New Roman"/>
          <w:sz w:val="28"/>
        </w:rPr>
        <w:t>Es kann zu Problemen kommen, wenn das Opfer im Vollstreckungs</w:t>
      </w:r>
      <w:r w:rsidR="007A6D31">
        <w:rPr>
          <w:rFonts w:ascii="Times New Roman" w:hAnsi="Times New Roman"/>
          <w:sz w:val="28"/>
        </w:rPr>
        <w:softHyphen/>
      </w:r>
      <w:r>
        <w:rPr>
          <w:rFonts w:ascii="Times New Roman" w:hAnsi="Times New Roman"/>
          <w:sz w:val="28"/>
        </w:rPr>
        <w:t>mitgliedstaat lebt, aber selbst in diesen Fällen sind bei schweren Straftaten oder geschlechtsspezifischen Straftaten im Ersturteil Auflagen, sich den Opfern nicht zu nähern, vorgesehen und können von den zuständigen Behörden im Vollstreckungsmitgliedstaat viel leichter überprüft werden.</w:t>
      </w:r>
    </w:p>
    <w:p w14:paraId="7D19ED1D" w14:textId="77777777" w:rsidR="006856B3" w:rsidRPr="003E5188" w:rsidRDefault="00246D57" w:rsidP="00A257D5">
      <w:pPr>
        <w:jc w:val="both"/>
        <w:rPr>
          <w:rFonts w:ascii="Times New Roman" w:hAnsi="Times New Roman"/>
          <w:sz w:val="28"/>
          <w:szCs w:val="28"/>
        </w:rPr>
      </w:pPr>
      <w:r>
        <w:rPr>
          <w:rFonts w:ascii="Times New Roman" w:hAnsi="Times New Roman"/>
          <w:sz w:val="28"/>
        </w:rPr>
        <w:t>Auch der Schutz der Allgemeinheit wird verbessert, da die verurteilte Person genügend Bindungen zum Vollstreckungsmitgliedstaat hat, die ihr bei einer besseren Resozialisierung und Wiedereingliederung in die Gesellschaft helfen.</w:t>
      </w:r>
    </w:p>
    <w:p w14:paraId="66AA78EE" w14:textId="77777777" w:rsidR="006856B3" w:rsidRPr="003E5188" w:rsidRDefault="00246D57" w:rsidP="00A257D5">
      <w:pPr>
        <w:pStyle w:val="Listenabsatz"/>
        <w:numPr>
          <w:ilvl w:val="0"/>
          <w:numId w:val="9"/>
        </w:numPr>
        <w:jc w:val="both"/>
        <w:rPr>
          <w:rFonts w:ascii="Times New Roman" w:hAnsi="Times New Roman"/>
          <w:b/>
          <w:bCs/>
          <w:i/>
          <w:iCs/>
          <w:sz w:val="28"/>
          <w:szCs w:val="28"/>
        </w:rPr>
      </w:pPr>
      <w:r>
        <w:rPr>
          <w:rFonts w:ascii="Times New Roman" w:hAnsi="Times New Roman"/>
          <w:b/>
          <w:i/>
          <w:sz w:val="28"/>
        </w:rPr>
        <w:t>Bessere Aussichten dafür, dass die verurteilte Person finanzielle Wiedergutmachung für den durch die Straftat entstandenen Schaden leisten wird</w:t>
      </w:r>
    </w:p>
    <w:p w14:paraId="34EE24FE" w14:textId="77777777" w:rsidR="006856B3" w:rsidRPr="003E5188" w:rsidRDefault="00246D57" w:rsidP="00A257D5">
      <w:pPr>
        <w:jc w:val="both"/>
        <w:rPr>
          <w:rFonts w:ascii="Times New Roman" w:hAnsi="Times New Roman"/>
          <w:sz w:val="28"/>
          <w:szCs w:val="28"/>
        </w:rPr>
      </w:pPr>
      <w:r>
        <w:rPr>
          <w:rFonts w:ascii="Times New Roman" w:hAnsi="Times New Roman"/>
          <w:sz w:val="28"/>
        </w:rPr>
        <w:t>Wenn die verurteilte Person im Vollstreckungsmitgliedstaat einen Arbeitsplatz hat oder voraussichtlich einen haben wird, dann hat sie die Mittel, den durch die Straftat verursachten Schaden finanziell wieder gutzumachen, wozu sie laut dem Urteil verpflichtet ist (z. B. Entschädigung des Opfers oder Zahlung eines Betrags an eine Wohltätigkeitsorganisation oder an andere im Urteil genannte Einrichtungen).</w:t>
      </w:r>
    </w:p>
    <w:p w14:paraId="2F0DF8A5" w14:textId="77777777" w:rsidR="006856B3" w:rsidRPr="003E5188" w:rsidRDefault="00246D57" w:rsidP="00A257D5">
      <w:pPr>
        <w:jc w:val="both"/>
        <w:rPr>
          <w:rFonts w:ascii="Times New Roman" w:hAnsi="Times New Roman"/>
        </w:rPr>
      </w:pPr>
      <w:r>
        <w:rPr>
          <w:rFonts w:ascii="Times New Roman" w:hAnsi="Times New Roman"/>
          <w:sz w:val="28"/>
        </w:rPr>
        <w:t xml:space="preserve">Außerdem haben die zuständigen Behörden des Vollstreckungsmitgliedstaats Zugang zu den Mitteln der verurteilten Person und können diese überprüfen und sicherstellen, dass die verurteilte Person den durch die Straftat verursachten Schaden gemäß dem Urteil finanziell wieder gutmacht (z. B. </w:t>
      </w:r>
      <w:r>
        <w:rPr>
          <w:rFonts w:ascii="Times New Roman" w:hAnsi="Times New Roman"/>
          <w:i/>
          <w:sz w:val="28"/>
        </w:rPr>
        <w:t>Pfändung des Betrags, der zur Wiedergutmachung des durch die Straftat verursachten Schadens erforderlich ist, oder Einbehaltung einer monatlichen Gebühr zur Deckung des entstandenen Schadens</w:t>
      </w:r>
      <w:r>
        <w:rPr>
          <w:rFonts w:ascii="Times New Roman" w:hAnsi="Times New Roman"/>
          <w:sz w:val="28"/>
        </w:rPr>
        <w:t>).</w:t>
      </w:r>
    </w:p>
    <w:p w14:paraId="460899A6" w14:textId="77777777" w:rsidR="006856B3" w:rsidRPr="003E5188" w:rsidRDefault="00246D57" w:rsidP="00A257D5">
      <w:pPr>
        <w:pStyle w:val="Listenabsatz"/>
        <w:numPr>
          <w:ilvl w:val="0"/>
          <w:numId w:val="9"/>
        </w:numPr>
        <w:jc w:val="both"/>
        <w:rPr>
          <w:rFonts w:ascii="Times New Roman" w:hAnsi="Times New Roman"/>
          <w:b/>
          <w:bCs/>
          <w:i/>
          <w:iCs/>
          <w:sz w:val="28"/>
          <w:szCs w:val="28"/>
        </w:rPr>
      </w:pPr>
      <w:r>
        <w:rPr>
          <w:rFonts w:ascii="Times New Roman" w:hAnsi="Times New Roman"/>
          <w:b/>
          <w:i/>
          <w:sz w:val="28"/>
        </w:rPr>
        <w:lastRenderedPageBreak/>
        <w:t>Stärkung des gegenseitigen Vertrauens und der Zusammenarbeit zwischen den MS für zukünftige Fälle</w:t>
      </w:r>
    </w:p>
    <w:p w14:paraId="52FB48A0" w14:textId="77777777" w:rsidR="006856B3" w:rsidRPr="003E5188" w:rsidRDefault="00246D57" w:rsidP="00A257D5">
      <w:pPr>
        <w:jc w:val="both"/>
        <w:rPr>
          <w:rFonts w:ascii="Times New Roman" w:hAnsi="Times New Roman"/>
        </w:rPr>
      </w:pPr>
      <w:r>
        <w:rPr>
          <w:rFonts w:ascii="Times New Roman" w:hAnsi="Times New Roman"/>
          <w:sz w:val="28"/>
        </w:rPr>
        <w:t xml:space="preserve">Die Zusammenarbeit zwischen den MS in Fällen, die unter den RBR fallen, wird das gegenseitige Vertrauen für zukünftige Fälle stärken. Erfolgreiche Fälle werden noch mehr MS zur Zusammenarbeit ermutigen, um die in Artikel 2 des RBR vorgesehenen Ziele besser zu erreichen, nämlich </w:t>
      </w:r>
      <w:r>
        <w:rPr>
          <w:rFonts w:ascii="Times New Roman" w:hAnsi="Times New Roman"/>
          <w:i/>
          <w:sz w:val="28"/>
        </w:rPr>
        <w:t>die</w:t>
      </w:r>
      <w:r>
        <w:rPr>
          <w:rFonts w:ascii="Times New Roman" w:hAnsi="Times New Roman"/>
          <w:sz w:val="28"/>
        </w:rPr>
        <w:t xml:space="preserve"> </w:t>
      </w:r>
      <w:r>
        <w:rPr>
          <w:rFonts w:ascii="Times New Roman" w:hAnsi="Times New Roman"/>
          <w:i/>
          <w:sz w:val="28"/>
        </w:rPr>
        <w:t>Erleichterung der Resozialisierung einer verurteilten Person, die Verbesserung des Opferschutzes und des Schutzes der Allgemeinheit sowie die Erleichterung der Anwendung angemessener Bewährungsmaßnahmen und alternativer Sanktionen</w:t>
      </w:r>
      <w:r>
        <w:rPr>
          <w:rFonts w:ascii="Times New Roman" w:hAnsi="Times New Roman"/>
          <w:sz w:val="28"/>
        </w:rPr>
        <w:t xml:space="preserve"> auf Straftäter, die nicht im Urteilsstaat leben.</w:t>
      </w:r>
    </w:p>
    <w:p w14:paraId="0D1DFB5E" w14:textId="77777777" w:rsidR="006856B3" w:rsidRPr="003E5188" w:rsidRDefault="00322CA4" w:rsidP="00857655">
      <w:pPr>
        <w:suppressAutoHyphens w:val="0"/>
        <w:autoSpaceDN/>
        <w:textAlignment w:val="auto"/>
        <w:rPr>
          <w:rFonts w:ascii="Times New Roman" w:hAnsi="Times New Roman"/>
          <w:i/>
          <w:iCs/>
          <w:sz w:val="28"/>
          <w:szCs w:val="28"/>
        </w:rPr>
      </w:pPr>
      <w:r>
        <w:br w:type="page"/>
      </w:r>
    </w:p>
    <w:p w14:paraId="52410570" w14:textId="77777777" w:rsidR="00322CA4" w:rsidRPr="003E5188" w:rsidRDefault="00322CA4" w:rsidP="00A257D5">
      <w:pPr>
        <w:jc w:val="both"/>
        <w:rPr>
          <w:rFonts w:ascii="Times New Roman" w:hAnsi="Times New Roman"/>
          <w:b/>
          <w:iCs/>
          <w:color w:val="2F5496" w:themeColor="accent1" w:themeShade="BF"/>
          <w:sz w:val="28"/>
          <w:szCs w:val="28"/>
        </w:rPr>
      </w:pPr>
      <w:r>
        <w:rPr>
          <w:rFonts w:ascii="Times New Roman" w:hAnsi="Times New Roman"/>
          <w:b/>
          <w:color w:val="2F5496" w:themeColor="accent1" w:themeShade="BF"/>
          <w:sz w:val="28"/>
        </w:rPr>
        <w:lastRenderedPageBreak/>
        <w:t>A. II. Aufgaben:</w:t>
      </w:r>
    </w:p>
    <w:p w14:paraId="237A6DAF" w14:textId="77777777" w:rsidR="006856B3" w:rsidRPr="003E5188" w:rsidRDefault="00246D57" w:rsidP="00A257D5">
      <w:pPr>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t>Finden Sie die folgenden zuständigen Vollstreckungsbehörden und die Sprachen, die in der Bescheinigung zu verwenden sind (allgemeine Strafsachen) – siehe auch Anhang 2:</w:t>
      </w:r>
    </w:p>
    <w:p w14:paraId="2ACE9DCE" w14:textId="77777777" w:rsidR="006856B3" w:rsidRPr="003E5188" w:rsidRDefault="006856B3" w:rsidP="00A257D5">
      <w:pPr>
        <w:jc w:val="both"/>
        <w:rPr>
          <w:rFonts w:ascii="Times New Roman" w:hAnsi="Times New Roman"/>
          <w:b/>
          <w:bCs/>
          <w:sz w:val="28"/>
          <w:szCs w:val="28"/>
          <w:lang w:val="en-GB"/>
        </w:rPr>
      </w:pPr>
    </w:p>
    <w:p w14:paraId="5388A966" w14:textId="77777777" w:rsidR="006856B3" w:rsidRPr="003E5188" w:rsidRDefault="00246D57" w:rsidP="00A257D5">
      <w:pPr>
        <w:jc w:val="both"/>
        <w:rPr>
          <w:rFonts w:ascii="Times New Roman" w:hAnsi="Times New Roman"/>
        </w:rPr>
      </w:pPr>
      <w:r>
        <w:rPr>
          <w:rFonts w:ascii="Times New Roman" w:hAnsi="Times New Roman"/>
          <w:sz w:val="28"/>
        </w:rPr>
        <w:t>Um die zuständigen Behörden zu finden, nutzen wir den</w:t>
      </w:r>
      <w:r>
        <w:t xml:space="preserve"> </w:t>
      </w:r>
      <w:r>
        <w:rPr>
          <w:b/>
          <w:i/>
        </w:rPr>
        <w:t>Atlas</w:t>
      </w:r>
      <w:r>
        <w:rPr>
          <w:rFonts w:ascii="Times New Roman" w:hAnsi="Times New Roman"/>
          <w:sz w:val="28"/>
        </w:rPr>
        <w:t xml:space="preserve">, der auf der Website des EJN – </w:t>
      </w:r>
      <w:hyperlink r:id="rId15" w:history="1">
        <w:r>
          <w:rPr>
            <w:rFonts w:ascii="Times New Roman" w:hAnsi="Times New Roman"/>
            <w:color w:val="0563C1"/>
            <w:sz w:val="28"/>
            <w:u w:val="single"/>
          </w:rPr>
          <w:t>www.ejn-crimjust.europa.eu</w:t>
        </w:r>
      </w:hyperlink>
      <w:r>
        <w:rPr>
          <w:rFonts w:ascii="Times New Roman" w:hAnsi="Times New Roman"/>
          <w:sz w:val="28"/>
        </w:rPr>
        <w:t xml:space="preserve"> – verfügbar ist, und wählen die Vollstreckungsmitgliedstaaten als vollstreckende Länder sowie </w:t>
      </w:r>
      <w:r>
        <w:rPr>
          <w:rFonts w:ascii="Times New Roman" w:hAnsi="Times New Roman"/>
          <w:i/>
          <w:sz w:val="28"/>
        </w:rPr>
        <w:t>904. Bewährungsmaßnahmen.</w:t>
      </w:r>
    </w:p>
    <w:p w14:paraId="3CD7856C" w14:textId="77777777" w:rsidR="006856B3" w:rsidRPr="003E5188" w:rsidRDefault="00246D57" w:rsidP="00A257D5">
      <w:pPr>
        <w:jc w:val="both"/>
        <w:rPr>
          <w:rFonts w:ascii="Times New Roman" w:hAnsi="Times New Roman"/>
          <w:sz w:val="28"/>
          <w:szCs w:val="28"/>
        </w:rPr>
      </w:pPr>
      <w:r>
        <w:rPr>
          <w:rFonts w:ascii="Times New Roman" w:hAnsi="Times New Roman"/>
          <w:sz w:val="28"/>
        </w:rPr>
        <w:t>Bezüglich der Sprachen für die Bescheinigung nutzen wir für jeden der MS den</w:t>
      </w:r>
      <w:r>
        <w:t xml:space="preserve"> Abschnitt </w:t>
      </w:r>
      <w:hyperlink r:id="rId16" w:history="1">
        <w:r>
          <w:rPr>
            <w:rStyle w:val="Hyperlink"/>
            <w:rFonts w:ascii="Times New Roman" w:hAnsi="Times New Roman"/>
            <w:sz w:val="28"/>
          </w:rPr>
          <w:t>Überwachungsmaßnahmen – Mitteilungen</w:t>
        </w:r>
      </w:hyperlink>
      <w:r>
        <w:rPr>
          <w:rFonts w:ascii="Times New Roman" w:hAnsi="Times New Roman"/>
          <w:sz w:val="28"/>
        </w:rPr>
        <w:t>.</w:t>
      </w:r>
    </w:p>
    <w:p w14:paraId="33265222" w14:textId="77777777" w:rsidR="006856B3" w:rsidRPr="003E5188" w:rsidRDefault="00246D57" w:rsidP="00A257D5">
      <w:pPr>
        <w:jc w:val="both"/>
        <w:rPr>
          <w:rFonts w:ascii="Times New Roman" w:hAnsi="Times New Roman"/>
          <w:sz w:val="28"/>
          <w:szCs w:val="28"/>
        </w:rPr>
      </w:pPr>
      <w:r>
        <w:rPr>
          <w:rFonts w:ascii="Times New Roman" w:hAnsi="Times New Roman"/>
          <w:sz w:val="28"/>
        </w:rPr>
        <w:t>Ist keine Mitteilung gemäß Artikel 21 RBR erfolgt, wird/werden die Amtssprache(n) des MS verwendet.</w:t>
      </w:r>
    </w:p>
    <w:p w14:paraId="6029AA48" w14:textId="77777777" w:rsidR="006856B3" w:rsidRPr="003E5188" w:rsidRDefault="00246D57" w:rsidP="00A257D5">
      <w:pPr>
        <w:jc w:val="both"/>
        <w:rPr>
          <w:rFonts w:ascii="Times New Roman" w:hAnsi="Times New Roman"/>
          <w:sz w:val="28"/>
          <w:szCs w:val="28"/>
        </w:rPr>
      </w:pPr>
      <w:r>
        <w:rPr>
          <w:rFonts w:ascii="Times New Roman" w:hAnsi="Times New Roman"/>
          <w:sz w:val="28"/>
        </w:rPr>
        <w:t>Die Ergebnisse sollten wie folgt aussehen:</w:t>
      </w:r>
    </w:p>
    <w:p w14:paraId="39767462" w14:textId="77777777" w:rsidR="006856B3" w:rsidRPr="003E5188" w:rsidRDefault="006856B3" w:rsidP="00A257D5">
      <w:pPr>
        <w:jc w:val="both"/>
        <w:rPr>
          <w:rFonts w:ascii="Times New Roman" w:hAnsi="Times New Roman"/>
          <w:b/>
          <w:bCs/>
          <w:sz w:val="28"/>
          <w:szCs w:val="28"/>
          <w:lang w:val="en-GB"/>
        </w:rPr>
      </w:pPr>
    </w:p>
    <w:p w14:paraId="105BA07B" w14:textId="77777777" w:rsidR="00CF3C8E" w:rsidRPr="00E00D02" w:rsidRDefault="001F42CF" w:rsidP="00A257D5">
      <w:pPr>
        <w:jc w:val="both"/>
        <w:rPr>
          <w:rFonts w:ascii="Times New Roman" w:hAnsi="Times New Roman"/>
          <w:i/>
          <w:sz w:val="28"/>
          <w:szCs w:val="28"/>
        </w:rPr>
      </w:pPr>
      <w:r>
        <w:rPr>
          <w:rFonts w:ascii="Times New Roman" w:hAnsi="Times New Roman"/>
          <w:i/>
          <w:sz w:val="28"/>
        </w:rPr>
        <w:t>1. Eine deutsche zuständige Behörde möchte die Überwachung der verurteilten Person A.N. übertragen, die ihren rechtmäßigen und gewöhnlichen Aufenthalt in Brüssel, Belgien, hat.</w:t>
      </w:r>
    </w:p>
    <w:tbl>
      <w:tblPr>
        <w:tblW w:w="9090" w:type="dxa"/>
        <w:tblInd w:w="-5" w:type="dxa"/>
        <w:tblCellMar>
          <w:left w:w="10" w:type="dxa"/>
          <w:right w:w="10" w:type="dxa"/>
        </w:tblCellMar>
        <w:tblLook w:val="0000" w:firstRow="0" w:lastRow="0" w:firstColumn="0" w:lastColumn="0" w:noHBand="0" w:noVBand="0"/>
      </w:tblPr>
      <w:tblGrid>
        <w:gridCol w:w="9090"/>
      </w:tblGrid>
      <w:tr w:rsidR="006856B3" w:rsidRPr="003E5188" w14:paraId="2C539BFF" w14:textId="77777777" w:rsidTr="00B30DB0">
        <w:trPr>
          <w:trHeight w:val="80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26285019" w14:textId="77777777"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Name:</w:t>
            </w:r>
            <w:r>
              <w:rPr>
                <w:rFonts w:ascii="Times New Roman" w:hAnsi="Times New Roman"/>
                <w:b/>
                <w:sz w:val="28"/>
              </w:rPr>
              <w:t xml:space="preserve"> </w:t>
            </w:r>
            <w:r>
              <w:rPr>
                <w:rFonts w:ascii="Times New Roman" w:hAnsi="Times New Roman"/>
                <w:b/>
                <w:sz w:val="28"/>
              </w:rPr>
              <w:tab/>
            </w:r>
            <w:r>
              <w:rPr>
                <w:rFonts w:ascii="Times New Roman" w:hAnsi="Times New Roman"/>
                <w:sz w:val="28"/>
              </w:rPr>
              <w:tab/>
              <w:t xml:space="preserve">Procureur du Roi de Bruxelles – Bureau CIS / Procureur des Konings te Brussel – Bureau CIS </w:t>
            </w:r>
          </w:p>
          <w:p w14:paraId="73959882" w14:textId="77777777"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Adresse:</w:t>
            </w:r>
            <w:r>
              <w:rPr>
                <w:rFonts w:ascii="Times New Roman" w:hAnsi="Times New Roman"/>
                <w:sz w:val="28"/>
              </w:rPr>
              <w:t xml:space="preserve"> </w:t>
            </w:r>
            <w:r>
              <w:rPr>
                <w:rFonts w:ascii="Times New Roman" w:hAnsi="Times New Roman"/>
                <w:sz w:val="28"/>
              </w:rPr>
              <w:tab/>
            </w:r>
            <w:r>
              <w:rPr>
                <w:rFonts w:ascii="Times New Roman" w:hAnsi="Times New Roman"/>
                <w:sz w:val="28"/>
              </w:rPr>
              <w:tab/>
              <w:t xml:space="preserve">Portalis, Rue des Quatre bras 4 / Portalis, Vierarmenstraat 4 </w:t>
            </w:r>
          </w:p>
          <w:p w14:paraId="4D08B3BA" w14:textId="77777777" w:rsidR="006856B3" w:rsidRPr="003E5188" w:rsidRDefault="00246D57" w:rsidP="00326B6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 xml:space="preserve">Abteilung (Kammer): </w:t>
            </w:r>
          </w:p>
          <w:p w14:paraId="61E3D430" w14:textId="77777777"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 xml:space="preserve">Ort: </w:t>
            </w:r>
            <w:r>
              <w:rPr>
                <w:rFonts w:ascii="Times New Roman" w:hAnsi="Times New Roman"/>
                <w:b/>
                <w:color w:val="2F5496" w:themeColor="accent1" w:themeShade="BF"/>
                <w:sz w:val="28"/>
              </w:rPr>
              <w:tab/>
            </w:r>
            <w:r>
              <w:rPr>
                <w:rFonts w:ascii="Times New Roman" w:hAnsi="Times New Roman"/>
                <w:sz w:val="28"/>
              </w:rPr>
              <w:tab/>
            </w:r>
            <w:r>
              <w:rPr>
                <w:rFonts w:ascii="Times New Roman" w:hAnsi="Times New Roman"/>
                <w:sz w:val="28"/>
              </w:rPr>
              <w:tab/>
              <w:t xml:space="preserve">Bruxelles / Brussel </w:t>
            </w:r>
          </w:p>
          <w:p w14:paraId="7C502BAC" w14:textId="77777777"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 xml:space="preserve">Postleitzahl: </w:t>
            </w:r>
            <w:r>
              <w:rPr>
                <w:rFonts w:ascii="Times New Roman" w:hAnsi="Times New Roman"/>
                <w:b/>
                <w:sz w:val="28"/>
              </w:rPr>
              <w:tab/>
            </w:r>
            <w:r>
              <w:rPr>
                <w:rFonts w:ascii="Times New Roman" w:hAnsi="Times New Roman"/>
                <w:sz w:val="28"/>
              </w:rPr>
              <w:t xml:space="preserve">1000 </w:t>
            </w:r>
          </w:p>
          <w:p w14:paraId="2AA85774" w14:textId="77777777"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Telefonnummer:</w:t>
            </w:r>
            <w:r>
              <w:rPr>
                <w:rFonts w:ascii="Times New Roman" w:hAnsi="Times New Roman"/>
                <w:color w:val="2F5496" w:themeColor="accent1" w:themeShade="BF"/>
                <w:sz w:val="28"/>
              </w:rPr>
              <w:t xml:space="preserve"> </w:t>
            </w:r>
            <w:r>
              <w:rPr>
                <w:rFonts w:ascii="Times New Roman" w:hAnsi="Times New Roman"/>
                <w:sz w:val="28"/>
              </w:rPr>
              <w:tab/>
              <w:t xml:space="preserve">+32 (0)2 508 70 80 </w:t>
            </w:r>
          </w:p>
          <w:p w14:paraId="172FBB42" w14:textId="77777777" w:rsidR="006856B3" w:rsidRPr="003E5188" w:rsidRDefault="00246D57" w:rsidP="00326B6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 xml:space="preserve">Mobiltelefonnummer: </w:t>
            </w:r>
          </w:p>
          <w:p w14:paraId="1D2F9CB5" w14:textId="77777777"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Faxnummer:</w:t>
            </w:r>
            <w:r>
              <w:rPr>
                <w:rFonts w:ascii="Times New Roman" w:hAnsi="Times New Roman"/>
                <w:color w:val="2F5496" w:themeColor="accent1" w:themeShade="BF"/>
                <w:sz w:val="28"/>
              </w:rPr>
              <w:t xml:space="preserve"> </w:t>
            </w:r>
            <w:r>
              <w:rPr>
                <w:rFonts w:ascii="Times New Roman" w:hAnsi="Times New Roman"/>
                <w:sz w:val="28"/>
              </w:rPr>
              <w:tab/>
              <w:t xml:space="preserve">+32 (0)2 519 82 96 </w:t>
            </w:r>
          </w:p>
          <w:p w14:paraId="469B9B67" w14:textId="77777777" w:rsidR="006856B3" w:rsidRPr="003E5188" w:rsidRDefault="00246D57" w:rsidP="00326B60">
            <w:pPr>
              <w:spacing w:after="0"/>
              <w:jc w:val="both"/>
              <w:rPr>
                <w:rFonts w:ascii="Times New Roman" w:hAnsi="Times New Roman"/>
              </w:rPr>
            </w:pPr>
            <w:r>
              <w:rPr>
                <w:rFonts w:ascii="Times New Roman" w:hAnsi="Times New Roman"/>
                <w:b/>
                <w:color w:val="2F5496" w:themeColor="accent1" w:themeShade="BF"/>
                <w:sz w:val="28"/>
              </w:rPr>
              <w:t>E-Mail-Adresse:</w:t>
            </w:r>
            <w:r>
              <w:rPr>
                <w:rFonts w:ascii="Times New Roman" w:hAnsi="Times New Roman"/>
                <w:color w:val="2F5496" w:themeColor="accent1" w:themeShade="BF"/>
                <w:sz w:val="28"/>
              </w:rPr>
              <w:t xml:space="preserve"> </w:t>
            </w:r>
            <w:r>
              <w:rPr>
                <w:rFonts w:ascii="Times New Roman" w:hAnsi="Times New Roman"/>
                <w:sz w:val="28"/>
              </w:rPr>
              <w:tab/>
            </w:r>
            <w:hyperlink r:id="rId17" w:history="1">
              <w:r>
                <w:rPr>
                  <w:rStyle w:val="Hyperlink"/>
                  <w:rFonts w:ascii="Times New Roman" w:hAnsi="Times New Roman"/>
                  <w:sz w:val="28"/>
                </w:rPr>
                <w:t>cis.bxl@just.fgov.be</w:t>
              </w:r>
            </w:hyperlink>
          </w:p>
          <w:p w14:paraId="5AA59B7A" w14:textId="77777777" w:rsidR="006856B3" w:rsidRPr="003E5188" w:rsidRDefault="006856B3" w:rsidP="00A257D5">
            <w:pPr>
              <w:jc w:val="both"/>
              <w:rPr>
                <w:rFonts w:ascii="Times New Roman" w:hAnsi="Times New Roman"/>
                <w:sz w:val="28"/>
                <w:szCs w:val="28"/>
                <w:lang w:val="en-GB"/>
              </w:rPr>
            </w:pPr>
          </w:p>
          <w:p w14:paraId="1E4A8817"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Gemäß Artikel 21 RBR sind die von den belgischen Behörden akzeptierten Sprachen: </w:t>
            </w:r>
            <w:r>
              <w:rPr>
                <w:rFonts w:ascii="Times New Roman" w:hAnsi="Times New Roman"/>
                <w:b/>
                <w:sz w:val="28"/>
              </w:rPr>
              <w:t>Niederländisch, Französisch, Deutsch und Englisch</w:t>
            </w:r>
            <w:r>
              <w:rPr>
                <w:rFonts w:ascii="Times New Roman" w:hAnsi="Times New Roman"/>
                <w:sz w:val="28"/>
              </w:rPr>
              <w:t>.</w:t>
            </w:r>
          </w:p>
        </w:tc>
      </w:tr>
    </w:tbl>
    <w:p w14:paraId="1E943D9C" w14:textId="77777777" w:rsidR="00070BEA" w:rsidRPr="003E5188" w:rsidRDefault="00070BEA" w:rsidP="00A257D5">
      <w:pPr>
        <w:suppressAutoHyphens w:val="0"/>
        <w:autoSpaceDN/>
        <w:textAlignment w:val="auto"/>
        <w:rPr>
          <w:rFonts w:ascii="Times New Roman" w:hAnsi="Times New Roman"/>
          <w:sz w:val="28"/>
          <w:szCs w:val="28"/>
          <w:lang w:val="en-GB"/>
        </w:rPr>
      </w:pPr>
    </w:p>
    <w:p w14:paraId="380C5773" w14:textId="77777777" w:rsidR="00E00D02" w:rsidRDefault="00E00D02">
      <w:pPr>
        <w:suppressAutoHyphens w:val="0"/>
        <w:autoSpaceDN/>
        <w:spacing w:after="0"/>
        <w:textAlignment w:val="auto"/>
        <w:rPr>
          <w:rFonts w:ascii="Times New Roman" w:hAnsi="Times New Roman"/>
          <w:i/>
          <w:sz w:val="28"/>
          <w:szCs w:val="28"/>
        </w:rPr>
      </w:pPr>
      <w:r>
        <w:br w:type="page"/>
      </w:r>
    </w:p>
    <w:p w14:paraId="4C839F15" w14:textId="77777777" w:rsidR="00070BEA" w:rsidRDefault="00070BEA" w:rsidP="00A257D5">
      <w:pPr>
        <w:jc w:val="both"/>
        <w:rPr>
          <w:rFonts w:ascii="Times New Roman" w:hAnsi="Times New Roman"/>
          <w:i/>
          <w:sz w:val="28"/>
          <w:szCs w:val="28"/>
        </w:rPr>
      </w:pPr>
      <w:r>
        <w:rPr>
          <w:rFonts w:ascii="Times New Roman" w:hAnsi="Times New Roman"/>
          <w:i/>
          <w:sz w:val="28"/>
        </w:rPr>
        <w:lastRenderedPageBreak/>
        <w:t>2.  Eine französische zuständige Behörde möchte die Überwachung der verurteilten Person B.C. übertragen, die ihren rechtmäßigen und gewöhnlichen Aufenthalt in Vigo, Spanien, hat.</w:t>
      </w:r>
    </w:p>
    <w:p w14:paraId="707ACD54" w14:textId="77777777" w:rsidR="00E00D02" w:rsidRPr="003E5188" w:rsidRDefault="00E00D02" w:rsidP="00A257D5">
      <w:pPr>
        <w:jc w:val="both"/>
        <w:rPr>
          <w:rFonts w:ascii="Times New Roman" w:hAnsi="Times New Roman"/>
          <w:i/>
          <w:sz w:val="28"/>
          <w:szCs w:val="28"/>
          <w:lang w:val="en-GB"/>
        </w:rPr>
      </w:pPr>
    </w:p>
    <w:tbl>
      <w:tblPr>
        <w:tblW w:w="9090" w:type="dxa"/>
        <w:tblInd w:w="-5" w:type="dxa"/>
        <w:tblCellMar>
          <w:left w:w="10" w:type="dxa"/>
          <w:right w:w="10" w:type="dxa"/>
        </w:tblCellMar>
        <w:tblLook w:val="0000" w:firstRow="0" w:lastRow="0" w:firstColumn="0" w:lastColumn="0" w:noHBand="0" w:noVBand="0"/>
      </w:tblPr>
      <w:tblGrid>
        <w:gridCol w:w="9090"/>
      </w:tblGrid>
      <w:tr w:rsidR="006856B3" w:rsidRPr="003E5188" w14:paraId="4767EE41" w14:textId="77777777" w:rsidTr="00326B60">
        <w:trPr>
          <w:trHeight w:val="3383"/>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32241484" w14:textId="77777777"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Name:</w:t>
            </w:r>
            <w:r>
              <w:rPr>
                <w:rFonts w:ascii="Times New Roman" w:hAnsi="Times New Roman"/>
                <w:color w:val="2F5496" w:themeColor="accent1" w:themeShade="BF"/>
                <w:sz w:val="28"/>
              </w:rPr>
              <w:t xml:space="preserve"> </w:t>
            </w:r>
            <w:r>
              <w:rPr>
                <w:rFonts w:ascii="Times New Roman" w:hAnsi="Times New Roman"/>
                <w:color w:val="2F5496" w:themeColor="accent1" w:themeShade="BF"/>
                <w:sz w:val="28"/>
              </w:rPr>
              <w:tab/>
            </w:r>
            <w:r>
              <w:rPr>
                <w:rFonts w:ascii="Times New Roman" w:hAnsi="Times New Roman"/>
                <w:sz w:val="28"/>
              </w:rPr>
              <w:tab/>
              <w:t xml:space="preserve">Servicio Común de Registro, (para el reparto entre los </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 xml:space="preserve">Juzgados Centrales de lo Penal) </w:t>
            </w:r>
          </w:p>
          <w:p w14:paraId="2D33CF51" w14:textId="77777777"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Adresse:</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t xml:space="preserve">Goya 14 </w:t>
            </w:r>
          </w:p>
          <w:p w14:paraId="37A51537" w14:textId="77777777" w:rsidR="006856B3" w:rsidRPr="003E5188" w:rsidRDefault="00246D57" w:rsidP="00326B6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 xml:space="preserve">Abteilung (Kammer): </w:t>
            </w:r>
          </w:p>
          <w:p w14:paraId="532BC110" w14:textId="77777777"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 xml:space="preserve">Ort: </w:t>
            </w:r>
            <w:r>
              <w:rPr>
                <w:rFonts w:ascii="Times New Roman" w:hAnsi="Times New Roman"/>
                <w:b/>
                <w:color w:val="2F5496" w:themeColor="accent1" w:themeShade="BF"/>
                <w:sz w:val="28"/>
              </w:rPr>
              <w:tab/>
            </w:r>
            <w:r>
              <w:rPr>
                <w:rFonts w:ascii="Times New Roman" w:hAnsi="Times New Roman"/>
                <w:sz w:val="28"/>
              </w:rPr>
              <w:tab/>
            </w:r>
            <w:r>
              <w:rPr>
                <w:rFonts w:ascii="Times New Roman" w:hAnsi="Times New Roman"/>
                <w:sz w:val="28"/>
              </w:rPr>
              <w:tab/>
              <w:t xml:space="preserve">Madrid </w:t>
            </w:r>
          </w:p>
          <w:p w14:paraId="509A53BC" w14:textId="77777777"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Postleitzahl:</w:t>
            </w:r>
            <w:r>
              <w:rPr>
                <w:rFonts w:ascii="Times New Roman" w:hAnsi="Times New Roman"/>
                <w:color w:val="2F5496" w:themeColor="accent1" w:themeShade="BF"/>
                <w:sz w:val="28"/>
              </w:rPr>
              <w:t xml:space="preserve">  </w:t>
            </w:r>
            <w:r>
              <w:rPr>
                <w:rFonts w:ascii="Times New Roman" w:hAnsi="Times New Roman"/>
                <w:sz w:val="28"/>
              </w:rPr>
              <w:tab/>
              <w:t xml:space="preserve">28071 </w:t>
            </w:r>
          </w:p>
          <w:p w14:paraId="4B8B33BB" w14:textId="77777777"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Telefonnummer:</w:t>
            </w:r>
            <w:r>
              <w:rPr>
                <w:rFonts w:ascii="Times New Roman" w:hAnsi="Times New Roman"/>
                <w:sz w:val="28"/>
              </w:rPr>
              <w:tab/>
              <w:t xml:space="preserve">(+34) 91.400.62.13/26/25 </w:t>
            </w:r>
          </w:p>
          <w:p w14:paraId="364C5E02" w14:textId="77777777" w:rsidR="006856B3" w:rsidRPr="003E5188" w:rsidRDefault="00246D57" w:rsidP="00326B6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 xml:space="preserve">Mobiltelefonnummer: </w:t>
            </w:r>
          </w:p>
          <w:p w14:paraId="2ABF3ABC" w14:textId="77777777"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Faxnummer:</w:t>
            </w:r>
            <w:r>
              <w:rPr>
                <w:rFonts w:ascii="Times New Roman" w:hAnsi="Times New Roman"/>
                <w:color w:val="2F5496" w:themeColor="accent1" w:themeShade="BF"/>
                <w:sz w:val="28"/>
              </w:rPr>
              <w:t xml:space="preserve"> </w:t>
            </w:r>
            <w:r>
              <w:rPr>
                <w:rFonts w:ascii="Times New Roman" w:hAnsi="Times New Roman"/>
                <w:sz w:val="28"/>
              </w:rPr>
              <w:tab/>
              <w:t xml:space="preserve">(+34) 91.400.72.34/35 </w:t>
            </w:r>
          </w:p>
          <w:p w14:paraId="053D0722" w14:textId="77777777" w:rsidR="006856B3" w:rsidRPr="003E5188" w:rsidRDefault="00246D57" w:rsidP="00326B60">
            <w:pPr>
              <w:spacing w:after="0"/>
              <w:jc w:val="both"/>
              <w:rPr>
                <w:rFonts w:ascii="Times New Roman" w:hAnsi="Times New Roman"/>
              </w:rPr>
            </w:pPr>
            <w:r>
              <w:rPr>
                <w:rFonts w:ascii="Times New Roman" w:hAnsi="Times New Roman"/>
                <w:b/>
                <w:color w:val="2F5496" w:themeColor="accent1" w:themeShade="BF"/>
                <w:sz w:val="28"/>
              </w:rPr>
              <w:t>E-Mail-Adresse:</w:t>
            </w:r>
            <w:r>
              <w:rPr>
                <w:rFonts w:ascii="Times New Roman" w:hAnsi="Times New Roman"/>
                <w:color w:val="2F5496" w:themeColor="accent1" w:themeShade="BF"/>
                <w:sz w:val="28"/>
              </w:rPr>
              <w:t xml:space="preserve"> </w:t>
            </w:r>
            <w:r>
              <w:rPr>
                <w:rFonts w:ascii="Times New Roman" w:hAnsi="Times New Roman"/>
                <w:sz w:val="28"/>
              </w:rPr>
              <w:tab/>
            </w:r>
            <w:hyperlink r:id="rId18" w:history="1">
              <w:r>
                <w:rPr>
                  <w:rStyle w:val="Hyperlink"/>
                  <w:rFonts w:ascii="Times New Roman" w:hAnsi="Times New Roman"/>
                  <w:sz w:val="28"/>
                </w:rPr>
                <w:t>audiencianacional.scrrda@justicia.es</w:t>
              </w:r>
            </w:hyperlink>
          </w:p>
          <w:p w14:paraId="114745BF" w14:textId="77777777" w:rsidR="006856B3" w:rsidRPr="003E5188" w:rsidRDefault="006856B3" w:rsidP="00326B60">
            <w:pPr>
              <w:spacing w:after="0"/>
              <w:jc w:val="both"/>
              <w:rPr>
                <w:rFonts w:ascii="Times New Roman" w:hAnsi="Times New Roman"/>
                <w:sz w:val="28"/>
                <w:szCs w:val="28"/>
                <w:lang w:val="en-GB"/>
              </w:rPr>
            </w:pPr>
          </w:p>
          <w:p w14:paraId="764B722C" w14:textId="77777777" w:rsidR="006856B3" w:rsidRPr="003E5188" w:rsidRDefault="00246D57" w:rsidP="00326B60">
            <w:pPr>
              <w:spacing w:after="0"/>
              <w:jc w:val="both"/>
              <w:rPr>
                <w:rFonts w:ascii="Times New Roman" w:hAnsi="Times New Roman"/>
                <w:sz w:val="28"/>
                <w:szCs w:val="28"/>
              </w:rPr>
            </w:pPr>
            <w:r>
              <w:rPr>
                <w:rFonts w:ascii="Times New Roman" w:hAnsi="Times New Roman"/>
                <w:sz w:val="28"/>
              </w:rPr>
              <w:t xml:space="preserve">Gemäß Artikel 21 RBR ist die von den spanischen Behörden akzeptierte Sprache </w:t>
            </w:r>
            <w:r>
              <w:rPr>
                <w:rFonts w:ascii="Times New Roman" w:hAnsi="Times New Roman"/>
                <w:b/>
                <w:sz w:val="28"/>
              </w:rPr>
              <w:t>Spanisch</w:t>
            </w:r>
            <w:r>
              <w:rPr>
                <w:rFonts w:ascii="Times New Roman" w:hAnsi="Times New Roman"/>
                <w:sz w:val="28"/>
              </w:rPr>
              <w:t>.</w:t>
            </w:r>
          </w:p>
        </w:tc>
      </w:tr>
    </w:tbl>
    <w:p w14:paraId="792C1F95" w14:textId="77777777" w:rsidR="006856B3" w:rsidRPr="003E5188" w:rsidRDefault="006856B3" w:rsidP="00A257D5">
      <w:pPr>
        <w:jc w:val="both"/>
        <w:rPr>
          <w:rFonts w:ascii="Times New Roman" w:hAnsi="Times New Roman"/>
          <w:sz w:val="28"/>
          <w:szCs w:val="28"/>
          <w:lang w:val="en-GB"/>
        </w:rPr>
      </w:pPr>
    </w:p>
    <w:p w14:paraId="2CC48D84" w14:textId="77777777" w:rsidR="00070BEA" w:rsidRPr="003E5188" w:rsidRDefault="00070BEA" w:rsidP="00A257D5">
      <w:pPr>
        <w:jc w:val="both"/>
        <w:rPr>
          <w:rFonts w:ascii="Times New Roman" w:hAnsi="Times New Roman"/>
          <w:i/>
          <w:sz w:val="28"/>
          <w:szCs w:val="28"/>
        </w:rPr>
      </w:pPr>
      <w:r>
        <w:rPr>
          <w:rFonts w:ascii="Times New Roman" w:hAnsi="Times New Roman"/>
          <w:i/>
          <w:sz w:val="28"/>
        </w:rPr>
        <w:t>3. Eine spanische zuständige Behörde möchte die Überwachung der verurteilten Person M.M. übertragen, die ihren rechtmäßigen und gewöhnlichen Aufenthalt in Wien, Österreich, hat.</w:t>
      </w:r>
    </w:p>
    <w:p w14:paraId="0B75DA7F" w14:textId="77777777" w:rsidR="00070BEA" w:rsidRPr="003E5188" w:rsidRDefault="00070BEA" w:rsidP="00A257D5">
      <w:pPr>
        <w:jc w:val="both"/>
        <w:rPr>
          <w:rFonts w:ascii="Times New Roman" w:hAnsi="Times New Roman"/>
          <w:sz w:val="28"/>
          <w:szCs w:val="28"/>
          <w:lang w:val="en-GB"/>
        </w:rPr>
      </w:pPr>
    </w:p>
    <w:tbl>
      <w:tblPr>
        <w:tblW w:w="9090" w:type="dxa"/>
        <w:tblInd w:w="-5" w:type="dxa"/>
        <w:tblCellMar>
          <w:left w:w="10" w:type="dxa"/>
          <w:right w:w="10" w:type="dxa"/>
        </w:tblCellMar>
        <w:tblLook w:val="0000" w:firstRow="0" w:lastRow="0" w:firstColumn="0" w:lastColumn="0" w:noHBand="0" w:noVBand="0"/>
      </w:tblPr>
      <w:tblGrid>
        <w:gridCol w:w="9090"/>
      </w:tblGrid>
      <w:tr w:rsidR="006856B3" w:rsidRPr="003E5188" w14:paraId="6C4B47CC" w14:textId="77777777" w:rsidTr="00326B60">
        <w:trPr>
          <w:trHeight w:val="134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434BEFEF" w14:textId="77777777"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Name:</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t xml:space="preserve">Staatsanwaltschaft Wien </w:t>
            </w:r>
          </w:p>
          <w:p w14:paraId="53408DB2" w14:textId="77777777"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Adresse:</w:t>
            </w:r>
            <w:r>
              <w:rPr>
                <w:rFonts w:ascii="Times New Roman" w:hAnsi="Times New Roman"/>
                <w:color w:val="2F5496" w:themeColor="accent1" w:themeShade="BF"/>
                <w:sz w:val="28"/>
              </w:rPr>
              <w:t xml:space="preserve"> </w:t>
            </w:r>
            <w:r>
              <w:rPr>
                <w:rFonts w:ascii="Times New Roman" w:hAnsi="Times New Roman"/>
                <w:color w:val="2F5496" w:themeColor="accent1" w:themeShade="BF"/>
                <w:sz w:val="28"/>
              </w:rPr>
              <w:tab/>
            </w:r>
            <w:r>
              <w:rPr>
                <w:rFonts w:ascii="Times New Roman" w:hAnsi="Times New Roman"/>
                <w:sz w:val="28"/>
              </w:rPr>
              <w:tab/>
              <w:t xml:space="preserve">Landesgerichtsstraße 11 </w:t>
            </w:r>
          </w:p>
          <w:p w14:paraId="6E88D8C0" w14:textId="77777777" w:rsidR="006856B3" w:rsidRPr="003E5188" w:rsidRDefault="00246D57" w:rsidP="00326B6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 xml:space="preserve">Abteilung (Kammer): </w:t>
            </w:r>
          </w:p>
          <w:p w14:paraId="12F03DF5" w14:textId="77777777"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Ort:</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r>
            <w:r>
              <w:rPr>
                <w:rFonts w:ascii="Times New Roman" w:hAnsi="Times New Roman"/>
                <w:sz w:val="28"/>
              </w:rPr>
              <w:tab/>
              <w:t xml:space="preserve">Wien </w:t>
            </w:r>
          </w:p>
          <w:p w14:paraId="25858B64" w14:textId="77777777"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Postleitzahl:</w:t>
            </w:r>
            <w:r>
              <w:rPr>
                <w:rFonts w:ascii="Times New Roman" w:hAnsi="Times New Roman"/>
                <w:color w:val="2F5496" w:themeColor="accent1" w:themeShade="BF"/>
                <w:sz w:val="28"/>
              </w:rPr>
              <w:t xml:space="preserve"> </w:t>
            </w:r>
            <w:r>
              <w:rPr>
                <w:rFonts w:ascii="Times New Roman" w:hAnsi="Times New Roman"/>
                <w:color w:val="2F5496" w:themeColor="accent1" w:themeShade="BF"/>
                <w:sz w:val="28"/>
              </w:rPr>
              <w:tab/>
            </w:r>
            <w:r>
              <w:rPr>
                <w:rFonts w:ascii="Times New Roman" w:hAnsi="Times New Roman"/>
                <w:sz w:val="28"/>
              </w:rPr>
              <w:t xml:space="preserve">1082 </w:t>
            </w:r>
          </w:p>
          <w:p w14:paraId="0F413553" w14:textId="77777777"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Telefonnummer:</w:t>
            </w:r>
            <w:r>
              <w:rPr>
                <w:rFonts w:ascii="Times New Roman" w:hAnsi="Times New Roman"/>
                <w:color w:val="2F5496" w:themeColor="accent1" w:themeShade="BF"/>
                <w:sz w:val="28"/>
              </w:rPr>
              <w:t xml:space="preserve"> </w:t>
            </w:r>
            <w:r>
              <w:rPr>
                <w:rFonts w:ascii="Times New Roman" w:hAnsi="Times New Roman"/>
                <w:sz w:val="28"/>
              </w:rPr>
              <w:tab/>
              <w:t xml:space="preserve">+43 1 40127 0 </w:t>
            </w:r>
          </w:p>
          <w:p w14:paraId="53A77B41" w14:textId="77777777" w:rsidR="006856B3" w:rsidRPr="003E5188" w:rsidRDefault="00246D57" w:rsidP="00326B6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 xml:space="preserve">Mobiltelefonnummer: </w:t>
            </w:r>
          </w:p>
          <w:p w14:paraId="5B305F1A" w14:textId="77777777"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Faxnummer:</w:t>
            </w:r>
            <w:r>
              <w:rPr>
                <w:rFonts w:ascii="Times New Roman" w:hAnsi="Times New Roman"/>
                <w:color w:val="2F5496" w:themeColor="accent1" w:themeShade="BF"/>
                <w:sz w:val="28"/>
              </w:rPr>
              <w:t xml:space="preserve"> </w:t>
            </w:r>
            <w:r>
              <w:rPr>
                <w:rFonts w:ascii="Times New Roman" w:hAnsi="Times New Roman"/>
                <w:sz w:val="28"/>
              </w:rPr>
              <w:tab/>
              <w:t xml:space="preserve">+43 1 40127 306950 </w:t>
            </w:r>
          </w:p>
          <w:p w14:paraId="69BD5743" w14:textId="77777777" w:rsidR="006856B3" w:rsidRPr="003E5188" w:rsidRDefault="00246D57" w:rsidP="00326B6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E-Mail-Adresse:</w:t>
            </w:r>
          </w:p>
          <w:p w14:paraId="1FC997FB" w14:textId="77777777" w:rsidR="006856B3" w:rsidRPr="003E5188" w:rsidRDefault="006856B3" w:rsidP="00326B60">
            <w:pPr>
              <w:spacing w:after="0"/>
              <w:jc w:val="both"/>
              <w:rPr>
                <w:rFonts w:ascii="Times New Roman" w:hAnsi="Times New Roman"/>
                <w:sz w:val="28"/>
                <w:szCs w:val="28"/>
                <w:lang w:val="en-GB"/>
              </w:rPr>
            </w:pPr>
          </w:p>
          <w:p w14:paraId="13D84E94" w14:textId="77777777" w:rsidR="006856B3" w:rsidRPr="003E5188" w:rsidRDefault="00246D57" w:rsidP="00326B60">
            <w:pPr>
              <w:spacing w:after="0"/>
              <w:jc w:val="both"/>
              <w:rPr>
                <w:rFonts w:ascii="Times New Roman" w:hAnsi="Times New Roman"/>
                <w:sz w:val="28"/>
                <w:szCs w:val="28"/>
              </w:rPr>
            </w:pPr>
            <w:r>
              <w:rPr>
                <w:rFonts w:ascii="Times New Roman" w:hAnsi="Times New Roman"/>
                <w:sz w:val="28"/>
              </w:rPr>
              <w:t xml:space="preserve">Nach Artikel 21 des RBR ist der Bescheinigung eine Übersetzung ins Deutsche beizufügen. Bescheinigungen </w:t>
            </w:r>
            <w:r>
              <w:rPr>
                <w:rFonts w:ascii="Times New Roman" w:hAnsi="Times New Roman"/>
                <w:b/>
                <w:sz w:val="28"/>
              </w:rPr>
              <w:t>in anderen Sprachen werden</w:t>
            </w:r>
            <w:r>
              <w:rPr>
                <w:rFonts w:ascii="Times New Roman" w:hAnsi="Times New Roman"/>
                <w:sz w:val="28"/>
              </w:rPr>
              <w:t xml:space="preserve"> auf der Grundlage der Gegenseitigkeit </w:t>
            </w:r>
            <w:r>
              <w:rPr>
                <w:rFonts w:ascii="Times New Roman" w:hAnsi="Times New Roman"/>
                <w:b/>
                <w:sz w:val="28"/>
              </w:rPr>
              <w:t>akzeptiert</w:t>
            </w:r>
            <w:r>
              <w:rPr>
                <w:rFonts w:ascii="Times New Roman" w:hAnsi="Times New Roman"/>
                <w:sz w:val="28"/>
              </w:rPr>
              <w:t xml:space="preserve">, d. h. unter der Voraussetzung, dass der Ausstellungsstaat als Vollstreckungsstaat auch Bescheinigungen in </w:t>
            </w:r>
            <w:r>
              <w:rPr>
                <w:rFonts w:ascii="Times New Roman" w:hAnsi="Times New Roman"/>
                <w:b/>
                <w:sz w:val="28"/>
              </w:rPr>
              <w:t>deutscher Sprache</w:t>
            </w:r>
            <w:r>
              <w:rPr>
                <w:rFonts w:ascii="Times New Roman" w:hAnsi="Times New Roman"/>
                <w:sz w:val="28"/>
              </w:rPr>
              <w:t xml:space="preserve"> akzeptiert.</w:t>
            </w:r>
          </w:p>
        </w:tc>
      </w:tr>
    </w:tbl>
    <w:p w14:paraId="1F0E5A9E" w14:textId="77777777" w:rsidR="00070BEA" w:rsidRPr="003E5188" w:rsidRDefault="00070BEA" w:rsidP="00A257D5">
      <w:pPr>
        <w:jc w:val="both"/>
        <w:rPr>
          <w:rFonts w:ascii="Times New Roman" w:hAnsi="Times New Roman"/>
          <w:i/>
          <w:iCs/>
          <w:sz w:val="28"/>
          <w:szCs w:val="28"/>
          <w:lang w:val="en-GB"/>
        </w:rPr>
      </w:pPr>
    </w:p>
    <w:p w14:paraId="04B71C78" w14:textId="77777777" w:rsidR="006856B3" w:rsidRPr="003E5188" w:rsidRDefault="00070BEA" w:rsidP="00A257D5">
      <w:pPr>
        <w:suppressAutoHyphens w:val="0"/>
        <w:autoSpaceDN/>
        <w:textAlignment w:val="auto"/>
        <w:rPr>
          <w:rFonts w:ascii="Times New Roman" w:hAnsi="Times New Roman"/>
          <w:i/>
          <w:iCs/>
          <w:sz w:val="28"/>
          <w:szCs w:val="28"/>
        </w:rPr>
      </w:pPr>
      <w:r>
        <w:br w:type="page"/>
      </w:r>
    </w:p>
    <w:p w14:paraId="7FCBDC7D" w14:textId="77777777" w:rsidR="006856B3" w:rsidRPr="003E5188" w:rsidRDefault="00070BEA" w:rsidP="00A257D5">
      <w:pPr>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lastRenderedPageBreak/>
        <w:t>A. III. Fallszenario 2:</w:t>
      </w:r>
    </w:p>
    <w:p w14:paraId="4AD6B0C1" w14:textId="77777777" w:rsidR="006856B3" w:rsidRPr="003E5188" w:rsidRDefault="006856B3" w:rsidP="00A257D5">
      <w:pPr>
        <w:jc w:val="both"/>
        <w:rPr>
          <w:rFonts w:ascii="Times New Roman" w:hAnsi="Times New Roman"/>
          <w:b/>
          <w:bCs/>
          <w:i/>
          <w:iCs/>
          <w:sz w:val="28"/>
          <w:szCs w:val="28"/>
          <w:lang w:val="en-GB"/>
        </w:rPr>
      </w:pPr>
    </w:p>
    <w:p w14:paraId="2947B402" w14:textId="77777777"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t>F1:</w:t>
      </w:r>
      <w:r>
        <w:rPr>
          <w:rFonts w:ascii="Times New Roman" w:hAnsi="Times New Roman"/>
          <w:color w:val="2F5496" w:themeColor="accent1" w:themeShade="BF"/>
          <w:sz w:val="28"/>
        </w:rPr>
        <w:t xml:space="preserve"> Welches Recht gilt während des Überwachungszeitraums? </w:t>
      </w:r>
    </w:p>
    <w:p w14:paraId="3ED166AD" w14:textId="77777777" w:rsidR="006856B3" w:rsidRPr="003E5188" w:rsidRDefault="00246D57" w:rsidP="00A257D5">
      <w:pPr>
        <w:jc w:val="both"/>
        <w:rPr>
          <w:rFonts w:ascii="Times New Roman" w:hAnsi="Times New Roman"/>
        </w:rPr>
      </w:pPr>
      <w:r>
        <w:rPr>
          <w:rFonts w:ascii="Times New Roman" w:hAnsi="Times New Roman"/>
          <w:sz w:val="28"/>
        </w:rPr>
        <w:t xml:space="preserve">Sobald die zuständige Behörde des Vollstreckungsstaats das Urteil und gegebenenfalls die ihr übermittelte Bewährungsentscheidung anerkannt und die zuständige Behörde des Ausstellungsstaats von dieser Anerkennung unterrichtet hat, ist </w:t>
      </w:r>
      <w:r>
        <w:rPr>
          <w:rFonts w:ascii="Times New Roman" w:hAnsi="Times New Roman"/>
          <w:i/>
          <w:sz w:val="28"/>
        </w:rPr>
        <w:t>der Ausstellungsstaat</w:t>
      </w:r>
      <w:r>
        <w:rPr>
          <w:rFonts w:ascii="Times New Roman" w:hAnsi="Times New Roman"/>
          <w:sz w:val="28"/>
        </w:rPr>
        <w:t xml:space="preserve"> </w:t>
      </w:r>
      <w:r>
        <w:rPr>
          <w:rFonts w:ascii="Times New Roman" w:hAnsi="Times New Roman"/>
          <w:b/>
          <w:sz w:val="28"/>
        </w:rPr>
        <w:t>nicht mehr für die Überwachung der verhängten Bewährungsmaßnahmen oder alternativen Sanktionen sowie für die Ergreifung von Folgemaßnahmen nach Artikel 14 Absatz 1 zuständig</w:t>
      </w:r>
      <w:r>
        <w:rPr>
          <w:rFonts w:ascii="Times New Roman" w:hAnsi="Times New Roman"/>
          <w:sz w:val="28"/>
        </w:rPr>
        <w:t>.</w:t>
      </w:r>
    </w:p>
    <w:p w14:paraId="025CCC4C" w14:textId="77777777" w:rsidR="006856B3" w:rsidRPr="003E5188" w:rsidRDefault="00246D57" w:rsidP="00A257D5">
      <w:pPr>
        <w:jc w:val="both"/>
        <w:rPr>
          <w:rFonts w:ascii="Times New Roman" w:hAnsi="Times New Roman"/>
        </w:rPr>
      </w:pPr>
      <w:r>
        <w:rPr>
          <w:rFonts w:ascii="Times New Roman" w:hAnsi="Times New Roman"/>
          <w:sz w:val="28"/>
        </w:rPr>
        <w:t xml:space="preserve">Laut Artikel 13 des RBR </w:t>
      </w:r>
      <w:r>
        <w:rPr>
          <w:rFonts w:ascii="Times New Roman" w:hAnsi="Times New Roman"/>
          <w:b/>
          <w:sz w:val="28"/>
        </w:rPr>
        <w:t>richtet sich</w:t>
      </w:r>
      <w:r>
        <w:rPr>
          <w:rFonts w:ascii="Times New Roman" w:hAnsi="Times New Roman"/>
          <w:sz w:val="28"/>
        </w:rPr>
        <w:t xml:space="preserve"> die Überwachung und Anwendung von Bewährungsmaßnahmen und alternativen Sanktionen </w:t>
      </w:r>
      <w:r>
        <w:rPr>
          <w:rFonts w:ascii="Times New Roman" w:hAnsi="Times New Roman"/>
          <w:b/>
          <w:sz w:val="28"/>
        </w:rPr>
        <w:t>nach dem</w:t>
      </w:r>
      <w:r>
        <w:rPr>
          <w:rFonts w:ascii="Times New Roman" w:hAnsi="Times New Roman"/>
          <w:sz w:val="28"/>
        </w:rPr>
        <w:t xml:space="preserve"> </w:t>
      </w:r>
      <w:r>
        <w:rPr>
          <w:rFonts w:ascii="Times New Roman" w:hAnsi="Times New Roman"/>
          <w:b/>
          <w:sz w:val="28"/>
        </w:rPr>
        <w:t>Recht des Vollstreckungsstaats</w:t>
      </w:r>
      <w:r>
        <w:rPr>
          <w:rFonts w:ascii="Times New Roman" w:hAnsi="Times New Roman"/>
          <w:sz w:val="28"/>
        </w:rPr>
        <w:t xml:space="preserve"> (in unserem Fall dem deutschen Recht).</w:t>
      </w:r>
    </w:p>
    <w:p w14:paraId="3D164418" w14:textId="77777777" w:rsidR="006856B3" w:rsidRPr="003E5188" w:rsidRDefault="006856B3" w:rsidP="00A257D5">
      <w:pPr>
        <w:jc w:val="both"/>
        <w:rPr>
          <w:rFonts w:ascii="Times New Roman" w:hAnsi="Times New Roman"/>
          <w:sz w:val="28"/>
          <w:szCs w:val="28"/>
          <w:lang w:val="en-GB"/>
        </w:rPr>
      </w:pPr>
    </w:p>
    <w:p w14:paraId="1A3F2750" w14:textId="77777777"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t>F2:</w:t>
      </w:r>
      <w:r>
        <w:rPr>
          <w:rFonts w:ascii="Times New Roman" w:hAnsi="Times New Roman"/>
          <w:color w:val="2F5496" w:themeColor="accent1" w:themeShade="BF"/>
          <w:sz w:val="28"/>
        </w:rPr>
        <w:t xml:space="preserve"> Wie werden die deutschen Behörden bei der Verletzung einer der Auflagen durch die verurteilte Person vorgehen? </w:t>
      </w:r>
    </w:p>
    <w:p w14:paraId="03D3E356" w14:textId="77777777" w:rsidR="006856B3" w:rsidRPr="003E5188" w:rsidRDefault="00246D57" w:rsidP="00A257D5">
      <w:pPr>
        <w:jc w:val="both"/>
        <w:rPr>
          <w:rFonts w:ascii="Times New Roman" w:hAnsi="Times New Roman"/>
          <w:sz w:val="28"/>
          <w:szCs w:val="28"/>
        </w:rPr>
      </w:pPr>
      <w:r>
        <w:rPr>
          <w:rFonts w:ascii="Times New Roman" w:hAnsi="Times New Roman"/>
          <w:sz w:val="28"/>
        </w:rPr>
        <w:t>Der RBR legt in Artikel 14 die Zuständigkeit für alle Folgeentscheidungen und das maßgebliche Recht im Falle der Nichteinhaltung einer Bewährungsmaßnahme oder alternativen Sanktion oder der Begehung einer neuen Straftat durch die verurteilte Person fest.</w:t>
      </w:r>
    </w:p>
    <w:p w14:paraId="72C5015A" w14:textId="77777777" w:rsidR="006856B3" w:rsidRPr="003E5188" w:rsidRDefault="00246D57" w:rsidP="00A257D5">
      <w:pPr>
        <w:jc w:val="both"/>
        <w:rPr>
          <w:rFonts w:ascii="Times New Roman" w:hAnsi="Times New Roman"/>
        </w:rPr>
      </w:pPr>
      <w:r>
        <w:rPr>
          <w:rFonts w:ascii="Times New Roman" w:hAnsi="Times New Roman"/>
          <w:b/>
          <w:sz w:val="28"/>
        </w:rPr>
        <w:t>Artikel 14 Absatz 3 in Verbindung mit Absatz 1</w:t>
      </w:r>
      <w:r>
        <w:rPr>
          <w:rFonts w:ascii="Times New Roman" w:hAnsi="Times New Roman"/>
          <w:sz w:val="28"/>
        </w:rPr>
        <w:t xml:space="preserve"> besagt: Jeder Mitgliedstaat kann zum Zeitpunkt der Annahme dieses Rahmenbeschlusses oder später erklären, dass er </w:t>
      </w:r>
      <w:r>
        <w:rPr>
          <w:rFonts w:ascii="Times New Roman" w:hAnsi="Times New Roman"/>
          <w:b/>
          <w:sz w:val="28"/>
        </w:rPr>
        <w:t>als Vollstreckungsstaat die Übernahme der Zuständigkeit</w:t>
      </w:r>
      <w:r>
        <w:rPr>
          <w:rFonts w:ascii="Times New Roman" w:hAnsi="Times New Roman"/>
          <w:sz w:val="28"/>
        </w:rPr>
        <w:t xml:space="preserve"> </w:t>
      </w:r>
      <w:r>
        <w:rPr>
          <w:rFonts w:ascii="Times New Roman" w:hAnsi="Times New Roman"/>
          <w:i/>
          <w:sz w:val="28"/>
        </w:rPr>
        <w:t>für den Widerruf der Aussetzung der Vollstreckung des Urteils oder den Widerruf der Entscheidung über eine bedingte Entlassung</w:t>
      </w:r>
      <w:r>
        <w:rPr>
          <w:rFonts w:ascii="Times New Roman" w:hAnsi="Times New Roman"/>
          <w:sz w:val="28"/>
        </w:rPr>
        <w:t xml:space="preserve"> oder die Verhängung einer Freiheitsstrafe oder freiheitsentziehenden Maßnahme im Falle einer alternativen Sanktion oder bedingten Verurteilung in Fällen oder Kategorien von Fällen, die von diesem Mitgliedstaat zu spezifizieren sind, </w:t>
      </w:r>
      <w:r>
        <w:rPr>
          <w:rFonts w:ascii="Times New Roman" w:hAnsi="Times New Roman"/>
          <w:b/>
          <w:sz w:val="28"/>
        </w:rPr>
        <w:t xml:space="preserve">ablehnen wird </w:t>
      </w:r>
      <w:r>
        <w:rPr>
          <w:rFonts w:ascii="Times New Roman" w:hAnsi="Times New Roman"/>
          <w:sz w:val="28"/>
        </w:rPr>
        <w:t>(insbesondere in Fällen einer alternativen Sanktion, in denen das Urteil keine Freiheitsstrafe oder freiheitsentziehende Maßnahme vorsieht, die im Falle der Nichteinhaltung der Auflagen oder Weisungen zu vollstrecken ist; in Fällen einer bedingten Verurteilung oder in Fällen, in denen die dem Urteil zugrunde liegenden Handlungen unabhängig von den Tatbestandsmerkmalen oder der Bezeichnung der Straftat nach dem Recht des Vollstreckungsstaats keine Straftat darstellen).</w:t>
      </w:r>
    </w:p>
    <w:p w14:paraId="0AD1D2DC" w14:textId="77777777" w:rsidR="006856B3" w:rsidRPr="003E5188" w:rsidRDefault="00246D57" w:rsidP="00A257D5">
      <w:pPr>
        <w:jc w:val="both"/>
        <w:rPr>
          <w:rFonts w:ascii="Times New Roman" w:hAnsi="Times New Roman"/>
          <w:sz w:val="28"/>
          <w:szCs w:val="28"/>
        </w:rPr>
      </w:pPr>
      <w:r>
        <w:rPr>
          <w:rFonts w:ascii="Times New Roman" w:hAnsi="Times New Roman"/>
          <w:sz w:val="28"/>
        </w:rPr>
        <w:t>Da in unserem Fall die verurteilte Person eine ihrer Pflichten verletzt hat, geht es um den Widerruf der Aussetzung der Vollstreckung des Urteils.</w:t>
      </w:r>
    </w:p>
    <w:p w14:paraId="2E92EA76" w14:textId="77777777" w:rsidR="006856B3" w:rsidRPr="003E5188" w:rsidRDefault="00246D57" w:rsidP="00A257D5">
      <w:pPr>
        <w:jc w:val="both"/>
        <w:rPr>
          <w:rFonts w:ascii="Times New Roman" w:hAnsi="Times New Roman"/>
        </w:rPr>
      </w:pPr>
      <w:r>
        <w:rPr>
          <w:rFonts w:ascii="Times New Roman" w:hAnsi="Times New Roman"/>
          <w:sz w:val="28"/>
        </w:rPr>
        <w:lastRenderedPageBreak/>
        <w:t xml:space="preserve">Die deutschen Behörden </w:t>
      </w:r>
      <w:r>
        <w:rPr>
          <w:rFonts w:ascii="Times New Roman" w:hAnsi="Times New Roman"/>
          <w:b/>
          <w:sz w:val="28"/>
        </w:rPr>
        <w:t>müssen überprüfen, wie Deutschland Art. 14 Abs. 3 des RBR</w:t>
      </w:r>
      <w:r>
        <w:rPr>
          <w:rFonts w:ascii="Times New Roman" w:hAnsi="Times New Roman"/>
          <w:sz w:val="28"/>
        </w:rPr>
        <w:t xml:space="preserve"> umgesetzt hat, bzw. ob die deutschen Behörden wie in unserem Fall die Zuständigkeit für den späteren Widerruf übernommen haben.</w:t>
      </w:r>
    </w:p>
    <w:tbl>
      <w:tblPr>
        <w:tblW w:w="9000" w:type="dxa"/>
        <w:tblInd w:w="-5" w:type="dxa"/>
        <w:tblCellMar>
          <w:left w:w="10" w:type="dxa"/>
          <w:right w:w="10" w:type="dxa"/>
        </w:tblCellMar>
        <w:tblLook w:val="0000" w:firstRow="0" w:lastRow="0" w:firstColumn="0" w:lastColumn="0" w:noHBand="0" w:noVBand="0"/>
      </w:tblPr>
      <w:tblGrid>
        <w:gridCol w:w="9000"/>
      </w:tblGrid>
      <w:tr w:rsidR="006856B3" w:rsidRPr="003E5188" w14:paraId="175523ED" w14:textId="77777777" w:rsidTr="00326B60">
        <w:trPr>
          <w:trHeight w:val="857"/>
        </w:trPr>
        <w:tc>
          <w:tcPr>
            <w:tcW w:w="900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5396E9B" w14:textId="77777777" w:rsidR="006856B3" w:rsidRPr="00E00D02" w:rsidRDefault="00246D57" w:rsidP="00E00D02">
            <w:pPr>
              <w:pStyle w:val="Listenabsatz"/>
              <w:numPr>
                <w:ilvl w:val="0"/>
                <w:numId w:val="20"/>
              </w:numPr>
              <w:jc w:val="both"/>
              <w:rPr>
                <w:rFonts w:ascii="Times New Roman" w:hAnsi="Times New Roman"/>
                <w:sz w:val="28"/>
                <w:szCs w:val="28"/>
              </w:rPr>
            </w:pPr>
            <w:r>
              <w:rPr>
                <w:rFonts w:ascii="Times New Roman" w:hAnsi="Times New Roman"/>
                <w:sz w:val="28"/>
              </w:rPr>
              <w:t xml:space="preserve">Auf der Website des EJN finden wir </w:t>
            </w:r>
            <w:hyperlink r:id="rId19" w:history="1">
              <w:r>
                <w:rPr>
                  <w:rStyle w:val="Hyperlink"/>
                  <w:rFonts w:ascii="Times New Roman" w:hAnsi="Times New Roman"/>
                  <w:sz w:val="28"/>
                </w:rPr>
                <w:t>alle Informationen über die Mitteilungen jedes der MS</w:t>
              </w:r>
            </w:hyperlink>
            <w:r>
              <w:rPr>
                <w:rFonts w:ascii="Times New Roman" w:hAnsi="Times New Roman"/>
                <w:sz w:val="28"/>
              </w:rPr>
              <w:t xml:space="preserve"> in Bezug auf einige der Bestimmungen des RBR, auch in Bezug auf den in unserem Fall maßgeblichen Artikel 14 Absatz 3. </w:t>
            </w:r>
          </w:p>
        </w:tc>
      </w:tr>
    </w:tbl>
    <w:p w14:paraId="384FF8FD" w14:textId="77777777" w:rsidR="006856B3" w:rsidRPr="003E5188" w:rsidRDefault="006856B3" w:rsidP="00A257D5">
      <w:pPr>
        <w:jc w:val="both"/>
        <w:rPr>
          <w:rFonts w:ascii="Times New Roman" w:hAnsi="Times New Roman"/>
          <w:sz w:val="28"/>
          <w:szCs w:val="28"/>
          <w:lang w:val="en-GB"/>
        </w:rPr>
      </w:pPr>
    </w:p>
    <w:p w14:paraId="6F0FDD18"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In Bezug auf Artikel 14 Absatz 3 sehen wir Folgendes: </w:t>
      </w:r>
    </w:p>
    <w:p w14:paraId="4EA1E418" w14:textId="77777777" w:rsidR="006856B3" w:rsidRPr="003E5188" w:rsidRDefault="00246D57" w:rsidP="00A257D5">
      <w:pPr>
        <w:jc w:val="both"/>
        <w:rPr>
          <w:rFonts w:ascii="Times New Roman" w:hAnsi="Times New Roman"/>
        </w:rPr>
      </w:pPr>
      <w:r>
        <w:rPr>
          <w:rFonts w:ascii="Times New Roman" w:hAnsi="Times New Roman"/>
          <w:i/>
          <w:sz w:val="28"/>
        </w:rPr>
        <w:t xml:space="preserve">Die Bundesrepublik Deutschland </w:t>
      </w:r>
      <w:r>
        <w:rPr>
          <w:rFonts w:ascii="Times New Roman" w:hAnsi="Times New Roman"/>
          <w:b/>
          <w:i/>
          <w:sz w:val="28"/>
        </w:rPr>
        <w:t>lehnt es ab,</w:t>
      </w:r>
      <w:r>
        <w:rPr>
          <w:rFonts w:ascii="Times New Roman" w:hAnsi="Times New Roman"/>
          <w:i/>
          <w:sz w:val="28"/>
        </w:rPr>
        <w:t xml:space="preserve"> </w:t>
      </w:r>
      <w:r>
        <w:rPr>
          <w:rFonts w:ascii="Times New Roman" w:hAnsi="Times New Roman"/>
          <w:b/>
          <w:i/>
          <w:sz w:val="28"/>
        </w:rPr>
        <w:t>in den in</w:t>
      </w:r>
      <w:r>
        <w:rPr>
          <w:rFonts w:ascii="Times New Roman" w:hAnsi="Times New Roman"/>
          <w:i/>
          <w:sz w:val="28"/>
        </w:rPr>
        <w:t xml:space="preserve"> </w:t>
      </w:r>
      <w:r>
        <w:rPr>
          <w:rFonts w:ascii="Times New Roman" w:hAnsi="Times New Roman"/>
          <w:b/>
          <w:i/>
          <w:sz w:val="28"/>
        </w:rPr>
        <w:t>Artikel 14 Absatz</w:t>
      </w:r>
      <w:r>
        <w:rPr>
          <w:rFonts w:ascii="Times New Roman" w:hAnsi="Times New Roman"/>
          <w:i/>
          <w:sz w:val="28"/>
        </w:rPr>
        <w:t xml:space="preserve"> </w:t>
      </w:r>
      <w:r>
        <w:rPr>
          <w:rFonts w:ascii="Times New Roman" w:hAnsi="Times New Roman"/>
          <w:b/>
          <w:i/>
          <w:sz w:val="28"/>
        </w:rPr>
        <w:t>3 Buchstaben a, b</w:t>
      </w:r>
      <w:r>
        <w:rPr>
          <w:rFonts w:ascii="Times New Roman" w:hAnsi="Times New Roman"/>
          <w:i/>
          <w:sz w:val="28"/>
        </w:rPr>
        <w:t xml:space="preserve"> </w:t>
      </w:r>
      <w:r>
        <w:rPr>
          <w:rFonts w:ascii="Times New Roman" w:hAnsi="Times New Roman"/>
          <w:b/>
          <w:i/>
          <w:sz w:val="28"/>
        </w:rPr>
        <w:t>und c</w:t>
      </w:r>
      <w:r>
        <w:rPr>
          <w:rFonts w:ascii="Times New Roman" w:hAnsi="Times New Roman"/>
          <w:i/>
          <w:sz w:val="28"/>
        </w:rPr>
        <w:t xml:space="preserve"> des Rahmenbeschlusses </w:t>
      </w:r>
      <w:r>
        <w:rPr>
          <w:rFonts w:ascii="Times New Roman" w:hAnsi="Times New Roman"/>
          <w:b/>
          <w:i/>
          <w:sz w:val="28"/>
        </w:rPr>
        <w:t>genannten Fällen</w:t>
      </w:r>
      <w:r>
        <w:rPr>
          <w:rFonts w:ascii="Times New Roman" w:hAnsi="Times New Roman"/>
          <w:i/>
          <w:sz w:val="28"/>
        </w:rPr>
        <w:t xml:space="preserve"> die </w:t>
      </w:r>
      <w:r>
        <w:rPr>
          <w:rFonts w:ascii="Times New Roman" w:hAnsi="Times New Roman"/>
          <w:b/>
          <w:i/>
          <w:sz w:val="28"/>
        </w:rPr>
        <w:t>Zuständigkeit für die in Artikel 14 Absatz 1 Buchstaben b</w:t>
      </w:r>
      <w:r>
        <w:rPr>
          <w:rFonts w:ascii="Times New Roman" w:hAnsi="Times New Roman"/>
          <w:i/>
          <w:sz w:val="28"/>
        </w:rPr>
        <w:t xml:space="preserve"> und c des Rahmenbeschlusses </w:t>
      </w:r>
      <w:r>
        <w:rPr>
          <w:rFonts w:ascii="Times New Roman" w:hAnsi="Times New Roman"/>
          <w:b/>
          <w:i/>
          <w:sz w:val="28"/>
        </w:rPr>
        <w:t>vorgesehenen Folgeentscheidungen zu übernehmen</w:t>
      </w:r>
      <w:r>
        <w:rPr>
          <w:rFonts w:ascii="Times New Roman" w:hAnsi="Times New Roman"/>
          <w:i/>
          <w:sz w:val="28"/>
        </w:rPr>
        <w:t xml:space="preserve"> .</w:t>
      </w:r>
    </w:p>
    <w:p w14:paraId="33B848A8" w14:textId="77777777" w:rsidR="006856B3" w:rsidRPr="003E5188" w:rsidRDefault="00246D57" w:rsidP="00A257D5">
      <w:pPr>
        <w:jc w:val="both"/>
        <w:rPr>
          <w:rFonts w:ascii="Times New Roman" w:hAnsi="Times New Roman"/>
          <w:sz w:val="28"/>
          <w:szCs w:val="28"/>
        </w:rPr>
      </w:pPr>
      <w:r>
        <w:rPr>
          <w:rFonts w:ascii="Times New Roman" w:hAnsi="Times New Roman"/>
          <w:sz w:val="28"/>
        </w:rPr>
        <w:t>Da es sich in unserem Fall um eine Bewährungsstrafe handelt, sind die Fälle nach Artikel 14 Absatz 3 Buchstaben a und b nicht anwendbar, so dass nur der Fall nach Artikel 14 Absatz 3 Buchstabe c zu prüfen ist, beziehungsweise, ob sich das Bewährungsurteil auf Handlungen bezieht, die nach deutschem Recht unabhängig von den Tatbestandsmerkmalen oder der Bezeichnung der Straftat keinen Straftatbestand darstellen.</w:t>
      </w:r>
    </w:p>
    <w:p w14:paraId="3FC82A00" w14:textId="77777777" w:rsidR="006856B3" w:rsidRPr="003E5188" w:rsidRDefault="00246D57" w:rsidP="00A257D5">
      <w:pPr>
        <w:jc w:val="both"/>
        <w:rPr>
          <w:rFonts w:ascii="Times New Roman" w:hAnsi="Times New Roman"/>
        </w:rPr>
      </w:pPr>
      <w:r>
        <w:rPr>
          <w:rFonts w:ascii="Times New Roman" w:hAnsi="Times New Roman"/>
          <w:i/>
          <w:sz w:val="28"/>
        </w:rPr>
        <w:t xml:space="preserve"> </w:t>
      </w:r>
      <w:r>
        <w:rPr>
          <w:rFonts w:ascii="Times New Roman" w:hAnsi="Times New Roman"/>
          <w:sz w:val="28"/>
        </w:rPr>
        <w:t xml:space="preserve">- </w:t>
      </w:r>
      <w:r>
        <w:rPr>
          <w:rFonts w:ascii="Times New Roman" w:hAnsi="Times New Roman"/>
          <w:i/>
          <w:sz w:val="28"/>
        </w:rPr>
        <w:t>Wenn es sich nach deutschem Recht um eine Straftat handelt</w:t>
      </w:r>
      <w:r>
        <w:rPr>
          <w:rFonts w:ascii="Times New Roman" w:hAnsi="Times New Roman"/>
          <w:sz w:val="28"/>
        </w:rPr>
        <w:t xml:space="preserve">, können die zuständigen deutschen Behörden nach den </w:t>
      </w:r>
      <w:r>
        <w:rPr>
          <w:rFonts w:ascii="Times New Roman" w:hAnsi="Times New Roman"/>
          <w:sz w:val="28"/>
          <w:u w:val="single"/>
        </w:rPr>
        <w:t xml:space="preserve">in solchen Fällen geltenden nationalen Bestimmungen </w:t>
      </w:r>
      <w:r>
        <w:rPr>
          <w:rFonts w:ascii="Times New Roman" w:hAnsi="Times New Roman"/>
          <w:sz w:val="28"/>
        </w:rPr>
        <w:t>die Aussetzung der Vollstreckung des Urteils widerrufen und eine Sanktion (in der Regel eine Freiheitsstrafe) verhängen.</w:t>
      </w:r>
    </w:p>
    <w:p w14:paraId="7D001B16"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In Fällen, in denen sie für Folgeentscheidungen zuständig ist, </w:t>
      </w:r>
      <w:r>
        <w:rPr>
          <w:rFonts w:ascii="Times New Roman" w:hAnsi="Times New Roman"/>
          <w:sz w:val="28"/>
          <w:u w:val="single"/>
        </w:rPr>
        <w:t>unterrichtet</w:t>
      </w:r>
      <w:r>
        <w:rPr>
          <w:rFonts w:ascii="Times New Roman" w:hAnsi="Times New Roman"/>
          <w:sz w:val="28"/>
        </w:rPr>
        <w:t xml:space="preserve"> die zuständige Behörde des Vollstreckungsstaats die zuständige Behörde des Ausstellungsstaats </w:t>
      </w:r>
      <w:r>
        <w:rPr>
          <w:rFonts w:ascii="Times New Roman" w:hAnsi="Times New Roman"/>
          <w:sz w:val="28"/>
          <w:u w:val="single"/>
        </w:rPr>
        <w:t>unverzüglich</w:t>
      </w:r>
      <w:r>
        <w:rPr>
          <w:rFonts w:ascii="Times New Roman" w:hAnsi="Times New Roman"/>
          <w:sz w:val="28"/>
        </w:rPr>
        <w:t xml:space="preserve"> in einer Form, die einen schriftlichen Nachweis ermöglicht, über die Entscheidung über den Widerruf der Aussetzung der Vollstreckung des Urteils (Art. 16 Abs. 1 RBR).</w:t>
      </w:r>
    </w:p>
    <w:p w14:paraId="081C1A13" w14:textId="77777777" w:rsidR="006856B3" w:rsidRPr="003E5188" w:rsidRDefault="00246D57" w:rsidP="00A257D5">
      <w:pPr>
        <w:jc w:val="both"/>
        <w:rPr>
          <w:rFonts w:ascii="Times New Roman" w:hAnsi="Times New Roman"/>
        </w:rPr>
      </w:pPr>
      <w:r>
        <w:rPr>
          <w:rFonts w:ascii="Times New Roman" w:hAnsi="Times New Roman"/>
          <w:sz w:val="28"/>
        </w:rPr>
        <w:t xml:space="preserve">- Handelt </w:t>
      </w:r>
      <w:r>
        <w:rPr>
          <w:rFonts w:ascii="Times New Roman" w:hAnsi="Times New Roman"/>
          <w:i/>
          <w:sz w:val="28"/>
        </w:rPr>
        <w:t>es sich nach deutschem Recht nicht um einen Straftatbestand</w:t>
      </w:r>
      <w:r>
        <w:rPr>
          <w:rFonts w:ascii="Times New Roman" w:hAnsi="Times New Roman"/>
          <w:sz w:val="28"/>
        </w:rPr>
        <w:t xml:space="preserve">, so verfahren die zuständigen deutschen Behörden gemäß </w:t>
      </w:r>
      <w:r>
        <w:rPr>
          <w:rFonts w:ascii="Times New Roman" w:hAnsi="Times New Roman"/>
          <w:b/>
          <w:sz w:val="28"/>
        </w:rPr>
        <w:t>Artikel 14 Absatz 4 des RBR</w:t>
      </w:r>
      <w:r>
        <w:rPr>
          <w:rFonts w:ascii="Times New Roman" w:hAnsi="Times New Roman"/>
          <w:sz w:val="28"/>
        </w:rPr>
        <w:t xml:space="preserve">, der Folgendes besagt: Nutzt ein Mitgliedstaat eine der Möglichkeiten nach Absatz 3, so </w:t>
      </w:r>
      <w:r>
        <w:rPr>
          <w:rFonts w:ascii="Times New Roman" w:hAnsi="Times New Roman"/>
          <w:i/>
          <w:sz w:val="28"/>
          <w:u w:val="single"/>
        </w:rPr>
        <w:t>überträgt</w:t>
      </w:r>
      <w:r>
        <w:rPr>
          <w:rFonts w:ascii="Times New Roman" w:hAnsi="Times New Roman"/>
          <w:i/>
          <w:sz w:val="28"/>
        </w:rPr>
        <w:t xml:space="preserve"> die zuständige Behörde des Vollstreckungsstaats im Falle der Nichteinhaltung einer Bewährungsmaßnahme oder alternativen Sanktion </w:t>
      </w:r>
      <w:r>
        <w:rPr>
          <w:rFonts w:ascii="Times New Roman" w:hAnsi="Times New Roman"/>
          <w:i/>
          <w:sz w:val="28"/>
          <w:u w:val="single"/>
        </w:rPr>
        <w:t>die Zuständigkeit zurück</w:t>
      </w:r>
      <w:r>
        <w:rPr>
          <w:rFonts w:ascii="Times New Roman" w:hAnsi="Times New Roman"/>
          <w:i/>
          <w:sz w:val="28"/>
        </w:rPr>
        <w:t xml:space="preserve"> an die zuständige Behörde des Ausstellungsstaats</w:t>
      </w:r>
      <w:r>
        <w:rPr>
          <w:rFonts w:ascii="Times New Roman" w:hAnsi="Times New Roman"/>
          <w:sz w:val="28"/>
        </w:rPr>
        <w:t xml:space="preserve">, </w:t>
      </w:r>
      <w:bookmarkStart w:id="4" w:name="_Hlk34212852"/>
      <w:r>
        <w:rPr>
          <w:rFonts w:ascii="Times New Roman" w:hAnsi="Times New Roman"/>
          <w:sz w:val="28"/>
        </w:rPr>
        <w:t>wenn die zuständige Behörde des Vollstreckungsstaats</w:t>
      </w:r>
      <w:bookmarkEnd w:id="4"/>
      <w:r>
        <w:rPr>
          <w:rFonts w:ascii="Times New Roman" w:hAnsi="Times New Roman"/>
          <w:sz w:val="28"/>
        </w:rPr>
        <w:t xml:space="preserve"> eine Folgeentscheidung im Sinne von Absatz 1 Buchstaben b oder c </w:t>
      </w:r>
      <w:r>
        <w:rPr>
          <w:rFonts w:ascii="Times New Roman" w:hAnsi="Times New Roman"/>
          <w:sz w:val="28"/>
          <w:u w:val="single"/>
        </w:rPr>
        <w:t>für erforderlich hält</w:t>
      </w:r>
      <w:r>
        <w:rPr>
          <w:rFonts w:ascii="Times New Roman" w:hAnsi="Times New Roman"/>
          <w:sz w:val="28"/>
        </w:rPr>
        <w:t>.</w:t>
      </w:r>
    </w:p>
    <w:p w14:paraId="392100C7" w14:textId="77777777" w:rsidR="006856B3" w:rsidRPr="003E5188" w:rsidRDefault="00246D57" w:rsidP="00A257D5">
      <w:pPr>
        <w:jc w:val="both"/>
        <w:rPr>
          <w:rFonts w:ascii="Times New Roman" w:hAnsi="Times New Roman"/>
        </w:rPr>
      </w:pPr>
      <w:r>
        <w:rPr>
          <w:rFonts w:ascii="Times New Roman" w:hAnsi="Times New Roman"/>
          <w:sz w:val="28"/>
        </w:rPr>
        <w:lastRenderedPageBreak/>
        <w:t xml:space="preserve">Durch die Verwendung der Formulierung – wenn die zuständige Behörde des Vollstreckungsstaats ...... </w:t>
      </w:r>
      <w:r>
        <w:rPr>
          <w:rFonts w:ascii="Times New Roman" w:hAnsi="Times New Roman"/>
          <w:i/>
          <w:sz w:val="28"/>
          <w:u w:val="single"/>
        </w:rPr>
        <w:t>für erforderlich hält</w:t>
      </w:r>
      <w:r>
        <w:rPr>
          <w:rFonts w:ascii="Times New Roman" w:hAnsi="Times New Roman"/>
          <w:sz w:val="28"/>
        </w:rPr>
        <w:t xml:space="preserve"> – überlässt die oben genannte Bestimmung die Entscheidung, ob um die Rückübertragung der Zuständigkeit an den Ausstellungsmitgliedstaat ersucht wird, der zuständigen Behörde des Vollstreckungsstaats. Dies bedeutet, dass die zuständige Vollstreckungsbehörde den Verstoß </w:t>
      </w:r>
      <w:r>
        <w:rPr>
          <w:rFonts w:ascii="Times New Roman" w:hAnsi="Times New Roman"/>
          <w:sz w:val="28"/>
          <w:u w:val="single"/>
        </w:rPr>
        <w:t>nach nationalem Recht</w:t>
      </w:r>
      <w:r>
        <w:rPr>
          <w:rFonts w:ascii="Times New Roman" w:hAnsi="Times New Roman"/>
          <w:sz w:val="28"/>
        </w:rPr>
        <w:t xml:space="preserve"> zu würdigen hat (wie in einem innerstaatlichen Fall).</w:t>
      </w:r>
    </w:p>
    <w:p w14:paraId="42279CC6" w14:textId="77777777" w:rsidR="006856B3" w:rsidRPr="003E5188" w:rsidRDefault="00246D57" w:rsidP="00A257D5">
      <w:pPr>
        <w:jc w:val="both"/>
        <w:rPr>
          <w:rFonts w:ascii="Times New Roman" w:hAnsi="Times New Roman"/>
        </w:rPr>
      </w:pPr>
      <w:r>
        <w:rPr>
          <w:rFonts w:ascii="Times New Roman" w:hAnsi="Times New Roman"/>
          <w:sz w:val="28"/>
        </w:rPr>
        <w:t xml:space="preserve">Ist die zuständige Behörde des Ausstellungsstaats infolge der Anwendung von Artikel 14 Absatz 3 für Folgeentscheidungen nach Artikel 14 Absatz 1 zuständig, so unterrichtet die zuständige Behörde des Vollstreckungsstaats diese unverzüglich über jede Erkenntnis, die voraussichtlich den Widerruf der Aussetzung der Vollstreckung des Urteils bewirkt, </w:t>
      </w:r>
      <w:r>
        <w:rPr>
          <w:rFonts w:ascii="Times New Roman" w:hAnsi="Times New Roman"/>
          <w:b/>
          <w:sz w:val="28"/>
          <w:u w:val="single"/>
        </w:rPr>
        <w:t>wobei sie das Formblatt in Anhang II des RBR verwendet</w:t>
      </w:r>
      <w:r>
        <w:rPr>
          <w:rFonts w:ascii="Times New Roman" w:hAnsi="Times New Roman"/>
          <w:sz w:val="28"/>
        </w:rPr>
        <w:t xml:space="preserve"> (Artikel 17 Absatz 1 des RBR).</w:t>
      </w:r>
    </w:p>
    <w:p w14:paraId="04B6208A" w14:textId="77777777" w:rsidR="006856B3" w:rsidRPr="003E5188" w:rsidRDefault="006856B3" w:rsidP="00A257D5">
      <w:pPr>
        <w:jc w:val="both"/>
        <w:rPr>
          <w:rFonts w:ascii="Times New Roman" w:hAnsi="Times New Roman"/>
          <w:sz w:val="28"/>
          <w:szCs w:val="28"/>
          <w:lang w:val="en-GB"/>
        </w:rPr>
      </w:pPr>
    </w:p>
    <w:tbl>
      <w:tblPr>
        <w:tblW w:w="8910" w:type="dxa"/>
        <w:tblInd w:w="85" w:type="dxa"/>
        <w:tblCellMar>
          <w:left w:w="10" w:type="dxa"/>
          <w:right w:w="10" w:type="dxa"/>
        </w:tblCellMar>
        <w:tblLook w:val="0000" w:firstRow="0" w:lastRow="0" w:firstColumn="0" w:lastColumn="0" w:noHBand="0" w:noVBand="0"/>
      </w:tblPr>
      <w:tblGrid>
        <w:gridCol w:w="8910"/>
      </w:tblGrid>
      <w:tr w:rsidR="006856B3" w:rsidRPr="003E5188" w14:paraId="0F6D0DD1" w14:textId="77777777" w:rsidTr="00326B60">
        <w:trPr>
          <w:trHeight w:val="3336"/>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A0B01FB" w14:textId="77777777" w:rsidR="006856B3" w:rsidRPr="003E5188" w:rsidRDefault="00246D57" w:rsidP="00A257D5">
            <w:pPr>
              <w:pStyle w:val="Listenabsatz"/>
              <w:numPr>
                <w:ilvl w:val="0"/>
                <w:numId w:val="21"/>
              </w:numPr>
              <w:jc w:val="both"/>
              <w:rPr>
                <w:rFonts w:ascii="Times New Roman" w:hAnsi="Times New Roman"/>
              </w:rPr>
            </w:pPr>
            <w:r>
              <w:rPr>
                <w:rFonts w:ascii="Times New Roman" w:hAnsi="Times New Roman"/>
                <w:sz w:val="28"/>
              </w:rPr>
              <w:t xml:space="preserve">Ist nach dem innerstaatlichen Recht des Ausstellungsstaats </w:t>
            </w:r>
            <w:r>
              <w:rPr>
                <w:rFonts w:ascii="Times New Roman" w:hAnsi="Times New Roman"/>
                <w:b/>
                <w:sz w:val="28"/>
              </w:rPr>
              <w:t>eine gerichtliche Vernehmung der verurteilten Person durchzuführen, bevor über die Verhängung einer Strafe entschieden wird</w:t>
            </w:r>
            <w:r>
              <w:rPr>
                <w:rFonts w:ascii="Times New Roman" w:hAnsi="Times New Roman"/>
                <w:sz w:val="28"/>
              </w:rPr>
              <w:t xml:space="preserve">, so kann zur Erfüllung dieser Verpflichtung </w:t>
            </w:r>
            <w:r>
              <w:rPr>
                <w:rFonts w:ascii="Times New Roman" w:hAnsi="Times New Roman"/>
                <w:i/>
                <w:sz w:val="28"/>
              </w:rPr>
              <w:t>mutatis mutandis</w:t>
            </w:r>
            <w:r>
              <w:rPr>
                <w:rFonts w:ascii="Times New Roman" w:hAnsi="Times New Roman"/>
                <w:sz w:val="28"/>
              </w:rPr>
              <w:t xml:space="preserve"> auf das in völkerrechtlichen Übereinkünften oder im Recht der Europäischen Union vorgesehene Verfahren zurückgegriffen werden, wonach Vernehmungen per Videokonferenz durchgeführt werden können (Art. 17 Abs. 4 des RBR).</w:t>
            </w:r>
          </w:p>
          <w:p w14:paraId="7357EEB2" w14:textId="77777777" w:rsidR="006856B3" w:rsidRPr="003E5188" w:rsidRDefault="00246D57" w:rsidP="00A257D5">
            <w:pPr>
              <w:pStyle w:val="Listenabsatz"/>
              <w:numPr>
                <w:ilvl w:val="0"/>
                <w:numId w:val="21"/>
              </w:numPr>
              <w:jc w:val="both"/>
              <w:rPr>
                <w:rFonts w:ascii="Times New Roman" w:hAnsi="Times New Roman"/>
              </w:rPr>
            </w:pPr>
            <w:r>
              <w:rPr>
                <w:rFonts w:ascii="Times New Roman" w:hAnsi="Times New Roman"/>
                <w:sz w:val="28"/>
              </w:rPr>
              <w:t xml:space="preserve">In unserem Fall können die rumänischen Behörden die verurteilte Person per Videokonferenz vernehmen und dabei eine Europäische Ermittlungsanordnung (EEA) verwenden, da beide MS die  </w:t>
            </w:r>
            <w:bookmarkStart w:id="5" w:name="_Hlk32923245"/>
            <w:r>
              <w:rPr>
                <w:rFonts w:ascii="Times New Roman" w:hAnsi="Times New Roman"/>
                <w:sz w:val="28"/>
              </w:rPr>
              <w:t xml:space="preserve">Richtlinie 2014/41/EU des Europäischen Parlaments und des Rates vom 3. April 2014 über die Europäische Ermittlungsanordnung in Strafsachen </w:t>
            </w:r>
            <w:r>
              <w:rPr>
                <w:rFonts w:ascii="Times New Roman" w:hAnsi="Times New Roman"/>
                <w:sz w:val="28"/>
                <w:u w:val="single"/>
              </w:rPr>
              <w:t>umgesetzt haben</w:t>
            </w:r>
            <w:r>
              <w:rPr>
                <w:rFonts w:ascii="Times New Roman" w:hAnsi="Times New Roman"/>
                <w:sz w:val="28"/>
              </w:rPr>
              <w:t>.</w:t>
            </w:r>
            <w:bookmarkEnd w:id="5"/>
          </w:p>
        </w:tc>
      </w:tr>
    </w:tbl>
    <w:p w14:paraId="65B7B4CF" w14:textId="77777777" w:rsidR="006856B3" w:rsidRPr="003E5188" w:rsidRDefault="006856B3" w:rsidP="00A257D5">
      <w:pPr>
        <w:jc w:val="both"/>
        <w:rPr>
          <w:rFonts w:ascii="Times New Roman" w:hAnsi="Times New Roman"/>
          <w:b/>
          <w:bCs/>
          <w:i/>
          <w:iCs/>
          <w:sz w:val="28"/>
          <w:szCs w:val="28"/>
          <w:lang w:val="en-GB"/>
        </w:rPr>
      </w:pPr>
    </w:p>
    <w:p w14:paraId="53A057A5" w14:textId="77777777"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t>F3:</w:t>
      </w:r>
      <w:r>
        <w:rPr>
          <w:rFonts w:ascii="Times New Roman" w:hAnsi="Times New Roman"/>
          <w:color w:val="2F5496" w:themeColor="accent1" w:themeShade="BF"/>
          <w:sz w:val="28"/>
        </w:rPr>
        <w:t xml:space="preserve"> Was geschieht, wenn gegen die verurteilte Person ein neues Strafverfahren im Ausstellungsmitgliedstaat eingeleitet wird? </w:t>
      </w:r>
    </w:p>
    <w:p w14:paraId="494F24BD" w14:textId="77777777" w:rsidR="006856B3" w:rsidRPr="003E5188" w:rsidRDefault="00246D57" w:rsidP="00A257D5">
      <w:pPr>
        <w:jc w:val="both"/>
        <w:rPr>
          <w:rFonts w:ascii="Times New Roman" w:hAnsi="Times New Roman"/>
        </w:rPr>
      </w:pPr>
      <w:r>
        <w:rPr>
          <w:rFonts w:ascii="Times New Roman" w:hAnsi="Times New Roman"/>
          <w:sz w:val="28"/>
        </w:rPr>
        <w:t xml:space="preserve">Artikel 20 Absatz 2 des RBR besagt Folgendes: </w:t>
      </w:r>
      <w:r>
        <w:rPr>
          <w:rFonts w:ascii="Times New Roman" w:hAnsi="Times New Roman"/>
          <w:b/>
          <w:sz w:val="28"/>
        </w:rPr>
        <w:t>Ist im Ausstellungsstaat ein neues Strafverfahren gegen die betreffende Person anhängig</w:t>
      </w:r>
      <w:r>
        <w:rPr>
          <w:rFonts w:ascii="Times New Roman" w:hAnsi="Times New Roman"/>
          <w:sz w:val="28"/>
        </w:rPr>
        <w:t xml:space="preserve">, so </w:t>
      </w:r>
      <w:r>
        <w:rPr>
          <w:rFonts w:ascii="Times New Roman" w:hAnsi="Times New Roman"/>
          <w:i/>
          <w:sz w:val="28"/>
          <w:u w:val="single"/>
        </w:rPr>
        <w:t>kann</w:t>
      </w:r>
      <w:r>
        <w:rPr>
          <w:rFonts w:ascii="Times New Roman" w:hAnsi="Times New Roman"/>
          <w:sz w:val="28"/>
        </w:rPr>
        <w:t xml:space="preserve"> die zuständige Behörde des Ausstellungsstaats die zuständige Behörde des Vollstreckungsstaats </w:t>
      </w:r>
      <w:r>
        <w:rPr>
          <w:rFonts w:ascii="Times New Roman" w:hAnsi="Times New Roman"/>
          <w:i/>
          <w:sz w:val="28"/>
          <w:u w:val="single"/>
        </w:rPr>
        <w:t>ersuchen</w:t>
      </w:r>
      <w:r>
        <w:rPr>
          <w:rFonts w:ascii="Times New Roman" w:hAnsi="Times New Roman"/>
          <w:sz w:val="28"/>
        </w:rPr>
        <w:t xml:space="preserve">, der zuständigen Behörde des Ausstellungsstaats wieder die Zuständigkeit für die Überwachung der Bewährungsmaßnahmen und alternativen Sanktionen sowie für alle weiteren mit dem Urteil in Zusammenhang stehenden Entscheidungen zu übertragen. In diesem Fall </w:t>
      </w:r>
      <w:r>
        <w:rPr>
          <w:rFonts w:ascii="Times New Roman" w:hAnsi="Times New Roman"/>
          <w:i/>
          <w:sz w:val="28"/>
          <w:u w:val="single"/>
        </w:rPr>
        <w:t>kann</w:t>
      </w:r>
      <w:r>
        <w:rPr>
          <w:rFonts w:ascii="Times New Roman" w:hAnsi="Times New Roman"/>
          <w:sz w:val="28"/>
        </w:rPr>
        <w:t xml:space="preserve"> </w:t>
      </w:r>
      <w:r>
        <w:rPr>
          <w:rFonts w:ascii="Times New Roman" w:hAnsi="Times New Roman"/>
          <w:sz w:val="28"/>
        </w:rPr>
        <w:lastRenderedPageBreak/>
        <w:t xml:space="preserve">die zuständige Behörde des Vollstreckungsstaats der zuständigen Behörde des Ausstellungsstaats diese Zuständigkeit </w:t>
      </w:r>
      <w:r>
        <w:rPr>
          <w:rFonts w:ascii="Times New Roman" w:hAnsi="Times New Roman"/>
          <w:i/>
          <w:sz w:val="28"/>
          <w:u w:val="single"/>
        </w:rPr>
        <w:t>zurückübertragen</w:t>
      </w:r>
      <w:r>
        <w:rPr>
          <w:rFonts w:ascii="Times New Roman" w:hAnsi="Times New Roman"/>
          <w:sz w:val="28"/>
        </w:rPr>
        <w:t>.</w:t>
      </w:r>
    </w:p>
    <w:p w14:paraId="7C4151A8" w14:textId="77777777" w:rsidR="006856B3" w:rsidRPr="003E5188" w:rsidRDefault="00246D57" w:rsidP="00A257D5">
      <w:pPr>
        <w:jc w:val="both"/>
        <w:rPr>
          <w:rFonts w:ascii="Times New Roman" w:hAnsi="Times New Roman"/>
        </w:rPr>
      </w:pPr>
      <w:r>
        <w:rPr>
          <w:rFonts w:ascii="Times New Roman" w:hAnsi="Times New Roman"/>
          <w:sz w:val="28"/>
        </w:rPr>
        <w:t xml:space="preserve">Wie man sieht, ist die Rückübertragung der Überwachung </w:t>
      </w:r>
      <w:r>
        <w:rPr>
          <w:rFonts w:ascii="Times New Roman" w:hAnsi="Times New Roman"/>
          <w:i/>
          <w:sz w:val="28"/>
        </w:rPr>
        <w:t>nicht zwingend vorgeschrieben</w:t>
      </w:r>
      <w:r>
        <w:rPr>
          <w:rFonts w:ascii="Times New Roman" w:hAnsi="Times New Roman"/>
          <w:sz w:val="28"/>
        </w:rPr>
        <w:t xml:space="preserve"> (und zwar weder das Ersuchen des Ausstellungsmitgliedstaats noch die Zustimmung zur Rückübertragung der Zuständigkeit durch den Vollstreckungsmitgliedstaat in einem solchen Fall).</w:t>
      </w:r>
    </w:p>
    <w:p w14:paraId="70E6828E" w14:textId="77777777" w:rsidR="006856B3" w:rsidRPr="003E5188" w:rsidRDefault="00070BEA" w:rsidP="00A257D5">
      <w:pPr>
        <w:suppressAutoHyphens w:val="0"/>
        <w:autoSpaceDN/>
        <w:textAlignment w:val="auto"/>
        <w:rPr>
          <w:rFonts w:ascii="Times New Roman" w:hAnsi="Times New Roman"/>
          <w:sz w:val="28"/>
          <w:szCs w:val="28"/>
        </w:rPr>
      </w:pPr>
      <w:r>
        <w:br w:type="page"/>
      </w:r>
    </w:p>
    <w:tbl>
      <w:tblPr>
        <w:tblW w:w="8934" w:type="dxa"/>
        <w:tblInd w:w="85" w:type="dxa"/>
        <w:tblCellMar>
          <w:left w:w="10" w:type="dxa"/>
          <w:right w:w="10" w:type="dxa"/>
        </w:tblCellMar>
        <w:tblLook w:val="0000" w:firstRow="0" w:lastRow="0" w:firstColumn="0" w:lastColumn="0" w:noHBand="0" w:noVBand="0"/>
      </w:tblPr>
      <w:tblGrid>
        <w:gridCol w:w="8934"/>
      </w:tblGrid>
      <w:tr w:rsidR="006856B3" w:rsidRPr="003E5188" w14:paraId="5D2F3F2C" w14:textId="77777777" w:rsidTr="00326B60">
        <w:trPr>
          <w:trHeight w:val="620"/>
        </w:trPr>
        <w:tc>
          <w:tcPr>
            <w:tcW w:w="893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62B6A69" w14:textId="77777777" w:rsidR="006856B3" w:rsidRPr="003E5188" w:rsidRDefault="00246D57" w:rsidP="00A257D5">
            <w:pPr>
              <w:pStyle w:val="Listenabsatz"/>
              <w:numPr>
                <w:ilvl w:val="0"/>
                <w:numId w:val="22"/>
              </w:numPr>
              <w:jc w:val="both"/>
              <w:rPr>
                <w:rFonts w:ascii="Times New Roman" w:hAnsi="Times New Roman"/>
              </w:rPr>
            </w:pPr>
            <w:r>
              <w:rPr>
                <w:rFonts w:ascii="Times New Roman" w:hAnsi="Times New Roman"/>
                <w:sz w:val="28"/>
              </w:rPr>
              <w:lastRenderedPageBreak/>
              <w:t xml:space="preserve">Wir können uns </w:t>
            </w:r>
            <w:r>
              <w:rPr>
                <w:rFonts w:ascii="Times New Roman" w:hAnsi="Times New Roman"/>
                <w:i/>
                <w:sz w:val="28"/>
              </w:rPr>
              <w:t>zum Beispiel</w:t>
            </w:r>
            <w:r>
              <w:rPr>
                <w:rFonts w:ascii="Times New Roman" w:hAnsi="Times New Roman"/>
                <w:sz w:val="28"/>
              </w:rPr>
              <w:t xml:space="preserve"> eine Strafsache vorstellen, in der die zuständigen Justizbehörden des Ausstellungsmitgliedstaats das Strafverfahren im Ausstellungsmitgliedstaat fortsetzen können </w:t>
            </w:r>
            <w:r>
              <w:rPr>
                <w:rFonts w:ascii="Times New Roman" w:hAnsi="Times New Roman"/>
                <w:i/>
                <w:sz w:val="28"/>
              </w:rPr>
              <w:t>(unter Wahrung aller Rechte der verurteilten Person während der strafrechtlichen Ermittlungen und gegebenenfalls während der Verhandlung</w:t>
            </w:r>
            <w:r>
              <w:rPr>
                <w:rFonts w:ascii="Times New Roman" w:hAnsi="Times New Roman"/>
                <w:sz w:val="28"/>
              </w:rPr>
              <w:t xml:space="preserve">) und am Ende eine Geldstrafe oder eine bedingte Sanktion verhängen, die nicht den Widerruf der vorherigen Bewährungsstrafe nach sich zieht und keine Auswirkungen auf die Überwachung der vorherigen übertragenen Sanktion im Vollstreckungsmitgliedstaat hat. </w:t>
            </w:r>
          </w:p>
          <w:p w14:paraId="5A9E1C7A" w14:textId="77777777" w:rsidR="006856B3" w:rsidRPr="003E5188" w:rsidRDefault="00246D57" w:rsidP="00A257D5">
            <w:pPr>
              <w:pStyle w:val="Listenabsatz"/>
              <w:numPr>
                <w:ilvl w:val="0"/>
                <w:numId w:val="22"/>
              </w:numPr>
              <w:jc w:val="both"/>
              <w:rPr>
                <w:rFonts w:ascii="Times New Roman" w:hAnsi="Times New Roman"/>
              </w:rPr>
            </w:pPr>
            <w:r>
              <w:rPr>
                <w:rFonts w:ascii="Times New Roman" w:hAnsi="Times New Roman"/>
                <w:sz w:val="28"/>
              </w:rPr>
              <w:t xml:space="preserve">Natürlich </w:t>
            </w:r>
            <w:r>
              <w:rPr>
                <w:rFonts w:ascii="Times New Roman" w:hAnsi="Times New Roman"/>
                <w:i/>
                <w:sz w:val="28"/>
              </w:rPr>
              <w:t xml:space="preserve">kann </w:t>
            </w:r>
            <w:r>
              <w:rPr>
                <w:rFonts w:ascii="Times New Roman" w:hAnsi="Times New Roman"/>
                <w:sz w:val="28"/>
              </w:rPr>
              <w:t xml:space="preserve">der Ausstellungsmitgliedstaat </w:t>
            </w:r>
            <w:r>
              <w:rPr>
                <w:rFonts w:ascii="Times New Roman" w:hAnsi="Times New Roman"/>
                <w:i/>
                <w:sz w:val="28"/>
              </w:rPr>
              <w:t xml:space="preserve">die zur Bewährung ausgesetzte übertragene Strafe </w:t>
            </w:r>
            <w:r>
              <w:rPr>
                <w:rFonts w:ascii="Times New Roman" w:hAnsi="Times New Roman"/>
                <w:sz w:val="28"/>
              </w:rPr>
              <w:t xml:space="preserve">im MS </w:t>
            </w:r>
            <w:r>
              <w:rPr>
                <w:rFonts w:ascii="Times New Roman" w:hAnsi="Times New Roman"/>
                <w:i/>
                <w:sz w:val="28"/>
              </w:rPr>
              <w:t>nicht widerrufen</w:t>
            </w:r>
            <w:r>
              <w:rPr>
                <w:rFonts w:ascii="Times New Roman" w:hAnsi="Times New Roman"/>
                <w:sz w:val="28"/>
              </w:rPr>
              <w:t xml:space="preserve">, solange er nicht um die Übertragung ersucht hat oder die Übertragung von den zuständigen Behörden des Vollstreckungsmitgliedstaats nicht bewilligt wurde. </w:t>
            </w:r>
          </w:p>
          <w:p w14:paraId="7EB76875" w14:textId="77777777" w:rsidR="006856B3" w:rsidRPr="003E5188" w:rsidRDefault="00246D57" w:rsidP="00A257D5">
            <w:pPr>
              <w:pStyle w:val="Listenabsatz"/>
              <w:numPr>
                <w:ilvl w:val="0"/>
                <w:numId w:val="22"/>
              </w:numPr>
              <w:jc w:val="both"/>
              <w:rPr>
                <w:rFonts w:ascii="Times New Roman" w:hAnsi="Times New Roman"/>
              </w:rPr>
            </w:pPr>
            <w:r>
              <w:rPr>
                <w:rFonts w:ascii="Times New Roman" w:hAnsi="Times New Roman"/>
                <w:sz w:val="28"/>
              </w:rPr>
              <w:t xml:space="preserve">Verhängt </w:t>
            </w:r>
            <w:r>
              <w:rPr>
                <w:rFonts w:ascii="Times New Roman" w:hAnsi="Times New Roman"/>
                <w:i/>
                <w:sz w:val="28"/>
              </w:rPr>
              <w:t>er eine Freiheitsstrafe, ohne eine Entscheidung über die übertragene Bewährungsstrafe zu treffen,</w:t>
            </w:r>
            <w:r>
              <w:rPr>
                <w:rFonts w:ascii="Times New Roman" w:hAnsi="Times New Roman"/>
                <w:sz w:val="28"/>
              </w:rPr>
              <w:t xml:space="preserve"> dann besteht das Problem der Unvereinbarkeit zwischen der Freiheitsstrafe und der Bewährungsstrafe im Hinblick auf die gleichzeitige Vollstreckung beider Sanktionen.</w:t>
            </w:r>
          </w:p>
        </w:tc>
      </w:tr>
    </w:tbl>
    <w:p w14:paraId="78975FC3" w14:textId="77777777" w:rsidR="006856B3" w:rsidRPr="003E5188" w:rsidRDefault="006856B3" w:rsidP="00A257D5">
      <w:pPr>
        <w:jc w:val="both"/>
        <w:rPr>
          <w:rFonts w:ascii="Times New Roman" w:hAnsi="Times New Roman"/>
          <w:b/>
          <w:bCs/>
          <w:i/>
          <w:iCs/>
          <w:sz w:val="28"/>
          <w:szCs w:val="28"/>
          <w:lang w:val="en-GB"/>
        </w:rPr>
      </w:pPr>
    </w:p>
    <w:p w14:paraId="6241A171" w14:textId="77777777"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t xml:space="preserve">F4: </w:t>
      </w:r>
      <w:r>
        <w:rPr>
          <w:rFonts w:ascii="Times New Roman" w:hAnsi="Times New Roman"/>
          <w:color w:val="2F5496" w:themeColor="accent1" w:themeShade="BF"/>
          <w:sz w:val="28"/>
        </w:rPr>
        <w:t>Was geschieht, wenn die verurteilte Person flüchtet oder keinen rechtmäßigen und gewöhnlichen Aufenthalt mehr im Vollstreckungsstaat hat?</w:t>
      </w:r>
    </w:p>
    <w:p w14:paraId="0ADB5195" w14:textId="77777777" w:rsidR="006856B3" w:rsidRPr="003E5188" w:rsidRDefault="00246D57" w:rsidP="00A257D5">
      <w:pPr>
        <w:jc w:val="both"/>
        <w:rPr>
          <w:rFonts w:ascii="Times New Roman" w:hAnsi="Times New Roman"/>
        </w:rPr>
      </w:pPr>
      <w:r>
        <w:rPr>
          <w:rFonts w:ascii="Times New Roman" w:hAnsi="Times New Roman"/>
          <w:sz w:val="28"/>
        </w:rPr>
        <w:t xml:space="preserve">Artikel 20 Absatz 1 des RBR besagt Folgendes: </w:t>
      </w:r>
      <w:r>
        <w:rPr>
          <w:rFonts w:ascii="Times New Roman" w:hAnsi="Times New Roman"/>
          <w:b/>
          <w:sz w:val="28"/>
        </w:rPr>
        <w:t>Wenn die verurteilte Person flüchtet oder im Vollstreckungsstaat keinen rechtmäßigen und gewöhnlichen Aufenthalt mehr hat</w:t>
      </w:r>
      <w:r>
        <w:rPr>
          <w:rFonts w:ascii="Times New Roman" w:hAnsi="Times New Roman"/>
          <w:sz w:val="28"/>
        </w:rPr>
        <w:t xml:space="preserve">, so </w:t>
      </w:r>
      <w:r>
        <w:rPr>
          <w:rFonts w:ascii="Times New Roman" w:hAnsi="Times New Roman"/>
          <w:i/>
          <w:sz w:val="28"/>
          <w:u w:val="single"/>
        </w:rPr>
        <w:t>kann</w:t>
      </w:r>
      <w:r>
        <w:rPr>
          <w:rFonts w:ascii="Times New Roman" w:hAnsi="Times New Roman"/>
          <w:sz w:val="28"/>
        </w:rPr>
        <w:t xml:space="preserve"> die zuständige Behörde des Vollstreckungsstaats die Zuständigkeit für die Überwachung der Bewährungsmaßnahmen und alternativen Sanktionen sowie für alle weiteren mit dem Urteil im Zusammenhang stehenden Entscheidungen wieder an die zuständige Behörde des Ausstellungsstaats </w:t>
      </w:r>
      <w:r>
        <w:rPr>
          <w:rFonts w:ascii="Times New Roman" w:hAnsi="Times New Roman"/>
          <w:i/>
          <w:sz w:val="28"/>
          <w:u w:val="single"/>
        </w:rPr>
        <w:t>zurückübertragen</w:t>
      </w:r>
      <w:r>
        <w:rPr>
          <w:rFonts w:ascii="Times New Roman" w:hAnsi="Times New Roman"/>
          <w:sz w:val="28"/>
        </w:rPr>
        <w:t>.</w:t>
      </w:r>
    </w:p>
    <w:p w14:paraId="1AD57954" w14:textId="77777777" w:rsidR="006856B3" w:rsidRPr="003E5188" w:rsidRDefault="006856B3" w:rsidP="00A257D5">
      <w:pPr>
        <w:jc w:val="both"/>
        <w:rPr>
          <w:rFonts w:ascii="Times New Roman" w:hAnsi="Times New Roman"/>
          <w:sz w:val="28"/>
          <w:szCs w:val="28"/>
          <w:lang w:val="en-GB"/>
        </w:rPr>
      </w:pPr>
    </w:p>
    <w:tbl>
      <w:tblPr>
        <w:tblW w:w="8910" w:type="dxa"/>
        <w:tblInd w:w="85" w:type="dxa"/>
        <w:tblCellMar>
          <w:left w:w="10" w:type="dxa"/>
          <w:right w:w="10" w:type="dxa"/>
        </w:tblCellMar>
        <w:tblLook w:val="0000" w:firstRow="0" w:lastRow="0" w:firstColumn="0" w:lastColumn="0" w:noHBand="0" w:noVBand="0"/>
      </w:tblPr>
      <w:tblGrid>
        <w:gridCol w:w="8910"/>
      </w:tblGrid>
      <w:tr w:rsidR="006856B3" w:rsidRPr="003E5188" w14:paraId="1C0BA531" w14:textId="77777777" w:rsidTr="00326B60">
        <w:trPr>
          <w:trHeight w:val="1430"/>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A9C47D6" w14:textId="77777777" w:rsidR="006856B3" w:rsidRPr="003E5188" w:rsidRDefault="00246D57" w:rsidP="00A257D5">
            <w:pPr>
              <w:ind w:left="84"/>
              <w:jc w:val="both"/>
              <w:rPr>
                <w:rFonts w:ascii="Times New Roman" w:hAnsi="Times New Roman"/>
              </w:rPr>
            </w:pPr>
            <w:r>
              <w:rPr>
                <w:rFonts w:ascii="Times New Roman" w:hAnsi="Times New Roman"/>
                <w:i/>
                <w:sz w:val="28"/>
              </w:rPr>
              <w:t>Wenn</w:t>
            </w:r>
            <w:r>
              <w:rPr>
                <w:rFonts w:ascii="Times New Roman" w:hAnsi="Times New Roman"/>
                <w:sz w:val="28"/>
              </w:rPr>
              <w:t xml:space="preserve"> zum Beispiel </w:t>
            </w:r>
            <w:r>
              <w:rPr>
                <w:rFonts w:ascii="Times New Roman" w:hAnsi="Times New Roman"/>
                <w:i/>
                <w:sz w:val="28"/>
              </w:rPr>
              <w:t>die überwachte Person flüchtet</w:t>
            </w:r>
            <w:r>
              <w:rPr>
                <w:rFonts w:ascii="Times New Roman" w:hAnsi="Times New Roman"/>
                <w:sz w:val="28"/>
              </w:rPr>
              <w:t xml:space="preserve">, kann eine Situation vorliegen, in der eine der Auflagen der überwachten Sanktion nicht eingehalten wird. Diese Situation kann gemäß Art. 14 Abs. 1 Buchst. b des RBR und den nationalen Bestimmungen den Widerruf der Bewährungsstrafe nach sich ziehen. </w:t>
            </w:r>
          </w:p>
          <w:p w14:paraId="287C98B0" w14:textId="77777777" w:rsidR="006856B3" w:rsidRPr="003E5188" w:rsidRDefault="00246D57" w:rsidP="00A257D5">
            <w:pPr>
              <w:ind w:left="84"/>
              <w:jc w:val="both"/>
              <w:rPr>
                <w:rFonts w:ascii="Times New Roman" w:hAnsi="Times New Roman"/>
              </w:rPr>
            </w:pPr>
            <w:r>
              <w:rPr>
                <w:rFonts w:ascii="Times New Roman" w:hAnsi="Times New Roman"/>
                <w:sz w:val="28"/>
              </w:rPr>
              <w:t xml:space="preserve">Die Möglichkeit, die Bewährungsstrafe zu widerrufen, wird der zuständigen Behörde des Vollstreckungsmitgliedstaats </w:t>
            </w:r>
            <w:r>
              <w:rPr>
                <w:rFonts w:ascii="Times New Roman" w:hAnsi="Times New Roman"/>
                <w:sz w:val="28"/>
                <w:u w:val="single"/>
              </w:rPr>
              <w:t>nur</w:t>
            </w:r>
            <w:r>
              <w:rPr>
                <w:rFonts w:ascii="Times New Roman" w:hAnsi="Times New Roman"/>
                <w:sz w:val="28"/>
              </w:rPr>
              <w:t xml:space="preserve"> in den Fällen eingeräumt, in denen die deutschen Behörden die Zuständigkeit für den Widerruf der </w:t>
            </w:r>
            <w:r>
              <w:rPr>
                <w:rFonts w:ascii="Times New Roman" w:hAnsi="Times New Roman"/>
                <w:sz w:val="28"/>
              </w:rPr>
              <w:lastRenderedPageBreak/>
              <w:t xml:space="preserve">Bewährungsstrafe nach Art. 14 Abs. 3 des RBR übernommen haben.  </w:t>
            </w:r>
          </w:p>
          <w:p w14:paraId="4EFA5767" w14:textId="77777777" w:rsidR="006856B3" w:rsidRPr="003E5188" w:rsidRDefault="00246D57" w:rsidP="00A257D5">
            <w:pPr>
              <w:ind w:left="84"/>
              <w:jc w:val="both"/>
              <w:rPr>
                <w:rFonts w:ascii="Times New Roman" w:hAnsi="Times New Roman"/>
              </w:rPr>
            </w:pPr>
            <w:r>
              <w:rPr>
                <w:rFonts w:ascii="Times New Roman" w:hAnsi="Times New Roman"/>
                <w:sz w:val="28"/>
              </w:rPr>
              <w:t xml:space="preserve">Wenn z. B. die deutschen nationalen Behörden die Zuständigkeit für den Widerruf der Bewährungsstrafe nicht übernommen haben, dann </w:t>
            </w:r>
            <w:r>
              <w:rPr>
                <w:rFonts w:ascii="Times New Roman" w:hAnsi="Times New Roman"/>
                <w:i/>
                <w:sz w:val="28"/>
                <w:u w:val="single"/>
              </w:rPr>
              <w:t>können</w:t>
            </w:r>
            <w:r>
              <w:rPr>
                <w:rFonts w:ascii="Times New Roman" w:hAnsi="Times New Roman"/>
                <w:sz w:val="28"/>
              </w:rPr>
              <w:t xml:space="preserve"> sie die Überwachung</w:t>
            </w:r>
            <w:r>
              <w:rPr>
                <w:rFonts w:ascii="Times New Roman" w:hAnsi="Times New Roman"/>
                <w:i/>
                <w:sz w:val="28"/>
              </w:rPr>
              <w:t xml:space="preserve"> </w:t>
            </w:r>
            <w:r>
              <w:rPr>
                <w:rFonts w:ascii="Times New Roman" w:hAnsi="Times New Roman"/>
                <w:sz w:val="28"/>
              </w:rPr>
              <w:t xml:space="preserve">an die zuständigen Behörden des Ausstellungsmitgliedstaats </w:t>
            </w:r>
            <w:r>
              <w:rPr>
                <w:rFonts w:ascii="Times New Roman" w:hAnsi="Times New Roman"/>
                <w:i/>
                <w:sz w:val="28"/>
                <w:u w:val="single"/>
              </w:rPr>
              <w:t>zurückübertragen</w:t>
            </w:r>
            <w:r>
              <w:rPr>
                <w:rFonts w:ascii="Times New Roman" w:hAnsi="Times New Roman"/>
                <w:sz w:val="28"/>
              </w:rPr>
              <w:t>.</w:t>
            </w:r>
          </w:p>
          <w:p w14:paraId="74F7DE7C" w14:textId="77777777" w:rsidR="006856B3" w:rsidRPr="003E5188" w:rsidRDefault="00246D57" w:rsidP="00A257D5">
            <w:pPr>
              <w:ind w:left="84"/>
              <w:jc w:val="both"/>
              <w:rPr>
                <w:rFonts w:ascii="Times New Roman" w:hAnsi="Times New Roman"/>
                <w:sz w:val="28"/>
                <w:szCs w:val="28"/>
              </w:rPr>
            </w:pPr>
            <w:r>
              <w:rPr>
                <w:rFonts w:ascii="Times New Roman" w:hAnsi="Times New Roman"/>
                <w:sz w:val="28"/>
              </w:rPr>
              <w:t>Der RBR stoppt hier und sieht kein weiteres Verfahren vor, das von den beiden beteiligten zuständigen Behörden zu befolgen ist. Alles Weitere bleibt auf nationaler Ebene zu regeln, und selbst die Ablehnung der Rückübertragung der Überwachung durch den Ausstellungsmitgliedstaat ist in dieser Situation nicht auszuschließen.</w:t>
            </w:r>
          </w:p>
          <w:p w14:paraId="641F339B" w14:textId="77777777" w:rsidR="006856B3" w:rsidRPr="003E5188" w:rsidRDefault="00246D57" w:rsidP="00A257D5">
            <w:pPr>
              <w:ind w:left="84"/>
              <w:jc w:val="both"/>
              <w:rPr>
                <w:rFonts w:ascii="Times New Roman" w:hAnsi="Times New Roman"/>
                <w:sz w:val="28"/>
                <w:szCs w:val="28"/>
              </w:rPr>
            </w:pPr>
            <w:r>
              <w:rPr>
                <w:rFonts w:ascii="Times New Roman" w:hAnsi="Times New Roman"/>
                <w:sz w:val="28"/>
              </w:rPr>
              <w:t>Artikel 20 Absatz 3 besagt nur, dass im Falle einer Rückübertragung der Zuständigkeit an den Ausstellungsstaat dessen zuständige Behörde die Zuständigkeit wieder wahrnimmt. Bei der weiteren Überwachung der Bewährungsmaßnahmen oder alternativen Sanktionen berücksichtigt die zuständige Behörde des Ausstellungsstaats die Dauer und den Grad der Einhaltung der Bewährungsmaßnahmen oder alternativen Sanktionen im Vollstreckungsstaat sowie etwaige Entscheidungen des Vollstreckungsstaats nach Artikel 16 Absatz 1.</w:t>
            </w:r>
          </w:p>
        </w:tc>
      </w:tr>
    </w:tbl>
    <w:p w14:paraId="05CD0127" w14:textId="77777777" w:rsidR="006856B3" w:rsidRPr="003E5188" w:rsidRDefault="006856B3" w:rsidP="00A257D5">
      <w:pPr>
        <w:jc w:val="both"/>
        <w:rPr>
          <w:rFonts w:ascii="Times New Roman" w:hAnsi="Times New Roman"/>
          <w:i/>
          <w:iCs/>
          <w:sz w:val="28"/>
          <w:szCs w:val="28"/>
          <w:lang w:val="en-GB"/>
        </w:rPr>
      </w:pPr>
    </w:p>
    <w:tbl>
      <w:tblPr>
        <w:tblW w:w="8910" w:type="dxa"/>
        <w:tblInd w:w="85" w:type="dxa"/>
        <w:tblCellMar>
          <w:left w:w="10" w:type="dxa"/>
          <w:right w:w="10" w:type="dxa"/>
        </w:tblCellMar>
        <w:tblLook w:val="0000" w:firstRow="0" w:lastRow="0" w:firstColumn="0" w:lastColumn="0" w:noHBand="0" w:noVBand="0"/>
      </w:tblPr>
      <w:tblGrid>
        <w:gridCol w:w="8910"/>
      </w:tblGrid>
      <w:tr w:rsidR="006856B3" w:rsidRPr="003E5188" w14:paraId="596584A5" w14:textId="77777777" w:rsidTr="00326B60">
        <w:trPr>
          <w:trHeight w:val="1776"/>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24B1D910" w14:textId="6CB274D0" w:rsidR="006856B3" w:rsidRPr="003E5188" w:rsidRDefault="00246D57" w:rsidP="00A257D5">
            <w:pPr>
              <w:ind w:left="36"/>
              <w:jc w:val="both"/>
              <w:rPr>
                <w:rFonts w:ascii="Times New Roman" w:hAnsi="Times New Roman"/>
              </w:rPr>
            </w:pPr>
            <w:r>
              <w:rPr>
                <w:rFonts w:ascii="Times New Roman" w:hAnsi="Times New Roman"/>
                <w:sz w:val="28"/>
              </w:rPr>
              <w:t xml:space="preserve">Hat die verurteilte Person </w:t>
            </w:r>
            <w:r>
              <w:rPr>
                <w:rFonts w:ascii="Times New Roman" w:hAnsi="Times New Roman"/>
                <w:i/>
                <w:sz w:val="28"/>
              </w:rPr>
              <w:t>keinen rechtmäßigen und gewöhnlichen Aufenthalt mehr im Vollstreckungsstaat</w:t>
            </w:r>
            <w:r>
              <w:rPr>
                <w:rFonts w:ascii="Times New Roman" w:hAnsi="Times New Roman"/>
                <w:sz w:val="28"/>
              </w:rPr>
              <w:t>, so wird die Situation für den Vollstreckungs</w:t>
            </w:r>
            <w:r w:rsidR="007A6D31">
              <w:rPr>
                <w:rFonts w:ascii="Times New Roman" w:hAnsi="Times New Roman"/>
                <w:sz w:val="28"/>
              </w:rPr>
              <w:softHyphen/>
            </w:r>
            <w:r>
              <w:rPr>
                <w:rFonts w:ascii="Times New Roman" w:hAnsi="Times New Roman"/>
                <w:sz w:val="28"/>
              </w:rPr>
              <w:t xml:space="preserve">mitgliedstaat die gleiche wie für den Ausstellungsmitgliedstaat. </w:t>
            </w:r>
          </w:p>
          <w:p w14:paraId="55E0EE83" w14:textId="77777777" w:rsidR="006856B3" w:rsidRPr="003E5188" w:rsidRDefault="00246D57" w:rsidP="00A257D5">
            <w:pPr>
              <w:ind w:left="84"/>
              <w:jc w:val="both"/>
              <w:rPr>
                <w:rFonts w:ascii="Times New Roman" w:hAnsi="Times New Roman"/>
              </w:rPr>
            </w:pPr>
            <w:r>
              <w:rPr>
                <w:rFonts w:ascii="Times New Roman" w:hAnsi="Times New Roman"/>
                <w:sz w:val="28"/>
              </w:rPr>
              <w:t xml:space="preserve">Der RBR sieht in Artikel 20 die Möglichkeit vor, die Zuständigkeit für die Überwachung der Bewährungsmaßnahmen oder alternativen Sanktionen und für alle Folgeentscheidungen im Zusammenhang mit dem Urteil </w:t>
            </w:r>
            <w:r>
              <w:rPr>
                <w:rFonts w:ascii="Times New Roman" w:hAnsi="Times New Roman"/>
                <w:i/>
                <w:sz w:val="28"/>
              </w:rPr>
              <w:t>zurück</w:t>
            </w:r>
            <w:r>
              <w:rPr>
                <w:rFonts w:ascii="Times New Roman" w:hAnsi="Times New Roman"/>
                <w:sz w:val="28"/>
              </w:rPr>
              <w:t xml:space="preserve"> an die zuständige Behörde des Ausstellungsstaats zu übertragen. Der RBR sieht erneut kein weiteres Verfahren vor, das von den beiden beteiligten zuständigen Behörden zu befolgen ist.</w:t>
            </w:r>
          </w:p>
          <w:p w14:paraId="312AFE2B" w14:textId="77777777" w:rsidR="006856B3" w:rsidRPr="003E5188" w:rsidRDefault="00246D57" w:rsidP="00A257D5">
            <w:pPr>
              <w:ind w:left="84"/>
              <w:jc w:val="both"/>
              <w:rPr>
                <w:rFonts w:ascii="Times New Roman" w:hAnsi="Times New Roman"/>
                <w:sz w:val="28"/>
                <w:szCs w:val="28"/>
              </w:rPr>
            </w:pPr>
            <w:r>
              <w:rPr>
                <w:rFonts w:ascii="Times New Roman" w:hAnsi="Times New Roman"/>
                <w:sz w:val="28"/>
              </w:rPr>
              <w:t xml:space="preserve">Wird die Rückübertragung an den Ausstellungsmitgliedstaat bewilligt und hat die verurteilte Person einen rechtmäßigen und gewöhnlichen Aufenthalt in einem anderen MS, dann ist wieder Artikel 5 Absatz 1 des RBR anwendbar. </w:t>
            </w:r>
          </w:p>
        </w:tc>
      </w:tr>
    </w:tbl>
    <w:p w14:paraId="269EA3A8" w14:textId="77777777" w:rsidR="006856B3" w:rsidRPr="003E5188" w:rsidRDefault="006856B3" w:rsidP="00A257D5">
      <w:pPr>
        <w:rPr>
          <w:rFonts w:ascii="Times New Roman" w:hAnsi="Times New Roman"/>
          <w:sz w:val="28"/>
          <w:szCs w:val="28"/>
          <w:lang w:val="en-GB"/>
        </w:rPr>
      </w:pPr>
    </w:p>
    <w:p w14:paraId="2EF92538" w14:textId="77777777" w:rsidR="003449E4" w:rsidRPr="003E5188" w:rsidRDefault="003449E4" w:rsidP="00A257D5">
      <w:pPr>
        <w:ind w:left="810"/>
        <w:jc w:val="both"/>
        <w:rPr>
          <w:lang w:val="en-GB"/>
        </w:rPr>
      </w:pPr>
    </w:p>
    <w:p w14:paraId="2715B03C" w14:textId="77777777" w:rsidR="003449E4" w:rsidRPr="003E5188" w:rsidRDefault="003449E4" w:rsidP="00A257D5">
      <w:pPr>
        <w:ind w:left="810"/>
        <w:jc w:val="both"/>
        <w:rPr>
          <w:lang w:val="en-GB"/>
        </w:rPr>
      </w:pPr>
    </w:p>
    <w:p w14:paraId="0616ADF0" w14:textId="77777777" w:rsidR="003449E4" w:rsidRPr="003E5188" w:rsidRDefault="003449E4">
      <w:pPr>
        <w:suppressAutoHyphens w:val="0"/>
        <w:autoSpaceDN/>
        <w:spacing w:after="0"/>
        <w:textAlignment w:val="auto"/>
      </w:pPr>
      <w:r>
        <w:br w:type="page"/>
      </w:r>
    </w:p>
    <w:p w14:paraId="2F1B963F" w14:textId="77777777" w:rsidR="00A81F6A" w:rsidRPr="003E5188" w:rsidRDefault="0022585C" w:rsidP="0022585C">
      <w:pPr>
        <w:pStyle w:val="Test"/>
        <w:shd w:val="clear" w:color="auto" w:fill="DED888"/>
        <w:spacing w:after="160"/>
        <w:jc w:val="center"/>
        <w:rPr>
          <w:rStyle w:val="Fett"/>
          <w:rFonts w:ascii="Times New Roman" w:hAnsi="Times New Roman"/>
          <w:b/>
          <w:color w:val="2F5496" w:themeColor="accent1" w:themeShade="BF"/>
          <w:sz w:val="32"/>
          <w:szCs w:val="32"/>
        </w:rPr>
      </w:pPr>
      <w:r>
        <w:rPr>
          <w:rStyle w:val="Fett"/>
          <w:rFonts w:ascii="Times New Roman" w:hAnsi="Times New Roman"/>
          <w:b/>
          <w:color w:val="2F5496" w:themeColor="accent1" w:themeShade="BF"/>
          <w:sz w:val="32"/>
        </w:rPr>
        <w:lastRenderedPageBreak/>
        <w:t>Anhang. Schritt-für-Schritt-Lösungen</w:t>
      </w:r>
    </w:p>
    <w:p w14:paraId="505FC25B" w14:textId="77777777" w:rsidR="0022585C" w:rsidRPr="003E5188" w:rsidRDefault="0022585C" w:rsidP="0022585C">
      <w:pPr>
        <w:spacing w:after="0"/>
        <w:jc w:val="both"/>
        <w:rPr>
          <w:rFonts w:ascii="Times New Roman" w:hAnsi="Times New Roman"/>
          <w:b/>
          <w:bCs/>
          <w:sz w:val="28"/>
          <w:szCs w:val="28"/>
          <w:lang w:val="en-GB"/>
        </w:rPr>
      </w:pPr>
    </w:p>
    <w:p w14:paraId="04B0043D" w14:textId="77777777" w:rsidR="00A81F6A" w:rsidRPr="00E00D02" w:rsidRDefault="00A81F6A" w:rsidP="00E00D02">
      <w:pPr>
        <w:pStyle w:val="Listenabsatz"/>
        <w:numPr>
          <w:ilvl w:val="0"/>
          <w:numId w:val="39"/>
        </w:numPr>
        <w:suppressAutoHyphens w:val="0"/>
        <w:autoSpaceDN/>
        <w:spacing w:after="0"/>
        <w:ind w:left="426" w:hanging="436"/>
        <w:contextualSpacing/>
        <w:jc w:val="both"/>
        <w:textAlignment w:val="auto"/>
        <w:rPr>
          <w:rFonts w:ascii="Times New Roman" w:eastAsiaTheme="minorHAnsi" w:hAnsi="Times New Roman"/>
          <w:b/>
          <w:color w:val="FF0000"/>
          <w:sz w:val="28"/>
          <w:szCs w:val="28"/>
        </w:rPr>
      </w:pPr>
      <w:r>
        <w:rPr>
          <w:rFonts w:ascii="Times New Roman" w:hAnsi="Times New Roman"/>
          <w:b/>
          <w:color w:val="FF0000"/>
          <w:sz w:val="28"/>
        </w:rPr>
        <w:t>Eine deutsche zuständige Behörde möchte die Überwachung der verurteilten Person A.N. übertragen, die ihren rechtmäßigen und gewöhnlichen Aufenthalt in Brüssel, Belgien, hat.</w:t>
      </w:r>
    </w:p>
    <w:p w14:paraId="6F9F5034" w14:textId="77777777" w:rsidR="00A81F6A" w:rsidRPr="003E5188" w:rsidRDefault="00A81F6A" w:rsidP="00A81F6A">
      <w:pPr>
        <w:spacing w:after="0"/>
        <w:ind w:left="720"/>
        <w:jc w:val="both"/>
        <w:rPr>
          <w:rFonts w:ascii="Times New Roman" w:hAnsi="Times New Roman"/>
          <w:sz w:val="28"/>
          <w:szCs w:val="28"/>
          <w:lang w:val="en-GB"/>
        </w:rPr>
      </w:pPr>
    </w:p>
    <w:p w14:paraId="4DD4D5FF" w14:textId="77777777" w:rsidR="00A81F6A" w:rsidRPr="003E5188" w:rsidRDefault="00A81F6A" w:rsidP="00A81F6A">
      <w:pPr>
        <w:spacing w:after="0"/>
        <w:ind w:left="720"/>
        <w:jc w:val="both"/>
        <w:rPr>
          <w:rFonts w:ascii="Times New Roman" w:hAnsi="Times New Roman"/>
          <w:sz w:val="28"/>
          <w:szCs w:val="28"/>
          <w:lang w:val="en-GB"/>
        </w:rPr>
      </w:pPr>
    </w:p>
    <w:p w14:paraId="79228242" w14:textId="77777777" w:rsidR="00A81F6A" w:rsidRPr="003E5188" w:rsidRDefault="00A81F6A" w:rsidP="00A81F6A">
      <w:pPr>
        <w:spacing w:after="0"/>
        <w:ind w:left="360"/>
        <w:jc w:val="both"/>
        <w:rPr>
          <w:rFonts w:ascii="Times New Roman" w:hAnsi="Times New Roman"/>
          <w:sz w:val="28"/>
          <w:szCs w:val="28"/>
        </w:rPr>
      </w:pPr>
      <w:r>
        <w:rPr>
          <w:rFonts w:ascii="Times New Roman" w:hAnsi="Times New Roman"/>
          <w:sz w:val="28"/>
        </w:rPr>
        <w:t xml:space="preserve">1. Um die zuständige Behörde zu bestimmen, wählen wir </w:t>
      </w:r>
      <w:r>
        <w:rPr>
          <w:rFonts w:ascii="Times New Roman" w:hAnsi="Times New Roman"/>
          <w:b/>
          <w:sz w:val="28"/>
        </w:rPr>
        <w:t>Belgien</w:t>
      </w:r>
      <w:r>
        <w:rPr>
          <w:rFonts w:ascii="Times New Roman" w:hAnsi="Times New Roman"/>
          <w:sz w:val="28"/>
        </w:rPr>
        <w:t xml:space="preserve"> als ausgewähltes Land (BE). Dann wählen wir, wie unten gezeigt, den Abschnitt </w:t>
      </w:r>
      <w:r>
        <w:rPr>
          <w:rFonts w:ascii="Times New Roman" w:hAnsi="Times New Roman"/>
          <w:b/>
          <w:sz w:val="28"/>
        </w:rPr>
        <w:t>Atlas</w:t>
      </w:r>
      <w:r>
        <w:rPr>
          <w:rFonts w:ascii="Times New Roman" w:hAnsi="Times New Roman"/>
          <w:sz w:val="28"/>
        </w:rPr>
        <w:t>.</w:t>
      </w:r>
    </w:p>
    <w:p w14:paraId="3BEC0A06" w14:textId="77777777" w:rsidR="00A81F6A" w:rsidRPr="003E5188" w:rsidRDefault="00A81046" w:rsidP="00A81F6A">
      <w:pPr>
        <w:spacing w:after="0"/>
        <w:ind w:left="360"/>
        <w:jc w:val="both"/>
        <w:rPr>
          <w:rFonts w:ascii="Times New Roman" w:hAnsi="Times New Roman"/>
          <w:sz w:val="28"/>
          <w:szCs w:val="28"/>
        </w:rPr>
      </w:pPr>
      <w:r>
        <w:rPr>
          <w:rFonts w:ascii="Times New Roman" w:hAnsi="Times New Roman"/>
          <w:noProof/>
          <w:sz w:val="28"/>
        </w:rPr>
        <mc:AlternateContent>
          <mc:Choice Requires="wps">
            <w:drawing>
              <wp:anchor distT="0" distB="0" distL="114300" distR="114300" simplePos="0" relativeHeight="251659264" behindDoc="0" locked="0" layoutInCell="1" allowOverlap="1" wp14:anchorId="7B2CA3FE" wp14:editId="7A9C4FCA">
                <wp:simplePos x="0" y="0"/>
                <wp:positionH relativeFrom="column">
                  <wp:posOffset>-25400</wp:posOffset>
                </wp:positionH>
                <wp:positionV relativeFrom="paragraph">
                  <wp:posOffset>178435</wp:posOffset>
                </wp:positionV>
                <wp:extent cx="5791200" cy="4648200"/>
                <wp:effectExtent l="0" t="0" r="19050" b="19050"/>
                <wp:wrapNone/>
                <wp:docPr id="11" name="Téglalap 11"/>
                <wp:cNvGraphicFramePr/>
                <a:graphic xmlns:a="http://schemas.openxmlformats.org/drawingml/2006/main">
                  <a:graphicData uri="http://schemas.microsoft.com/office/word/2010/wordprocessingShape">
                    <wps:wsp>
                      <wps:cNvSpPr/>
                      <wps:spPr>
                        <a:xfrm>
                          <a:off x="0" y="0"/>
                          <a:ext cx="5791200" cy="4648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A0229A" id="Téglalap 11" o:spid="_x0000_s1026" style="position:absolute;margin-left:-2pt;margin-top:14.05pt;width:456pt;height:36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" filled="f" strokecolor="black [3213]" strokeweight="1pt"/>
            </w:pict>
          </mc:Fallback>
        </mc:AlternateContent>
      </w:r>
    </w:p>
    <w:p w14:paraId="69495F52" w14:textId="77777777" w:rsidR="00A81F6A" w:rsidRPr="003E5188" w:rsidRDefault="00A81F6A" w:rsidP="00A81F6A">
      <w:pPr>
        <w:spacing w:after="0"/>
        <w:jc w:val="both"/>
        <w:rPr>
          <w:noProof/>
        </w:rPr>
      </w:pPr>
      <w:r>
        <w:rPr>
          <w:noProof/>
        </w:rPr>
        <w:drawing>
          <wp:inline distT="0" distB="0" distL="0" distR="0" wp14:anchorId="59ADF6C9" wp14:editId="01E16759">
            <wp:extent cx="5734050" cy="4495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4495800"/>
                    </a:xfrm>
                    <a:prstGeom prst="rect">
                      <a:avLst/>
                    </a:prstGeom>
                    <a:noFill/>
                    <a:ln>
                      <a:noFill/>
                    </a:ln>
                  </pic:spPr>
                </pic:pic>
              </a:graphicData>
            </a:graphic>
          </wp:inline>
        </w:drawing>
      </w:r>
    </w:p>
    <w:p w14:paraId="3EDAB025" w14:textId="77777777" w:rsidR="00A81F6A" w:rsidRPr="003E5188" w:rsidRDefault="00A81F6A" w:rsidP="00A81F6A">
      <w:pPr>
        <w:spacing w:after="0"/>
        <w:jc w:val="both"/>
        <w:rPr>
          <w:noProof/>
          <w:lang w:val="en-GB"/>
        </w:rPr>
      </w:pPr>
    </w:p>
    <w:p w14:paraId="66A44FBC" w14:textId="77777777" w:rsidR="00A81F6A" w:rsidRPr="003E5188" w:rsidRDefault="00A81F6A" w:rsidP="00A81F6A">
      <w:pPr>
        <w:spacing w:after="0"/>
        <w:jc w:val="both"/>
        <w:rPr>
          <w:noProof/>
          <w:lang w:val="en-GB"/>
        </w:rPr>
      </w:pPr>
    </w:p>
    <w:p w14:paraId="4893C666" w14:textId="77777777" w:rsidR="008C5592" w:rsidRPr="003E5188" w:rsidRDefault="008C5592" w:rsidP="00A257D5">
      <w:pPr>
        <w:ind w:left="810"/>
        <w:jc w:val="both"/>
        <w:rPr>
          <w:rFonts w:ascii="Times New Roman" w:hAnsi="Times New Roman"/>
          <w:lang w:val="en-GB"/>
        </w:rPr>
      </w:pPr>
    </w:p>
    <w:p w14:paraId="682F0E7E" w14:textId="77777777" w:rsidR="008C5592" w:rsidRPr="003E5188" w:rsidRDefault="008C5592" w:rsidP="00A257D5">
      <w:pPr>
        <w:ind w:left="810"/>
        <w:jc w:val="both"/>
        <w:rPr>
          <w:rFonts w:ascii="Times New Roman" w:hAnsi="Times New Roman"/>
          <w:lang w:val="en-GB"/>
        </w:rPr>
      </w:pPr>
    </w:p>
    <w:p w14:paraId="704BF700" w14:textId="77777777" w:rsidR="00DB530F" w:rsidRPr="003E5188" w:rsidRDefault="00DB530F">
      <w:pPr>
        <w:suppressAutoHyphens w:val="0"/>
        <w:autoSpaceDN/>
        <w:spacing w:after="0"/>
        <w:textAlignment w:val="auto"/>
        <w:rPr>
          <w:rFonts w:ascii="Times New Roman" w:hAnsi="Times New Roman"/>
        </w:rPr>
      </w:pPr>
      <w:r>
        <w:br w:type="page"/>
      </w:r>
    </w:p>
    <w:p w14:paraId="2D4FA52D" w14:textId="77777777" w:rsidR="00DB530F" w:rsidRPr="003E5188" w:rsidRDefault="00DB530F" w:rsidP="00DB530F">
      <w:pPr>
        <w:spacing w:after="0"/>
        <w:ind w:left="360"/>
        <w:jc w:val="both"/>
        <w:rPr>
          <w:rFonts w:ascii="Times New Roman" w:hAnsi="Times New Roman"/>
          <w:sz w:val="28"/>
          <w:szCs w:val="28"/>
        </w:rPr>
      </w:pPr>
      <w:r>
        <w:rPr>
          <w:rFonts w:ascii="Times New Roman" w:hAnsi="Times New Roman"/>
          <w:sz w:val="28"/>
        </w:rPr>
        <w:lastRenderedPageBreak/>
        <w:t xml:space="preserve">2. Wir wählen die Maßnahme </w:t>
      </w:r>
      <w:r>
        <w:rPr>
          <w:rFonts w:ascii="Times New Roman" w:hAnsi="Times New Roman"/>
          <w:b/>
          <w:sz w:val="28"/>
        </w:rPr>
        <w:t>904. Bewährungsmaßnahmen</w:t>
      </w:r>
      <w:r>
        <w:rPr>
          <w:rFonts w:ascii="Times New Roman" w:hAnsi="Times New Roman"/>
          <w:sz w:val="28"/>
        </w:rPr>
        <w:t xml:space="preserve">. Dann wählen wir, wie unten gezeigt, die Schaltfläche </w:t>
      </w:r>
      <w:r>
        <w:rPr>
          <w:rFonts w:ascii="Times New Roman" w:hAnsi="Times New Roman"/>
          <w:b/>
          <w:sz w:val="28"/>
        </w:rPr>
        <w:t>Weiter</w:t>
      </w:r>
      <w:r>
        <w:rPr>
          <w:rFonts w:ascii="Times New Roman" w:hAnsi="Times New Roman"/>
          <w:sz w:val="28"/>
        </w:rPr>
        <w:t>.</w:t>
      </w:r>
    </w:p>
    <w:p w14:paraId="638071A8" w14:textId="77777777" w:rsidR="00DB530F" w:rsidRPr="003E5188" w:rsidRDefault="00A81046" w:rsidP="00DB530F">
      <w:pPr>
        <w:spacing w:after="0"/>
        <w:ind w:left="360"/>
        <w:jc w:val="both"/>
        <w:rPr>
          <w:rFonts w:ascii="Times New Roman" w:hAnsi="Times New Roman"/>
          <w:sz w:val="28"/>
          <w:szCs w:val="28"/>
        </w:rPr>
      </w:pPr>
      <w:r>
        <w:rPr>
          <w:rFonts w:ascii="Times New Roman" w:hAnsi="Times New Roman"/>
          <w:noProof/>
          <w:sz w:val="28"/>
        </w:rPr>
        <mc:AlternateContent>
          <mc:Choice Requires="wps">
            <w:drawing>
              <wp:anchor distT="0" distB="0" distL="114300" distR="114300" simplePos="0" relativeHeight="251660288" behindDoc="0" locked="0" layoutInCell="1" allowOverlap="1" wp14:anchorId="3F466B24" wp14:editId="0B892B8F">
                <wp:simplePos x="0" y="0"/>
                <wp:positionH relativeFrom="column">
                  <wp:posOffset>-42333</wp:posOffset>
                </wp:positionH>
                <wp:positionV relativeFrom="paragraph">
                  <wp:posOffset>158327</wp:posOffset>
                </wp:positionV>
                <wp:extent cx="5833533" cy="3293533"/>
                <wp:effectExtent l="0" t="0" r="15240" b="21590"/>
                <wp:wrapNone/>
                <wp:docPr id="12" name="Téglalap 12"/>
                <wp:cNvGraphicFramePr/>
                <a:graphic xmlns:a="http://schemas.openxmlformats.org/drawingml/2006/main">
                  <a:graphicData uri="http://schemas.microsoft.com/office/word/2010/wordprocessingShape">
                    <wps:wsp>
                      <wps:cNvSpPr/>
                      <wps:spPr>
                        <a:xfrm>
                          <a:off x="0" y="0"/>
                          <a:ext cx="5833533" cy="32935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B4D660" id="Téglalap 12" o:spid="_x0000_s1026" style="position:absolute;margin-left:-3.35pt;margin-top:12.45pt;width:459.35pt;height:259.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" filled="f" strokecolor="black [3213]" strokeweight="1pt"/>
            </w:pict>
          </mc:Fallback>
        </mc:AlternateContent>
      </w:r>
    </w:p>
    <w:p w14:paraId="519530B8" w14:textId="77777777" w:rsidR="00DB530F" w:rsidRPr="003E5188" w:rsidRDefault="00DB530F" w:rsidP="00DB530F">
      <w:pPr>
        <w:spacing w:after="0"/>
        <w:jc w:val="both"/>
        <w:rPr>
          <w:rFonts w:ascii="Times New Roman" w:hAnsi="Times New Roman"/>
          <w:sz w:val="28"/>
          <w:szCs w:val="28"/>
        </w:rPr>
      </w:pPr>
      <w:r>
        <w:rPr>
          <w:noProof/>
        </w:rPr>
        <w:drawing>
          <wp:inline distT="0" distB="0" distL="0" distR="0" wp14:anchorId="2858D183" wp14:editId="726A49C8">
            <wp:extent cx="5734050" cy="31908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3190875"/>
                    </a:xfrm>
                    <a:prstGeom prst="rect">
                      <a:avLst/>
                    </a:prstGeom>
                    <a:noFill/>
                    <a:ln>
                      <a:noFill/>
                    </a:ln>
                  </pic:spPr>
                </pic:pic>
              </a:graphicData>
            </a:graphic>
          </wp:inline>
        </w:drawing>
      </w:r>
    </w:p>
    <w:p w14:paraId="637AD1E4" w14:textId="77777777" w:rsidR="00DB530F" w:rsidRPr="003E5188" w:rsidRDefault="00DB530F" w:rsidP="00DB530F">
      <w:pPr>
        <w:spacing w:after="0"/>
        <w:jc w:val="both"/>
        <w:rPr>
          <w:rFonts w:ascii="Times New Roman" w:hAnsi="Times New Roman"/>
          <w:sz w:val="28"/>
          <w:szCs w:val="28"/>
          <w:lang w:val="en-GB"/>
        </w:rPr>
      </w:pPr>
    </w:p>
    <w:p w14:paraId="79D309DE" w14:textId="77777777" w:rsidR="00DB530F" w:rsidRPr="003E5188" w:rsidRDefault="00DB530F" w:rsidP="00DB530F">
      <w:pPr>
        <w:spacing w:after="0"/>
        <w:ind w:left="360"/>
        <w:jc w:val="both"/>
        <w:rPr>
          <w:rFonts w:ascii="Times New Roman" w:hAnsi="Times New Roman"/>
          <w:sz w:val="28"/>
          <w:szCs w:val="28"/>
        </w:rPr>
      </w:pPr>
      <w:r>
        <w:rPr>
          <w:rFonts w:ascii="Times New Roman" w:hAnsi="Times New Roman"/>
          <w:sz w:val="28"/>
        </w:rPr>
        <w:t xml:space="preserve">3. An dieser Stelle muss gewählt werden, ob es sich um die Erteilung der Zustimmung gemäß Art. 5 Abs. 2 des RBR (Übermittlung des Urteils und gegebenenfalls der Bewährungsentscheidung an eine zuständige Behörde in einem </w:t>
      </w:r>
      <w:r>
        <w:rPr>
          <w:rFonts w:ascii="Times New Roman" w:hAnsi="Times New Roman"/>
          <w:b/>
          <w:sz w:val="28"/>
        </w:rPr>
        <w:t>anderen</w:t>
      </w:r>
      <w:r>
        <w:rPr>
          <w:rFonts w:ascii="Times New Roman" w:hAnsi="Times New Roman"/>
          <w:sz w:val="28"/>
        </w:rPr>
        <w:t xml:space="preserve"> Mitgliedstaat </w:t>
      </w:r>
      <w:r>
        <w:rPr>
          <w:rFonts w:ascii="Times New Roman" w:hAnsi="Times New Roman"/>
          <w:b/>
          <w:sz w:val="28"/>
        </w:rPr>
        <w:t>als dem Mitgliedstaat, in dem die verurteilte Person ihren rechtmäßigen und gewöhnlichen Aufenthalt hat, sofern letztgenannte Behörde der Übermittlung zugestimmt hat</w:t>
      </w:r>
      <w:r>
        <w:rPr>
          <w:rFonts w:ascii="Times New Roman" w:hAnsi="Times New Roman"/>
          <w:sz w:val="28"/>
        </w:rPr>
        <w:t xml:space="preserve">) oder um ein Ersuchen um Anerkennung und Überwachung von Maßnahmen gemäß Art. 1 des RBR </w:t>
      </w:r>
      <w:r>
        <w:rPr>
          <w:rFonts w:ascii="Times New Roman" w:hAnsi="Times New Roman"/>
          <w:b/>
          <w:sz w:val="28"/>
        </w:rPr>
        <w:t>(die verurteilte Person hat ihren rechtmäßigen und gewöhnlichen Aufenthalt in diesem MS</w:t>
      </w:r>
      <w:r>
        <w:rPr>
          <w:rFonts w:ascii="Times New Roman" w:hAnsi="Times New Roman"/>
          <w:sz w:val="28"/>
        </w:rPr>
        <w:t xml:space="preserve">) handelt. In unserem Fall ist es die zweite Option. Dann wählen wir, wie unten gezeigt, die Schaltfläche </w:t>
      </w:r>
      <w:r>
        <w:rPr>
          <w:rFonts w:ascii="Times New Roman" w:hAnsi="Times New Roman"/>
          <w:b/>
          <w:sz w:val="28"/>
        </w:rPr>
        <w:t>Weiter</w:t>
      </w:r>
      <w:r>
        <w:rPr>
          <w:rFonts w:ascii="Times New Roman" w:hAnsi="Times New Roman"/>
          <w:sz w:val="28"/>
        </w:rPr>
        <w:t>.</w:t>
      </w:r>
    </w:p>
    <w:p w14:paraId="302E7506" w14:textId="77777777" w:rsidR="00DB530F" w:rsidRPr="003E5188" w:rsidRDefault="00DB530F" w:rsidP="00DB530F">
      <w:pPr>
        <w:spacing w:after="0"/>
        <w:jc w:val="both"/>
        <w:rPr>
          <w:rFonts w:ascii="Times New Roman" w:hAnsi="Times New Roman"/>
          <w:sz w:val="28"/>
          <w:szCs w:val="28"/>
          <w:lang w:val="en-GB"/>
        </w:rPr>
      </w:pPr>
    </w:p>
    <w:p w14:paraId="61569D4D" w14:textId="1EFB49B9" w:rsidR="00DB530F" w:rsidRPr="003E5188" w:rsidRDefault="00BF2075" w:rsidP="00DB530F">
      <w:pPr>
        <w:spacing w:after="0"/>
        <w:jc w:val="both"/>
        <w:rPr>
          <w:noProof/>
        </w:rPr>
      </w:pPr>
      <w:r>
        <w:rPr>
          <w:rFonts w:ascii="Times New Roman" w:hAnsi="Times New Roman"/>
          <w:noProof/>
          <w:sz w:val="28"/>
          <w:szCs w:val="28"/>
          <w:lang w:val="fr-FR" w:eastAsia="fr-FR"/>
        </w:rPr>
        <mc:AlternateContent>
          <mc:Choice Requires="wps">
            <w:drawing>
              <wp:anchor distT="0" distB="0" distL="114300" distR="114300" simplePos="0" relativeHeight="251678720" behindDoc="0" locked="0" layoutInCell="1" allowOverlap="1" wp14:anchorId="29480F5B" wp14:editId="4C81E508">
                <wp:simplePos x="0" y="0"/>
                <wp:positionH relativeFrom="column">
                  <wp:posOffset>0</wp:posOffset>
                </wp:positionH>
                <wp:positionV relativeFrom="paragraph">
                  <wp:posOffset>-635</wp:posOffset>
                </wp:positionV>
                <wp:extent cx="5774267" cy="2446867"/>
                <wp:effectExtent l="0" t="0" r="17145" b="10795"/>
                <wp:wrapNone/>
                <wp:docPr id="15" name="Téglalap 15"/>
                <wp:cNvGraphicFramePr/>
                <a:graphic xmlns:a="http://schemas.openxmlformats.org/drawingml/2006/main">
                  <a:graphicData uri="http://schemas.microsoft.com/office/word/2010/wordprocessingShape">
                    <wps:wsp>
                      <wps:cNvSpPr/>
                      <wps:spPr>
                        <a:xfrm>
                          <a:off x="0" y="0"/>
                          <a:ext cx="5774267" cy="24468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ABEA3F" id="Téglalap 15" o:spid="_x0000_s1026" style="position:absolute;margin-left:0;margin-top:-.05pt;width:454.65pt;height:192.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" filled="f" strokecolor="black [3213]" strokeweight="1pt"/>
            </w:pict>
          </mc:Fallback>
        </mc:AlternateContent>
      </w:r>
      <w:r w:rsidR="00DB530F">
        <w:rPr>
          <w:noProof/>
        </w:rPr>
        <w:drawing>
          <wp:inline distT="0" distB="0" distL="0" distR="0" wp14:anchorId="2997F2C4" wp14:editId="45490658">
            <wp:extent cx="5724525" cy="250507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2505075"/>
                    </a:xfrm>
                    <a:prstGeom prst="rect">
                      <a:avLst/>
                    </a:prstGeom>
                    <a:noFill/>
                    <a:ln>
                      <a:noFill/>
                    </a:ln>
                  </pic:spPr>
                </pic:pic>
              </a:graphicData>
            </a:graphic>
          </wp:inline>
        </w:drawing>
      </w:r>
    </w:p>
    <w:p w14:paraId="52DD8E61" w14:textId="77777777" w:rsidR="00DB530F" w:rsidRPr="003E5188" w:rsidRDefault="00DB530F" w:rsidP="00DB530F">
      <w:pPr>
        <w:spacing w:after="0"/>
        <w:ind w:left="360"/>
        <w:jc w:val="both"/>
        <w:rPr>
          <w:rFonts w:ascii="Times New Roman" w:hAnsi="Times New Roman"/>
          <w:sz w:val="28"/>
          <w:szCs w:val="28"/>
        </w:rPr>
      </w:pPr>
      <w:r>
        <w:rPr>
          <w:rFonts w:ascii="Times New Roman" w:hAnsi="Times New Roman"/>
          <w:sz w:val="28"/>
        </w:rPr>
        <w:lastRenderedPageBreak/>
        <w:t xml:space="preserve">4. Wir tragen </w:t>
      </w:r>
      <w:r>
        <w:rPr>
          <w:rFonts w:ascii="Times New Roman" w:hAnsi="Times New Roman"/>
          <w:b/>
          <w:sz w:val="28"/>
        </w:rPr>
        <w:t>Brüssel</w:t>
      </w:r>
      <w:r>
        <w:rPr>
          <w:rFonts w:ascii="Times New Roman" w:hAnsi="Times New Roman"/>
          <w:sz w:val="28"/>
        </w:rPr>
        <w:t xml:space="preserve"> ein. Dann wählen wir, wie unten gezeigt, die Schaltfläche </w:t>
      </w:r>
      <w:r>
        <w:rPr>
          <w:rFonts w:ascii="Times New Roman" w:hAnsi="Times New Roman"/>
          <w:b/>
          <w:sz w:val="28"/>
        </w:rPr>
        <w:t>Weiter</w:t>
      </w:r>
      <w:r>
        <w:rPr>
          <w:rFonts w:ascii="Times New Roman" w:hAnsi="Times New Roman"/>
          <w:sz w:val="28"/>
        </w:rPr>
        <w:t>.</w:t>
      </w:r>
    </w:p>
    <w:p w14:paraId="18AC0AC3" w14:textId="77777777" w:rsidR="00DB530F" w:rsidRPr="003E5188" w:rsidRDefault="00A81046" w:rsidP="00DB530F">
      <w:pPr>
        <w:spacing w:after="0"/>
        <w:jc w:val="both"/>
        <w:rPr>
          <w:rFonts w:ascii="Times New Roman" w:hAnsi="Times New Roman"/>
          <w:sz w:val="28"/>
          <w:szCs w:val="28"/>
        </w:rPr>
      </w:pPr>
      <w:r>
        <w:rPr>
          <w:rFonts w:ascii="Times New Roman" w:hAnsi="Times New Roman"/>
          <w:noProof/>
          <w:sz w:val="28"/>
        </w:rPr>
        <mc:AlternateContent>
          <mc:Choice Requires="wps">
            <w:drawing>
              <wp:anchor distT="0" distB="0" distL="114300" distR="114300" simplePos="0" relativeHeight="251662336" behindDoc="0" locked="0" layoutInCell="1" allowOverlap="1" wp14:anchorId="1D854034" wp14:editId="1BFCC364">
                <wp:simplePos x="0" y="0"/>
                <wp:positionH relativeFrom="column">
                  <wp:posOffset>-16933</wp:posOffset>
                </wp:positionH>
                <wp:positionV relativeFrom="paragraph">
                  <wp:posOffset>125730</wp:posOffset>
                </wp:positionV>
                <wp:extent cx="5774266" cy="4157133"/>
                <wp:effectExtent l="0" t="0" r="17145" b="15240"/>
                <wp:wrapNone/>
                <wp:docPr id="22" name="Téglalap 22"/>
                <wp:cNvGraphicFramePr/>
                <a:graphic xmlns:a="http://schemas.openxmlformats.org/drawingml/2006/main">
                  <a:graphicData uri="http://schemas.microsoft.com/office/word/2010/wordprocessingShape">
                    <wps:wsp>
                      <wps:cNvSpPr/>
                      <wps:spPr>
                        <a:xfrm>
                          <a:off x="0" y="0"/>
                          <a:ext cx="5774266" cy="41571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C9A3D2" id="Téglalap 22" o:spid="_x0000_s1026" style="position:absolute;margin-left:-1.35pt;margin-top:9.9pt;width:454.65pt;height:327.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" filled="f" strokecolor="black [3213]" strokeweight="1pt"/>
            </w:pict>
          </mc:Fallback>
        </mc:AlternateContent>
      </w:r>
    </w:p>
    <w:p w14:paraId="1B25A76B" w14:textId="77777777" w:rsidR="00DB530F" w:rsidRPr="003E5188" w:rsidRDefault="00DB530F" w:rsidP="00DB530F">
      <w:pPr>
        <w:spacing w:after="0"/>
        <w:jc w:val="both"/>
        <w:rPr>
          <w:rFonts w:ascii="Times New Roman" w:hAnsi="Times New Roman"/>
          <w:sz w:val="28"/>
          <w:szCs w:val="28"/>
        </w:rPr>
      </w:pPr>
      <w:r>
        <w:rPr>
          <w:noProof/>
        </w:rPr>
        <w:drawing>
          <wp:inline distT="0" distB="0" distL="0" distR="0" wp14:anchorId="4AE08528" wp14:editId="2261215B">
            <wp:extent cx="5734050" cy="40671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4067175"/>
                    </a:xfrm>
                    <a:prstGeom prst="rect">
                      <a:avLst/>
                    </a:prstGeom>
                    <a:noFill/>
                    <a:ln>
                      <a:noFill/>
                    </a:ln>
                  </pic:spPr>
                </pic:pic>
              </a:graphicData>
            </a:graphic>
          </wp:inline>
        </w:drawing>
      </w:r>
    </w:p>
    <w:p w14:paraId="0E947FC7" w14:textId="77777777" w:rsidR="00DB530F" w:rsidRPr="003E5188" w:rsidRDefault="00DB530F" w:rsidP="00DB530F">
      <w:pPr>
        <w:spacing w:after="0"/>
        <w:jc w:val="both"/>
        <w:rPr>
          <w:rFonts w:ascii="Times New Roman" w:hAnsi="Times New Roman"/>
          <w:sz w:val="28"/>
          <w:szCs w:val="28"/>
          <w:lang w:val="en-GB"/>
        </w:rPr>
      </w:pPr>
    </w:p>
    <w:p w14:paraId="71F6A8D7" w14:textId="77777777" w:rsidR="00DB530F" w:rsidRPr="003E5188" w:rsidRDefault="00DB530F" w:rsidP="00DB530F">
      <w:pPr>
        <w:spacing w:after="0"/>
        <w:ind w:left="360"/>
        <w:jc w:val="both"/>
        <w:rPr>
          <w:rFonts w:ascii="Times New Roman" w:hAnsi="Times New Roman"/>
          <w:sz w:val="28"/>
          <w:szCs w:val="28"/>
        </w:rPr>
      </w:pPr>
      <w:r>
        <w:rPr>
          <w:rFonts w:ascii="Times New Roman" w:hAnsi="Times New Roman"/>
          <w:sz w:val="28"/>
        </w:rPr>
        <w:t>5. Am Ende erhalten wir das unten dargestellte Ergebnis unserer Suche.</w:t>
      </w:r>
    </w:p>
    <w:p w14:paraId="1EB83F1C" w14:textId="4198A3CA" w:rsidR="00DB530F" w:rsidRPr="003E5188" w:rsidRDefault="00BF2075" w:rsidP="00DB530F">
      <w:pPr>
        <w:spacing w:after="0"/>
        <w:ind w:left="360"/>
        <w:jc w:val="both"/>
        <w:rPr>
          <w:rFonts w:ascii="Times New Roman" w:hAnsi="Times New Roman"/>
          <w:sz w:val="28"/>
          <w:szCs w:val="28"/>
        </w:rPr>
      </w:pPr>
      <w:r>
        <w:rPr>
          <w:rFonts w:ascii="Times New Roman" w:hAnsi="Times New Roman"/>
          <w:noProof/>
          <w:sz w:val="28"/>
          <w:szCs w:val="28"/>
          <w:lang w:val="fr-FR" w:eastAsia="fr-FR"/>
        </w:rPr>
        <mc:AlternateContent>
          <mc:Choice Requires="wps">
            <w:drawing>
              <wp:anchor distT="0" distB="0" distL="114300" distR="114300" simplePos="0" relativeHeight="251663872" behindDoc="0" locked="0" layoutInCell="1" allowOverlap="1" wp14:anchorId="10981633" wp14:editId="063B9600">
                <wp:simplePos x="0" y="0"/>
                <wp:positionH relativeFrom="column">
                  <wp:posOffset>0</wp:posOffset>
                </wp:positionH>
                <wp:positionV relativeFrom="paragraph">
                  <wp:posOffset>206375</wp:posOffset>
                </wp:positionV>
                <wp:extent cx="5705475" cy="3571875"/>
                <wp:effectExtent l="0" t="0" r="28575" b="28575"/>
                <wp:wrapNone/>
                <wp:docPr id="23" name="Téglalap 23"/>
                <wp:cNvGraphicFramePr/>
                <a:graphic xmlns:a="http://schemas.openxmlformats.org/drawingml/2006/main">
                  <a:graphicData uri="http://schemas.microsoft.com/office/word/2010/wordprocessingShape">
                    <wps:wsp>
                      <wps:cNvSpPr/>
                      <wps:spPr>
                        <a:xfrm>
                          <a:off x="0" y="0"/>
                          <a:ext cx="5705475" cy="3571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D1627" id="Téglalap 23" o:spid="_x0000_s1026" style="position:absolute;margin-left:0;margin-top:16.25pt;width:449.25pt;height:28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" filled="f" strokecolor="black [3213]" strokeweight="1pt"/>
            </w:pict>
          </mc:Fallback>
        </mc:AlternateContent>
      </w:r>
    </w:p>
    <w:p w14:paraId="1D59EA85" w14:textId="18103A48" w:rsidR="00DB530F" w:rsidRPr="003E5188" w:rsidRDefault="00DB530F" w:rsidP="00DB530F">
      <w:pPr>
        <w:spacing w:after="0"/>
        <w:jc w:val="both"/>
        <w:rPr>
          <w:rFonts w:ascii="Times New Roman" w:hAnsi="Times New Roman"/>
          <w:sz w:val="28"/>
          <w:szCs w:val="28"/>
        </w:rPr>
      </w:pPr>
      <w:r>
        <w:rPr>
          <w:noProof/>
        </w:rPr>
        <w:drawing>
          <wp:inline distT="0" distB="0" distL="0" distR="0" wp14:anchorId="16CCBCC4" wp14:editId="32006A95">
            <wp:extent cx="5467350" cy="347508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8613" cy="3482247"/>
                    </a:xfrm>
                    <a:prstGeom prst="rect">
                      <a:avLst/>
                    </a:prstGeom>
                    <a:noFill/>
                    <a:ln>
                      <a:noFill/>
                    </a:ln>
                  </pic:spPr>
                </pic:pic>
              </a:graphicData>
            </a:graphic>
          </wp:inline>
        </w:drawing>
      </w:r>
    </w:p>
    <w:p w14:paraId="1D869F86" w14:textId="77777777" w:rsidR="00DB530F" w:rsidRPr="00E00D02" w:rsidRDefault="00DB530F" w:rsidP="00E00D02">
      <w:pPr>
        <w:pStyle w:val="Listenabsatz"/>
        <w:numPr>
          <w:ilvl w:val="0"/>
          <w:numId w:val="39"/>
        </w:numPr>
        <w:suppressAutoHyphens w:val="0"/>
        <w:autoSpaceDN/>
        <w:spacing w:after="0"/>
        <w:ind w:left="426" w:hanging="436"/>
        <w:contextualSpacing/>
        <w:jc w:val="both"/>
        <w:textAlignment w:val="auto"/>
        <w:rPr>
          <w:rFonts w:ascii="Times New Roman" w:eastAsiaTheme="minorHAnsi" w:hAnsi="Times New Roman"/>
          <w:b/>
          <w:color w:val="FF0000"/>
          <w:sz w:val="28"/>
          <w:szCs w:val="28"/>
        </w:rPr>
      </w:pPr>
      <w:r>
        <w:rPr>
          <w:rFonts w:ascii="Times New Roman" w:hAnsi="Times New Roman"/>
          <w:b/>
          <w:color w:val="FF0000"/>
          <w:sz w:val="28"/>
        </w:rPr>
        <w:lastRenderedPageBreak/>
        <w:t>Eine französische zuständige Behörde möchte die Überwachung der verurteilten Person B.C. übertragen, die ihren rechtmäßigen und gewöhnlichen Aufenthalt in Vigo, Spanien, hat.</w:t>
      </w:r>
    </w:p>
    <w:p w14:paraId="50A29BCA" w14:textId="77777777" w:rsidR="00DB530F" w:rsidRPr="003E5188" w:rsidRDefault="00DB530F" w:rsidP="00DB530F">
      <w:pPr>
        <w:spacing w:after="0"/>
        <w:jc w:val="both"/>
        <w:rPr>
          <w:rFonts w:ascii="Times New Roman" w:hAnsi="Times New Roman"/>
          <w:sz w:val="28"/>
          <w:szCs w:val="28"/>
          <w:lang w:val="en-GB"/>
        </w:rPr>
      </w:pPr>
    </w:p>
    <w:p w14:paraId="093F727F" w14:textId="77777777" w:rsidR="00DB530F" w:rsidRPr="003E5188" w:rsidRDefault="00DB530F" w:rsidP="00DB530F">
      <w:pPr>
        <w:spacing w:after="0"/>
        <w:ind w:left="360"/>
        <w:jc w:val="both"/>
        <w:rPr>
          <w:rFonts w:ascii="Times New Roman" w:hAnsi="Times New Roman"/>
          <w:sz w:val="28"/>
          <w:szCs w:val="28"/>
        </w:rPr>
      </w:pPr>
      <w:r>
        <w:rPr>
          <w:rFonts w:ascii="Times New Roman" w:hAnsi="Times New Roman"/>
          <w:sz w:val="28"/>
        </w:rPr>
        <w:t xml:space="preserve">1. Um die zuständige Behörde zu bestimmen, wählen wir </w:t>
      </w:r>
      <w:r>
        <w:rPr>
          <w:rFonts w:ascii="Times New Roman" w:hAnsi="Times New Roman"/>
          <w:b/>
          <w:sz w:val="28"/>
        </w:rPr>
        <w:t>Spanien</w:t>
      </w:r>
      <w:r>
        <w:rPr>
          <w:rFonts w:ascii="Times New Roman" w:hAnsi="Times New Roman"/>
          <w:sz w:val="28"/>
        </w:rPr>
        <w:t xml:space="preserve"> als ausgewähltes Land (ES). Dann wählen wir, wie unten gezeigt, den Abschnitt </w:t>
      </w:r>
      <w:r>
        <w:rPr>
          <w:rFonts w:ascii="Times New Roman" w:hAnsi="Times New Roman"/>
          <w:b/>
          <w:sz w:val="28"/>
        </w:rPr>
        <w:t>Atlas</w:t>
      </w:r>
      <w:r>
        <w:rPr>
          <w:rFonts w:ascii="Times New Roman" w:hAnsi="Times New Roman"/>
          <w:sz w:val="28"/>
        </w:rPr>
        <w:t>.</w:t>
      </w:r>
    </w:p>
    <w:p w14:paraId="62182B01" w14:textId="77777777" w:rsidR="00DB530F" w:rsidRPr="003E5188" w:rsidRDefault="00A81046" w:rsidP="00DB530F">
      <w:pPr>
        <w:spacing w:after="0"/>
        <w:jc w:val="both"/>
        <w:rPr>
          <w:rFonts w:ascii="Times New Roman" w:hAnsi="Times New Roman"/>
          <w:sz w:val="28"/>
          <w:szCs w:val="28"/>
        </w:rPr>
      </w:pPr>
      <w:r>
        <w:rPr>
          <w:rFonts w:ascii="Times New Roman" w:hAnsi="Times New Roman"/>
          <w:noProof/>
          <w:sz w:val="28"/>
        </w:rPr>
        <mc:AlternateContent>
          <mc:Choice Requires="wps">
            <w:drawing>
              <wp:anchor distT="0" distB="0" distL="114300" distR="114300" simplePos="0" relativeHeight="251664384" behindDoc="0" locked="0" layoutInCell="1" allowOverlap="1" wp14:anchorId="09F78744" wp14:editId="780CEE6D">
                <wp:simplePos x="0" y="0"/>
                <wp:positionH relativeFrom="column">
                  <wp:posOffset>-33867</wp:posOffset>
                </wp:positionH>
                <wp:positionV relativeFrom="paragraph">
                  <wp:posOffset>170180</wp:posOffset>
                </wp:positionV>
                <wp:extent cx="5767917" cy="3310467"/>
                <wp:effectExtent l="0" t="0" r="23495" b="23495"/>
                <wp:wrapNone/>
                <wp:docPr id="24" name="Téglalap 24"/>
                <wp:cNvGraphicFramePr/>
                <a:graphic xmlns:a="http://schemas.openxmlformats.org/drawingml/2006/main">
                  <a:graphicData uri="http://schemas.microsoft.com/office/word/2010/wordprocessingShape">
                    <wps:wsp>
                      <wps:cNvSpPr/>
                      <wps:spPr>
                        <a:xfrm>
                          <a:off x="0" y="0"/>
                          <a:ext cx="5767917" cy="33104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BA47E0" id="Téglalap 24" o:spid="_x0000_s1026" style="position:absolute;margin-left:-2.65pt;margin-top:13.4pt;width:454.15pt;height:260.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" filled="f" strokecolor="black [3213]" strokeweight="1pt"/>
            </w:pict>
          </mc:Fallback>
        </mc:AlternateContent>
      </w:r>
    </w:p>
    <w:p w14:paraId="5436C065" w14:textId="77777777" w:rsidR="00DB530F" w:rsidRPr="003E5188" w:rsidRDefault="00DB530F" w:rsidP="00DB530F">
      <w:pPr>
        <w:spacing w:after="0"/>
        <w:jc w:val="both"/>
        <w:rPr>
          <w:rFonts w:ascii="Times New Roman" w:hAnsi="Times New Roman"/>
          <w:sz w:val="28"/>
          <w:szCs w:val="28"/>
        </w:rPr>
      </w:pPr>
      <w:r>
        <w:rPr>
          <w:noProof/>
        </w:rPr>
        <w:drawing>
          <wp:inline distT="0" distB="0" distL="0" distR="0" wp14:anchorId="2323CAAE" wp14:editId="2F232B16">
            <wp:extent cx="5734050" cy="3076575"/>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3076575"/>
                    </a:xfrm>
                    <a:prstGeom prst="rect">
                      <a:avLst/>
                    </a:prstGeom>
                    <a:noFill/>
                    <a:ln>
                      <a:noFill/>
                    </a:ln>
                  </pic:spPr>
                </pic:pic>
              </a:graphicData>
            </a:graphic>
          </wp:inline>
        </w:drawing>
      </w:r>
    </w:p>
    <w:p w14:paraId="537FC645" w14:textId="77777777" w:rsidR="00DB530F" w:rsidRPr="003E5188" w:rsidRDefault="00DB530F" w:rsidP="00DB530F">
      <w:pPr>
        <w:spacing w:after="0"/>
        <w:jc w:val="both"/>
        <w:rPr>
          <w:rFonts w:ascii="Times New Roman" w:hAnsi="Times New Roman"/>
          <w:sz w:val="28"/>
          <w:szCs w:val="28"/>
          <w:lang w:val="en-GB"/>
        </w:rPr>
      </w:pPr>
    </w:p>
    <w:p w14:paraId="67E62E43" w14:textId="1831B0DB" w:rsidR="00DB530F" w:rsidRPr="003E5188" w:rsidRDefault="00BF2075" w:rsidP="00DB530F">
      <w:pPr>
        <w:spacing w:after="0"/>
        <w:ind w:left="360"/>
        <w:jc w:val="both"/>
        <w:rPr>
          <w:rFonts w:ascii="Times New Roman" w:hAnsi="Times New Roman"/>
          <w:sz w:val="28"/>
          <w:szCs w:val="28"/>
        </w:rPr>
      </w:pPr>
      <w:r>
        <w:rPr>
          <w:noProof/>
        </w:rPr>
        <mc:AlternateContent>
          <mc:Choice Requires="wps">
            <w:drawing>
              <wp:anchor distT="0" distB="0" distL="114300" distR="114300" simplePos="0" relativeHeight="251660800" behindDoc="0" locked="0" layoutInCell="1" allowOverlap="1" wp14:anchorId="7338B578" wp14:editId="1D755307">
                <wp:simplePos x="0" y="0"/>
                <wp:positionH relativeFrom="column">
                  <wp:posOffset>-28575</wp:posOffset>
                </wp:positionH>
                <wp:positionV relativeFrom="paragraph">
                  <wp:posOffset>455295</wp:posOffset>
                </wp:positionV>
                <wp:extent cx="5734050" cy="3143250"/>
                <wp:effectExtent l="0" t="0" r="19050" b="19050"/>
                <wp:wrapNone/>
                <wp:docPr id="25" name="Téglalap 25"/>
                <wp:cNvGraphicFramePr/>
                <a:graphic xmlns:a="http://schemas.openxmlformats.org/drawingml/2006/main">
                  <a:graphicData uri="http://schemas.microsoft.com/office/word/2010/wordprocessingShape">
                    <wps:wsp>
                      <wps:cNvSpPr/>
                      <wps:spPr>
                        <a:xfrm>
                          <a:off x="0" y="0"/>
                          <a:ext cx="5734050" cy="3143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699E0" id="Téglalap 25" o:spid="_x0000_s1026" style="position:absolute;margin-left:-2.25pt;margin-top:35.85pt;width:451.5pt;height:2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" filled="f" strokecolor="black [3213]" strokeweight="1pt"/>
            </w:pict>
          </mc:Fallback>
        </mc:AlternateContent>
      </w:r>
      <w:r>
        <w:rPr>
          <w:noProof/>
        </w:rPr>
        <w:drawing>
          <wp:anchor distT="0" distB="0" distL="114300" distR="114300" simplePos="0" relativeHeight="251656704" behindDoc="0" locked="0" layoutInCell="1" allowOverlap="1" wp14:anchorId="6C408D99" wp14:editId="7F73A4F9">
            <wp:simplePos x="0" y="0"/>
            <wp:positionH relativeFrom="margin">
              <wp:posOffset>0</wp:posOffset>
            </wp:positionH>
            <wp:positionV relativeFrom="margin">
              <wp:posOffset>5391150</wp:posOffset>
            </wp:positionV>
            <wp:extent cx="5729605" cy="3511550"/>
            <wp:effectExtent l="0" t="0" r="444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9605" cy="351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1046">
        <w:rPr>
          <w:rFonts w:ascii="Times New Roman" w:hAnsi="Times New Roman"/>
          <w:sz w:val="28"/>
        </w:rPr>
        <w:t xml:space="preserve">2. Wir wählen die Maßnahme </w:t>
      </w:r>
      <w:r w:rsidR="00A81046">
        <w:rPr>
          <w:rFonts w:ascii="Times New Roman" w:hAnsi="Times New Roman"/>
          <w:b/>
          <w:sz w:val="28"/>
        </w:rPr>
        <w:t>904. Bewährungsmaßnahmen</w:t>
      </w:r>
      <w:r w:rsidR="00A81046">
        <w:rPr>
          <w:rFonts w:ascii="Times New Roman" w:hAnsi="Times New Roman"/>
          <w:sz w:val="28"/>
        </w:rPr>
        <w:t>. Dann wählen</w:t>
      </w:r>
      <w:r>
        <w:rPr>
          <w:rFonts w:ascii="Times New Roman" w:hAnsi="Times New Roman"/>
          <w:sz w:val="28"/>
        </w:rPr>
        <w:t xml:space="preserve"> </w:t>
      </w:r>
      <w:r w:rsidR="00A81046">
        <w:rPr>
          <w:rFonts w:ascii="Times New Roman" w:hAnsi="Times New Roman"/>
          <w:sz w:val="28"/>
        </w:rPr>
        <w:t xml:space="preserve">wir, wie unten gezeigt, die Schaltfläche </w:t>
      </w:r>
      <w:r w:rsidR="00A81046">
        <w:rPr>
          <w:rFonts w:ascii="Times New Roman" w:hAnsi="Times New Roman"/>
          <w:b/>
          <w:sz w:val="28"/>
        </w:rPr>
        <w:t>Weiter</w:t>
      </w:r>
      <w:r w:rsidR="00A81046">
        <w:rPr>
          <w:rFonts w:ascii="Times New Roman" w:hAnsi="Times New Roman"/>
          <w:sz w:val="28"/>
        </w:rPr>
        <w:t>.</w:t>
      </w:r>
    </w:p>
    <w:p w14:paraId="0489C172" w14:textId="77777777" w:rsidR="00DB530F" w:rsidRPr="003E5188" w:rsidRDefault="00DB530F" w:rsidP="00DB530F">
      <w:pPr>
        <w:spacing w:after="0"/>
        <w:ind w:left="360"/>
        <w:jc w:val="both"/>
        <w:rPr>
          <w:rFonts w:ascii="Times New Roman" w:hAnsi="Times New Roman"/>
          <w:sz w:val="28"/>
          <w:szCs w:val="28"/>
        </w:rPr>
      </w:pPr>
      <w:r>
        <w:rPr>
          <w:rFonts w:ascii="Times New Roman" w:hAnsi="Times New Roman"/>
          <w:sz w:val="28"/>
        </w:rPr>
        <w:lastRenderedPageBreak/>
        <w:t xml:space="preserve">3. Hier müssen wir zwischen 2 Optionen wählen. Wir werden die allgemeine Regelung auswählen, wie in den Anforderungen der Aufgabe erwähnt. Dann wählen wir, wie unten gezeigt, die Schaltfläche </w:t>
      </w:r>
      <w:r>
        <w:rPr>
          <w:rFonts w:ascii="Times New Roman" w:hAnsi="Times New Roman"/>
          <w:b/>
          <w:sz w:val="28"/>
        </w:rPr>
        <w:t>Weiter</w:t>
      </w:r>
      <w:r>
        <w:rPr>
          <w:rFonts w:ascii="Times New Roman" w:hAnsi="Times New Roman"/>
          <w:sz w:val="28"/>
        </w:rPr>
        <w:t>.</w:t>
      </w:r>
    </w:p>
    <w:p w14:paraId="33CEE49E" w14:textId="77777777" w:rsidR="00DB530F" w:rsidRPr="003E5188" w:rsidRDefault="004B3A9E" w:rsidP="00DB530F">
      <w:pPr>
        <w:spacing w:after="0"/>
        <w:jc w:val="both"/>
        <w:rPr>
          <w:rFonts w:ascii="Times New Roman" w:hAnsi="Times New Roman"/>
          <w:sz w:val="28"/>
          <w:szCs w:val="28"/>
        </w:rPr>
      </w:pPr>
      <w:r>
        <w:rPr>
          <w:rFonts w:ascii="Times New Roman" w:hAnsi="Times New Roman"/>
          <w:noProof/>
          <w:sz w:val="28"/>
        </w:rPr>
        <mc:AlternateContent>
          <mc:Choice Requires="wps">
            <w:drawing>
              <wp:anchor distT="0" distB="0" distL="114300" distR="114300" simplePos="0" relativeHeight="251667456" behindDoc="0" locked="0" layoutInCell="1" allowOverlap="1" wp14:anchorId="2578A6D7" wp14:editId="20A55695">
                <wp:simplePos x="0" y="0"/>
                <wp:positionH relativeFrom="column">
                  <wp:posOffset>-42333</wp:posOffset>
                </wp:positionH>
                <wp:positionV relativeFrom="paragraph">
                  <wp:posOffset>148590</wp:posOffset>
                </wp:positionV>
                <wp:extent cx="5825066" cy="2895600"/>
                <wp:effectExtent l="0" t="0" r="23495" b="19050"/>
                <wp:wrapNone/>
                <wp:docPr id="26" name="Téglalap 26"/>
                <wp:cNvGraphicFramePr/>
                <a:graphic xmlns:a="http://schemas.openxmlformats.org/drawingml/2006/main">
                  <a:graphicData uri="http://schemas.microsoft.com/office/word/2010/wordprocessingShape">
                    <wps:wsp>
                      <wps:cNvSpPr/>
                      <wps:spPr>
                        <a:xfrm>
                          <a:off x="0" y="0"/>
                          <a:ext cx="5825066" cy="2895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6C0BEA" id="Téglalap 26" o:spid="_x0000_s1026" style="position:absolute;margin-left:-3.35pt;margin-top:11.7pt;width:458.65pt;height:22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" filled="f" strokecolor="black [3213]" strokeweight="1pt"/>
            </w:pict>
          </mc:Fallback>
        </mc:AlternateContent>
      </w:r>
    </w:p>
    <w:p w14:paraId="23254FB3" w14:textId="77777777" w:rsidR="00DB530F" w:rsidRPr="003E5188" w:rsidRDefault="00DB530F" w:rsidP="00DB530F">
      <w:pPr>
        <w:spacing w:after="0"/>
        <w:jc w:val="both"/>
        <w:rPr>
          <w:rFonts w:ascii="Times New Roman" w:hAnsi="Times New Roman"/>
          <w:sz w:val="28"/>
          <w:szCs w:val="28"/>
        </w:rPr>
      </w:pPr>
      <w:r>
        <w:rPr>
          <w:noProof/>
        </w:rPr>
        <w:drawing>
          <wp:inline distT="0" distB="0" distL="0" distR="0" wp14:anchorId="01F748C1" wp14:editId="06AED78D">
            <wp:extent cx="5734050" cy="284797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2847975"/>
                    </a:xfrm>
                    <a:prstGeom prst="rect">
                      <a:avLst/>
                    </a:prstGeom>
                    <a:noFill/>
                    <a:ln>
                      <a:noFill/>
                    </a:ln>
                  </pic:spPr>
                </pic:pic>
              </a:graphicData>
            </a:graphic>
          </wp:inline>
        </w:drawing>
      </w:r>
    </w:p>
    <w:p w14:paraId="696F58BF" w14:textId="77777777" w:rsidR="00DB530F" w:rsidRPr="003E5188" w:rsidRDefault="00DB530F" w:rsidP="00DB530F">
      <w:pPr>
        <w:spacing w:after="0"/>
        <w:jc w:val="both"/>
        <w:rPr>
          <w:rFonts w:ascii="Times New Roman" w:hAnsi="Times New Roman"/>
          <w:sz w:val="28"/>
          <w:szCs w:val="28"/>
          <w:lang w:val="en-GB"/>
        </w:rPr>
      </w:pPr>
    </w:p>
    <w:p w14:paraId="6FAC859B" w14:textId="77777777" w:rsidR="00DB530F" w:rsidRPr="003E5188" w:rsidRDefault="00DB530F" w:rsidP="00DB530F">
      <w:pPr>
        <w:spacing w:after="0"/>
        <w:ind w:left="360"/>
        <w:jc w:val="both"/>
        <w:rPr>
          <w:rFonts w:ascii="Times New Roman" w:hAnsi="Times New Roman"/>
          <w:sz w:val="28"/>
          <w:szCs w:val="28"/>
        </w:rPr>
      </w:pPr>
      <w:r>
        <w:rPr>
          <w:rFonts w:ascii="Times New Roman" w:hAnsi="Times New Roman"/>
          <w:sz w:val="28"/>
        </w:rPr>
        <w:t>4. Am Ende erhalten wir das unten dargestellte Ergebnis unserer Suche.</w:t>
      </w:r>
    </w:p>
    <w:p w14:paraId="488E6C91" w14:textId="77777777" w:rsidR="00DB530F" w:rsidRPr="003E5188" w:rsidRDefault="004B3A9E" w:rsidP="00DB530F">
      <w:pPr>
        <w:spacing w:after="0"/>
        <w:jc w:val="both"/>
        <w:rPr>
          <w:rFonts w:ascii="Times New Roman" w:hAnsi="Times New Roman"/>
          <w:sz w:val="28"/>
          <w:szCs w:val="28"/>
        </w:rPr>
      </w:pPr>
      <w:r>
        <w:rPr>
          <w:rFonts w:ascii="Times New Roman" w:hAnsi="Times New Roman"/>
          <w:noProof/>
          <w:sz w:val="28"/>
        </w:rPr>
        <mc:AlternateContent>
          <mc:Choice Requires="wps">
            <w:drawing>
              <wp:anchor distT="0" distB="0" distL="114300" distR="114300" simplePos="0" relativeHeight="251668480" behindDoc="0" locked="0" layoutInCell="1" allowOverlap="1" wp14:anchorId="7C9001FB" wp14:editId="3BA8EF23">
                <wp:simplePos x="0" y="0"/>
                <wp:positionH relativeFrom="column">
                  <wp:posOffset>143933</wp:posOffset>
                </wp:positionH>
                <wp:positionV relativeFrom="paragraph">
                  <wp:posOffset>165947</wp:posOffset>
                </wp:positionV>
                <wp:extent cx="5477934" cy="4216400"/>
                <wp:effectExtent l="0" t="0" r="27940" b="12700"/>
                <wp:wrapNone/>
                <wp:docPr id="28" name="Téglalap 28"/>
                <wp:cNvGraphicFramePr/>
                <a:graphic xmlns:a="http://schemas.openxmlformats.org/drawingml/2006/main">
                  <a:graphicData uri="http://schemas.microsoft.com/office/word/2010/wordprocessingShape">
                    <wps:wsp>
                      <wps:cNvSpPr/>
                      <wps:spPr>
                        <a:xfrm>
                          <a:off x="0" y="0"/>
                          <a:ext cx="5477934" cy="4216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6BE8ED" id="Téglalap 28" o:spid="_x0000_s1026" style="position:absolute;margin-left:11.35pt;margin-top:13.05pt;width:431.35pt;height:33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" filled="f" strokecolor="black [3213]" strokeweight="1pt"/>
            </w:pict>
          </mc:Fallback>
        </mc:AlternateContent>
      </w:r>
    </w:p>
    <w:p w14:paraId="1AE7C7D3" w14:textId="77777777" w:rsidR="00DB530F" w:rsidRPr="003E5188" w:rsidRDefault="00DB530F" w:rsidP="00DB530F">
      <w:pPr>
        <w:spacing w:after="0"/>
        <w:jc w:val="both"/>
        <w:rPr>
          <w:noProof/>
        </w:rPr>
      </w:pPr>
      <w:r>
        <w:rPr>
          <w:noProof/>
        </w:rPr>
        <w:drawing>
          <wp:inline distT="0" distB="0" distL="0" distR="0" wp14:anchorId="5AEAF119" wp14:editId="02302EB1">
            <wp:extent cx="5724525" cy="414337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4143375"/>
                    </a:xfrm>
                    <a:prstGeom prst="rect">
                      <a:avLst/>
                    </a:prstGeom>
                    <a:noFill/>
                    <a:ln>
                      <a:noFill/>
                    </a:ln>
                  </pic:spPr>
                </pic:pic>
              </a:graphicData>
            </a:graphic>
          </wp:inline>
        </w:drawing>
      </w:r>
    </w:p>
    <w:p w14:paraId="48E9B8A0" w14:textId="77777777" w:rsidR="00DB530F" w:rsidRPr="003E5188" w:rsidRDefault="00DB530F" w:rsidP="00DB530F">
      <w:pPr>
        <w:spacing w:after="0"/>
        <w:jc w:val="both"/>
        <w:rPr>
          <w:rFonts w:ascii="Times New Roman" w:hAnsi="Times New Roman"/>
          <w:sz w:val="28"/>
          <w:szCs w:val="28"/>
          <w:lang w:val="en-GB"/>
        </w:rPr>
      </w:pPr>
    </w:p>
    <w:p w14:paraId="495CBD33" w14:textId="77777777" w:rsidR="00DB530F" w:rsidRPr="003E5188" w:rsidRDefault="00DB530F">
      <w:pPr>
        <w:suppressAutoHyphens w:val="0"/>
        <w:autoSpaceDN/>
        <w:spacing w:after="0"/>
        <w:textAlignment w:val="auto"/>
        <w:rPr>
          <w:rFonts w:ascii="Times New Roman" w:hAnsi="Times New Roman"/>
        </w:rPr>
      </w:pPr>
      <w:r>
        <w:br w:type="page"/>
      </w:r>
    </w:p>
    <w:p w14:paraId="05D316A9" w14:textId="77777777" w:rsidR="00DB530F" w:rsidRPr="00E00D02" w:rsidRDefault="00DB530F" w:rsidP="00E00D02">
      <w:pPr>
        <w:pStyle w:val="Listenabsatz"/>
        <w:numPr>
          <w:ilvl w:val="0"/>
          <w:numId w:val="40"/>
        </w:numPr>
        <w:suppressAutoHyphens w:val="0"/>
        <w:autoSpaceDN/>
        <w:spacing w:after="0"/>
        <w:ind w:left="426" w:hanging="436"/>
        <w:contextualSpacing/>
        <w:jc w:val="both"/>
        <w:textAlignment w:val="auto"/>
        <w:rPr>
          <w:rFonts w:ascii="Times New Roman" w:eastAsiaTheme="minorHAnsi" w:hAnsi="Times New Roman"/>
          <w:b/>
          <w:color w:val="FF0000"/>
          <w:sz w:val="28"/>
          <w:szCs w:val="28"/>
        </w:rPr>
      </w:pPr>
      <w:r>
        <w:rPr>
          <w:rFonts w:ascii="Times New Roman" w:hAnsi="Times New Roman"/>
          <w:b/>
          <w:color w:val="FF0000"/>
          <w:sz w:val="28"/>
        </w:rPr>
        <w:lastRenderedPageBreak/>
        <w:t>Eine spanische zuständige Behörde möchte die Überwachung der verurteilten Person M.M. übertragen, die ihren rechtmäßigen und gewöhnlichen Aufenthalt in Wien, Österreich, hat.</w:t>
      </w:r>
    </w:p>
    <w:p w14:paraId="0E190FAA" w14:textId="77777777" w:rsidR="00DB530F" w:rsidRPr="003E5188" w:rsidRDefault="00DB530F" w:rsidP="00DB530F">
      <w:pPr>
        <w:pStyle w:val="Listenabsatz"/>
        <w:spacing w:after="0"/>
        <w:jc w:val="both"/>
        <w:rPr>
          <w:rFonts w:ascii="Times New Roman" w:hAnsi="Times New Roman"/>
          <w:sz w:val="28"/>
          <w:szCs w:val="28"/>
          <w:lang w:val="en-GB"/>
        </w:rPr>
      </w:pPr>
    </w:p>
    <w:p w14:paraId="727A9E0F" w14:textId="77777777" w:rsidR="00DB530F" w:rsidRPr="003E5188" w:rsidRDefault="00DB530F" w:rsidP="00DB530F">
      <w:pPr>
        <w:pStyle w:val="Listenabsatz"/>
        <w:spacing w:after="0"/>
        <w:jc w:val="both"/>
        <w:rPr>
          <w:rFonts w:ascii="Times New Roman" w:hAnsi="Times New Roman"/>
          <w:sz w:val="28"/>
          <w:szCs w:val="28"/>
        </w:rPr>
      </w:pPr>
      <w:r>
        <w:rPr>
          <w:rFonts w:ascii="Times New Roman" w:hAnsi="Times New Roman"/>
          <w:sz w:val="28"/>
        </w:rPr>
        <w:t xml:space="preserve">1. Um die zuständige Behörde zu bestimmen, wählen wir </w:t>
      </w:r>
      <w:r>
        <w:rPr>
          <w:rFonts w:ascii="Times New Roman" w:hAnsi="Times New Roman"/>
          <w:b/>
          <w:sz w:val="28"/>
        </w:rPr>
        <w:t>Österreich</w:t>
      </w:r>
      <w:r>
        <w:rPr>
          <w:rFonts w:ascii="Times New Roman" w:hAnsi="Times New Roman"/>
          <w:sz w:val="28"/>
        </w:rPr>
        <w:t xml:space="preserve"> als ausgewähltes Land (AT). Dann wählen wir, wie unten gezeigt, den Abschnitt </w:t>
      </w:r>
      <w:r>
        <w:rPr>
          <w:rFonts w:ascii="Times New Roman" w:hAnsi="Times New Roman"/>
          <w:b/>
          <w:sz w:val="28"/>
        </w:rPr>
        <w:t>Atlas</w:t>
      </w:r>
      <w:r>
        <w:rPr>
          <w:rFonts w:ascii="Times New Roman" w:hAnsi="Times New Roman"/>
          <w:sz w:val="28"/>
        </w:rPr>
        <w:t>.</w:t>
      </w:r>
    </w:p>
    <w:p w14:paraId="650E9338" w14:textId="77777777" w:rsidR="00DB530F" w:rsidRPr="003E5188" w:rsidRDefault="00DB530F" w:rsidP="00DB530F">
      <w:pPr>
        <w:spacing w:after="0"/>
        <w:jc w:val="both"/>
        <w:rPr>
          <w:rFonts w:ascii="Times New Roman" w:hAnsi="Times New Roman"/>
          <w:sz w:val="28"/>
          <w:szCs w:val="28"/>
          <w:lang w:val="en-GB"/>
        </w:rPr>
      </w:pPr>
    </w:p>
    <w:p w14:paraId="7B32A93A" w14:textId="77777777" w:rsidR="00DB530F" w:rsidRPr="003E5188" w:rsidRDefault="004B3A9E" w:rsidP="00DB530F">
      <w:pPr>
        <w:spacing w:after="0"/>
        <w:jc w:val="both"/>
        <w:rPr>
          <w:rFonts w:ascii="Times New Roman" w:hAnsi="Times New Roman"/>
          <w:sz w:val="28"/>
          <w:szCs w:val="28"/>
        </w:rPr>
      </w:pPr>
      <w:r>
        <w:rPr>
          <w:rFonts w:ascii="Times New Roman" w:hAnsi="Times New Roman"/>
          <w:noProof/>
          <w:sz w:val="28"/>
        </w:rPr>
        <mc:AlternateContent>
          <mc:Choice Requires="wps">
            <w:drawing>
              <wp:anchor distT="0" distB="0" distL="114300" distR="114300" simplePos="0" relativeHeight="251669504" behindDoc="0" locked="0" layoutInCell="1" allowOverlap="1" wp14:anchorId="0D7BF147" wp14:editId="66E3F461">
                <wp:simplePos x="0" y="0"/>
                <wp:positionH relativeFrom="column">
                  <wp:posOffset>-16933</wp:posOffset>
                </wp:positionH>
                <wp:positionV relativeFrom="paragraph">
                  <wp:posOffset>177377</wp:posOffset>
                </wp:positionV>
                <wp:extent cx="5791200" cy="5029200"/>
                <wp:effectExtent l="0" t="0" r="19050" b="19050"/>
                <wp:wrapNone/>
                <wp:docPr id="29" name="Téglalap 29"/>
                <wp:cNvGraphicFramePr/>
                <a:graphic xmlns:a="http://schemas.openxmlformats.org/drawingml/2006/main">
                  <a:graphicData uri="http://schemas.microsoft.com/office/word/2010/wordprocessingShape">
                    <wps:wsp>
                      <wps:cNvSpPr/>
                      <wps:spPr>
                        <a:xfrm>
                          <a:off x="0" y="0"/>
                          <a:ext cx="5791200" cy="5029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4CC251" id="Téglalap 29" o:spid="_x0000_s1026" style="position:absolute;margin-left:-1.35pt;margin-top:13.95pt;width:456pt;height:39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" filled="f" strokecolor="black [3213]" strokeweight="1pt"/>
            </w:pict>
          </mc:Fallback>
        </mc:AlternateContent>
      </w:r>
    </w:p>
    <w:p w14:paraId="619306C3" w14:textId="77777777" w:rsidR="00DB530F" w:rsidRPr="003E5188" w:rsidRDefault="00DB530F" w:rsidP="00DB530F">
      <w:pPr>
        <w:spacing w:after="0"/>
        <w:jc w:val="both"/>
        <w:rPr>
          <w:rFonts w:ascii="Times New Roman" w:hAnsi="Times New Roman"/>
          <w:sz w:val="28"/>
          <w:szCs w:val="28"/>
        </w:rPr>
      </w:pPr>
      <w:r>
        <w:rPr>
          <w:noProof/>
        </w:rPr>
        <w:drawing>
          <wp:inline distT="0" distB="0" distL="0" distR="0" wp14:anchorId="522317EF" wp14:editId="275A1ED7">
            <wp:extent cx="5734050" cy="492442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4924425"/>
                    </a:xfrm>
                    <a:prstGeom prst="rect">
                      <a:avLst/>
                    </a:prstGeom>
                    <a:noFill/>
                    <a:ln>
                      <a:noFill/>
                    </a:ln>
                  </pic:spPr>
                </pic:pic>
              </a:graphicData>
            </a:graphic>
          </wp:inline>
        </w:drawing>
      </w:r>
    </w:p>
    <w:p w14:paraId="607747DF" w14:textId="77777777" w:rsidR="00DB530F" w:rsidRPr="003E5188" w:rsidRDefault="00DB530F" w:rsidP="00DB530F">
      <w:pPr>
        <w:spacing w:after="0"/>
        <w:jc w:val="both"/>
        <w:rPr>
          <w:rFonts w:ascii="Times New Roman" w:hAnsi="Times New Roman"/>
          <w:sz w:val="28"/>
          <w:szCs w:val="28"/>
          <w:lang w:val="en-GB"/>
        </w:rPr>
      </w:pPr>
    </w:p>
    <w:p w14:paraId="5B0D1877" w14:textId="77777777" w:rsidR="00DB530F" w:rsidRPr="003E5188" w:rsidRDefault="00DB530F" w:rsidP="00DB530F">
      <w:pPr>
        <w:spacing w:after="0"/>
        <w:jc w:val="both"/>
        <w:rPr>
          <w:rFonts w:ascii="Times New Roman" w:hAnsi="Times New Roman"/>
          <w:sz w:val="28"/>
          <w:szCs w:val="28"/>
          <w:lang w:val="en-GB"/>
        </w:rPr>
      </w:pPr>
    </w:p>
    <w:p w14:paraId="207080FF" w14:textId="77777777" w:rsidR="00DB530F" w:rsidRPr="003E5188" w:rsidRDefault="00DB530F">
      <w:pPr>
        <w:suppressAutoHyphens w:val="0"/>
        <w:autoSpaceDN/>
        <w:spacing w:after="0"/>
        <w:textAlignment w:val="auto"/>
        <w:rPr>
          <w:rFonts w:ascii="Times New Roman" w:hAnsi="Times New Roman"/>
          <w:sz w:val="28"/>
          <w:szCs w:val="28"/>
        </w:rPr>
      </w:pPr>
      <w:r>
        <w:br w:type="page"/>
      </w:r>
    </w:p>
    <w:p w14:paraId="17118278" w14:textId="77777777" w:rsidR="00DB530F" w:rsidRPr="003E5188" w:rsidRDefault="00DB530F" w:rsidP="00DB530F">
      <w:pPr>
        <w:spacing w:after="0"/>
        <w:jc w:val="both"/>
        <w:rPr>
          <w:rFonts w:ascii="Times New Roman" w:hAnsi="Times New Roman"/>
          <w:sz w:val="28"/>
          <w:szCs w:val="28"/>
        </w:rPr>
      </w:pPr>
      <w:r>
        <w:rPr>
          <w:rFonts w:ascii="Times New Roman" w:hAnsi="Times New Roman"/>
          <w:sz w:val="28"/>
        </w:rPr>
        <w:lastRenderedPageBreak/>
        <w:t xml:space="preserve">2. Wir wählen die Maßnahme </w:t>
      </w:r>
      <w:r>
        <w:rPr>
          <w:rFonts w:ascii="Times New Roman" w:hAnsi="Times New Roman"/>
          <w:b/>
          <w:sz w:val="28"/>
        </w:rPr>
        <w:t>904. Bewährungsmaßnahmen</w:t>
      </w:r>
      <w:r>
        <w:rPr>
          <w:rFonts w:ascii="Times New Roman" w:hAnsi="Times New Roman"/>
          <w:sz w:val="28"/>
        </w:rPr>
        <w:t xml:space="preserve">. Dann wählen wir, wie unten gezeigt, die Schaltfläche </w:t>
      </w:r>
      <w:r>
        <w:rPr>
          <w:rFonts w:ascii="Times New Roman" w:hAnsi="Times New Roman"/>
          <w:b/>
          <w:sz w:val="28"/>
        </w:rPr>
        <w:t>Weiter</w:t>
      </w:r>
      <w:r>
        <w:rPr>
          <w:rFonts w:ascii="Times New Roman" w:hAnsi="Times New Roman"/>
          <w:sz w:val="28"/>
        </w:rPr>
        <w:t>.</w:t>
      </w:r>
    </w:p>
    <w:p w14:paraId="15C6E22E" w14:textId="77777777" w:rsidR="00DB530F" w:rsidRPr="003E5188" w:rsidRDefault="004B3A9E" w:rsidP="00DB530F">
      <w:pPr>
        <w:spacing w:after="0"/>
        <w:jc w:val="both"/>
        <w:rPr>
          <w:rFonts w:ascii="Times New Roman" w:hAnsi="Times New Roman"/>
          <w:sz w:val="28"/>
          <w:szCs w:val="28"/>
        </w:rPr>
      </w:pPr>
      <w:r>
        <w:rPr>
          <w:rFonts w:ascii="Times New Roman" w:hAnsi="Times New Roman"/>
          <w:noProof/>
          <w:sz w:val="28"/>
        </w:rPr>
        <mc:AlternateContent>
          <mc:Choice Requires="wps">
            <w:drawing>
              <wp:anchor distT="0" distB="0" distL="114300" distR="114300" simplePos="0" relativeHeight="251670528" behindDoc="0" locked="0" layoutInCell="1" allowOverlap="1" wp14:anchorId="475DF0FA" wp14:editId="79F27C9C">
                <wp:simplePos x="0" y="0"/>
                <wp:positionH relativeFrom="column">
                  <wp:posOffset>-42333</wp:posOffset>
                </wp:positionH>
                <wp:positionV relativeFrom="paragraph">
                  <wp:posOffset>141393</wp:posOffset>
                </wp:positionV>
                <wp:extent cx="5850466" cy="4021667"/>
                <wp:effectExtent l="0" t="0" r="17145" b="17145"/>
                <wp:wrapNone/>
                <wp:docPr id="30" name="Téglalap 30"/>
                <wp:cNvGraphicFramePr/>
                <a:graphic xmlns:a="http://schemas.openxmlformats.org/drawingml/2006/main">
                  <a:graphicData uri="http://schemas.microsoft.com/office/word/2010/wordprocessingShape">
                    <wps:wsp>
                      <wps:cNvSpPr/>
                      <wps:spPr>
                        <a:xfrm>
                          <a:off x="0" y="0"/>
                          <a:ext cx="5850466" cy="40216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7F0D8B" id="Téglalap 30" o:spid="_x0000_s1026" style="position:absolute;margin-left:-3.35pt;margin-top:11.15pt;width:460.65pt;height:316.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" filled="f" strokecolor="black [3213]" strokeweight="1pt"/>
            </w:pict>
          </mc:Fallback>
        </mc:AlternateContent>
      </w:r>
    </w:p>
    <w:p w14:paraId="09DFB51D" w14:textId="77777777" w:rsidR="00DB530F" w:rsidRPr="003E5188" w:rsidRDefault="00DB530F" w:rsidP="00DB530F">
      <w:pPr>
        <w:spacing w:after="0"/>
        <w:jc w:val="both"/>
        <w:rPr>
          <w:rFonts w:ascii="Times New Roman" w:hAnsi="Times New Roman"/>
          <w:sz w:val="28"/>
          <w:szCs w:val="28"/>
        </w:rPr>
      </w:pPr>
      <w:r>
        <w:rPr>
          <w:noProof/>
        </w:rPr>
        <w:drawing>
          <wp:inline distT="0" distB="0" distL="0" distR="0" wp14:anchorId="66A36C0C" wp14:editId="26750079">
            <wp:extent cx="5734050" cy="387667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3876675"/>
                    </a:xfrm>
                    <a:prstGeom prst="rect">
                      <a:avLst/>
                    </a:prstGeom>
                    <a:noFill/>
                    <a:ln>
                      <a:noFill/>
                    </a:ln>
                  </pic:spPr>
                </pic:pic>
              </a:graphicData>
            </a:graphic>
          </wp:inline>
        </w:drawing>
      </w:r>
    </w:p>
    <w:p w14:paraId="6633C810" w14:textId="77777777" w:rsidR="00DB530F" w:rsidRPr="003E5188" w:rsidRDefault="00DB530F" w:rsidP="00DB530F">
      <w:pPr>
        <w:spacing w:after="0"/>
        <w:jc w:val="both"/>
        <w:rPr>
          <w:rFonts w:ascii="Times New Roman" w:hAnsi="Times New Roman"/>
          <w:sz w:val="28"/>
          <w:szCs w:val="28"/>
          <w:lang w:val="en-GB"/>
        </w:rPr>
      </w:pPr>
    </w:p>
    <w:p w14:paraId="6B8F064B" w14:textId="77777777" w:rsidR="00DB530F" w:rsidRPr="003E5188" w:rsidRDefault="00DB530F" w:rsidP="00DB530F">
      <w:pPr>
        <w:spacing w:after="0"/>
        <w:jc w:val="both"/>
        <w:rPr>
          <w:rFonts w:ascii="Times New Roman" w:hAnsi="Times New Roman"/>
          <w:sz w:val="28"/>
          <w:szCs w:val="28"/>
        </w:rPr>
      </w:pPr>
      <w:r>
        <w:rPr>
          <w:rFonts w:ascii="Times New Roman" w:hAnsi="Times New Roman"/>
          <w:sz w:val="28"/>
        </w:rPr>
        <w:t xml:space="preserve">3. Wir tragen </w:t>
      </w:r>
      <w:r>
        <w:rPr>
          <w:rFonts w:ascii="Times New Roman" w:hAnsi="Times New Roman"/>
          <w:b/>
          <w:sz w:val="28"/>
        </w:rPr>
        <w:t>Wien</w:t>
      </w:r>
      <w:r>
        <w:rPr>
          <w:rFonts w:ascii="Times New Roman" w:hAnsi="Times New Roman"/>
          <w:sz w:val="28"/>
        </w:rPr>
        <w:t xml:space="preserve"> ein. Dann wählen wir, wie unten gezeigt, die Schaltfläche </w:t>
      </w:r>
      <w:r>
        <w:rPr>
          <w:rFonts w:ascii="Times New Roman" w:hAnsi="Times New Roman"/>
          <w:b/>
          <w:sz w:val="28"/>
        </w:rPr>
        <w:t>Weiter</w:t>
      </w:r>
      <w:r>
        <w:rPr>
          <w:rFonts w:ascii="Times New Roman" w:hAnsi="Times New Roman"/>
          <w:sz w:val="28"/>
        </w:rPr>
        <w:t>.</w:t>
      </w:r>
    </w:p>
    <w:p w14:paraId="68F16E72" w14:textId="455A6E11" w:rsidR="00DB530F" w:rsidRPr="003E5188" w:rsidRDefault="00DB530F" w:rsidP="00DB530F">
      <w:pPr>
        <w:spacing w:after="0"/>
        <w:jc w:val="both"/>
        <w:rPr>
          <w:rFonts w:ascii="Times New Roman" w:hAnsi="Times New Roman"/>
          <w:sz w:val="28"/>
          <w:szCs w:val="28"/>
        </w:rPr>
      </w:pPr>
    </w:p>
    <w:p w14:paraId="1126E75B" w14:textId="359C33F2" w:rsidR="00DB530F" w:rsidRPr="003E5188" w:rsidRDefault="00BF2075" w:rsidP="00DB530F">
      <w:pPr>
        <w:spacing w:after="0"/>
        <w:jc w:val="both"/>
        <w:rPr>
          <w:rFonts w:ascii="Times New Roman" w:hAnsi="Times New Roman"/>
          <w:sz w:val="28"/>
          <w:szCs w:val="28"/>
        </w:rPr>
      </w:pPr>
      <w:r>
        <w:rPr>
          <w:rFonts w:ascii="Times New Roman" w:hAnsi="Times New Roman"/>
          <w:noProof/>
          <w:sz w:val="28"/>
          <w:szCs w:val="28"/>
          <w:lang w:val="fr-FR" w:eastAsia="fr-FR"/>
        </w:rPr>
        <mc:AlternateContent>
          <mc:Choice Requires="wps">
            <w:drawing>
              <wp:anchor distT="0" distB="0" distL="114300" distR="114300" simplePos="0" relativeHeight="251682816" behindDoc="0" locked="0" layoutInCell="1" allowOverlap="1" wp14:anchorId="4481AA73" wp14:editId="1849F21E">
                <wp:simplePos x="0" y="0"/>
                <wp:positionH relativeFrom="column">
                  <wp:posOffset>1</wp:posOffset>
                </wp:positionH>
                <wp:positionV relativeFrom="paragraph">
                  <wp:posOffset>0</wp:posOffset>
                </wp:positionV>
                <wp:extent cx="5715000" cy="3457575"/>
                <wp:effectExtent l="0" t="0" r="19050" b="28575"/>
                <wp:wrapNone/>
                <wp:docPr id="32" name="Téglalap 32"/>
                <wp:cNvGraphicFramePr/>
                <a:graphic xmlns:a="http://schemas.openxmlformats.org/drawingml/2006/main">
                  <a:graphicData uri="http://schemas.microsoft.com/office/word/2010/wordprocessingShape">
                    <wps:wsp>
                      <wps:cNvSpPr/>
                      <wps:spPr>
                        <a:xfrm>
                          <a:off x="0" y="0"/>
                          <a:ext cx="5715000" cy="34575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27CEE" id="Téglalap 32" o:spid="_x0000_s1026" style="position:absolute;margin-left:0;margin-top:0;width:450pt;height:27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" filled="f" strokecolor="black [3213]" strokeweight="1pt"/>
            </w:pict>
          </mc:Fallback>
        </mc:AlternateContent>
      </w:r>
      <w:r w:rsidR="00DB530F">
        <w:rPr>
          <w:noProof/>
        </w:rPr>
        <w:drawing>
          <wp:inline distT="0" distB="0" distL="0" distR="0" wp14:anchorId="6FA51096" wp14:editId="3448F7CA">
            <wp:extent cx="5448300" cy="3457227"/>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4402" cy="3467445"/>
                    </a:xfrm>
                    <a:prstGeom prst="rect">
                      <a:avLst/>
                    </a:prstGeom>
                    <a:noFill/>
                    <a:ln>
                      <a:noFill/>
                    </a:ln>
                  </pic:spPr>
                </pic:pic>
              </a:graphicData>
            </a:graphic>
          </wp:inline>
        </w:drawing>
      </w:r>
    </w:p>
    <w:p w14:paraId="1C863CAB" w14:textId="77777777" w:rsidR="00DB530F" w:rsidRPr="003E5188" w:rsidRDefault="00DB530F" w:rsidP="00DB530F">
      <w:pPr>
        <w:spacing w:after="0"/>
        <w:jc w:val="both"/>
        <w:rPr>
          <w:rFonts w:ascii="Times New Roman" w:hAnsi="Times New Roman"/>
          <w:sz w:val="28"/>
          <w:szCs w:val="28"/>
          <w:lang w:val="en-GB"/>
        </w:rPr>
      </w:pPr>
    </w:p>
    <w:p w14:paraId="64D21ED8" w14:textId="77777777" w:rsidR="00DB530F" w:rsidRPr="003E5188" w:rsidRDefault="00DB530F" w:rsidP="00DB530F">
      <w:pPr>
        <w:spacing w:after="0"/>
        <w:ind w:left="360"/>
        <w:jc w:val="both"/>
        <w:rPr>
          <w:rFonts w:ascii="Times New Roman" w:hAnsi="Times New Roman"/>
          <w:sz w:val="28"/>
          <w:szCs w:val="28"/>
        </w:rPr>
      </w:pPr>
      <w:r>
        <w:rPr>
          <w:rFonts w:ascii="Times New Roman" w:hAnsi="Times New Roman"/>
          <w:sz w:val="28"/>
        </w:rPr>
        <w:t>4. Am Ende erhalten wir das unten dargestellte Ergebnis unserer Suche.</w:t>
      </w:r>
    </w:p>
    <w:p w14:paraId="6BF6438B" w14:textId="77777777" w:rsidR="00DB530F" w:rsidRPr="003E5188" w:rsidRDefault="004B3A9E" w:rsidP="00DB530F">
      <w:pPr>
        <w:spacing w:after="0"/>
        <w:jc w:val="both"/>
        <w:rPr>
          <w:rFonts w:ascii="Times New Roman" w:hAnsi="Times New Roman"/>
          <w:sz w:val="28"/>
          <w:szCs w:val="28"/>
        </w:rPr>
      </w:pPr>
      <w:r>
        <w:rPr>
          <w:rFonts w:ascii="Times New Roman" w:hAnsi="Times New Roman"/>
          <w:noProof/>
          <w:sz w:val="28"/>
        </w:rPr>
        <mc:AlternateContent>
          <mc:Choice Requires="wps">
            <w:drawing>
              <wp:anchor distT="0" distB="0" distL="114300" distR="114300" simplePos="0" relativeHeight="251672576" behindDoc="0" locked="0" layoutInCell="1" allowOverlap="1" wp14:anchorId="2F00D250" wp14:editId="4D911DD4">
                <wp:simplePos x="0" y="0"/>
                <wp:positionH relativeFrom="column">
                  <wp:posOffset>-25400</wp:posOffset>
                </wp:positionH>
                <wp:positionV relativeFrom="paragraph">
                  <wp:posOffset>183727</wp:posOffset>
                </wp:positionV>
                <wp:extent cx="5774267" cy="4766733"/>
                <wp:effectExtent l="0" t="0" r="17145" b="15240"/>
                <wp:wrapNone/>
                <wp:docPr id="33" name="Téglalap 33"/>
                <wp:cNvGraphicFramePr/>
                <a:graphic xmlns:a="http://schemas.openxmlformats.org/drawingml/2006/main">
                  <a:graphicData uri="http://schemas.microsoft.com/office/word/2010/wordprocessingShape">
                    <wps:wsp>
                      <wps:cNvSpPr/>
                      <wps:spPr>
                        <a:xfrm>
                          <a:off x="0" y="0"/>
                          <a:ext cx="5774267" cy="47667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024E52" id="Téglalap 33" o:spid="_x0000_s1026" style="position:absolute;margin-left:-2pt;margin-top:14.45pt;width:454.65pt;height:375.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" filled="f" strokecolor="black [3213]" strokeweight="1pt"/>
            </w:pict>
          </mc:Fallback>
        </mc:AlternateContent>
      </w:r>
    </w:p>
    <w:p w14:paraId="618A2E18" w14:textId="77777777" w:rsidR="00DB530F" w:rsidRPr="003E5188" w:rsidRDefault="00DB530F" w:rsidP="00DB530F">
      <w:pPr>
        <w:spacing w:after="0"/>
        <w:jc w:val="both"/>
        <w:rPr>
          <w:rFonts w:ascii="Times New Roman" w:hAnsi="Times New Roman"/>
          <w:sz w:val="28"/>
          <w:szCs w:val="28"/>
        </w:rPr>
      </w:pPr>
      <w:r>
        <w:rPr>
          <w:noProof/>
        </w:rPr>
        <w:drawing>
          <wp:inline distT="0" distB="0" distL="0" distR="0" wp14:anchorId="533234E4" wp14:editId="4823F7BA">
            <wp:extent cx="5734050" cy="471487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4714875"/>
                    </a:xfrm>
                    <a:prstGeom prst="rect">
                      <a:avLst/>
                    </a:prstGeom>
                    <a:noFill/>
                    <a:ln>
                      <a:noFill/>
                    </a:ln>
                  </pic:spPr>
                </pic:pic>
              </a:graphicData>
            </a:graphic>
          </wp:inline>
        </w:drawing>
      </w:r>
    </w:p>
    <w:p w14:paraId="0D173FA4" w14:textId="77777777" w:rsidR="00DB530F" w:rsidRPr="003E5188" w:rsidRDefault="00DB530F" w:rsidP="00DB530F">
      <w:pPr>
        <w:spacing w:after="0"/>
        <w:jc w:val="both"/>
        <w:rPr>
          <w:lang w:val="en-GB"/>
        </w:rPr>
      </w:pPr>
    </w:p>
    <w:p w14:paraId="4FF11FCA" w14:textId="77777777" w:rsidR="00DB530F" w:rsidRPr="003E5188" w:rsidRDefault="00DB530F" w:rsidP="00DB530F">
      <w:pPr>
        <w:spacing w:after="0"/>
        <w:jc w:val="both"/>
        <w:rPr>
          <w:rFonts w:ascii="Times New Roman" w:hAnsi="Times New Roman"/>
          <w:sz w:val="28"/>
          <w:szCs w:val="28"/>
          <w:lang w:val="en-GB"/>
        </w:rPr>
      </w:pPr>
    </w:p>
    <w:p w14:paraId="705D5E79" w14:textId="77777777" w:rsidR="00DB530F" w:rsidRPr="00E00D02" w:rsidRDefault="00DB530F" w:rsidP="00E00D02">
      <w:pPr>
        <w:suppressAutoHyphens w:val="0"/>
        <w:autoSpaceDN/>
        <w:spacing w:after="0"/>
        <w:textAlignment w:val="auto"/>
        <w:rPr>
          <w:rFonts w:ascii="Times New Roman" w:hAnsi="Times New Roman"/>
          <w:sz w:val="28"/>
          <w:szCs w:val="28"/>
        </w:rPr>
      </w:pPr>
      <w:r>
        <w:br w:type="page"/>
      </w:r>
      <w:r>
        <w:rPr>
          <w:rFonts w:ascii="Times New Roman" w:hAnsi="Times New Roman"/>
          <w:b/>
          <w:sz w:val="28"/>
        </w:rPr>
        <w:lastRenderedPageBreak/>
        <w:t>Lösung für Frage 3 von Fallszenario 1.</w:t>
      </w:r>
    </w:p>
    <w:p w14:paraId="48FE3CD8" w14:textId="77777777" w:rsidR="00DB530F" w:rsidRPr="003E5188" w:rsidRDefault="00DB530F" w:rsidP="00DB530F">
      <w:pPr>
        <w:spacing w:after="0"/>
        <w:ind w:left="360"/>
        <w:jc w:val="both"/>
        <w:rPr>
          <w:rFonts w:ascii="Times New Roman" w:hAnsi="Times New Roman"/>
          <w:b/>
          <w:bCs/>
          <w:sz w:val="28"/>
          <w:szCs w:val="28"/>
          <w:lang w:val="en-GB"/>
        </w:rPr>
      </w:pPr>
    </w:p>
    <w:p w14:paraId="5C711218" w14:textId="77777777" w:rsidR="00DB530F" w:rsidRPr="00E00D02" w:rsidRDefault="00DB530F" w:rsidP="00E00D02">
      <w:pPr>
        <w:pStyle w:val="Listenabsatz"/>
        <w:numPr>
          <w:ilvl w:val="0"/>
          <w:numId w:val="39"/>
        </w:numPr>
        <w:suppressAutoHyphens w:val="0"/>
        <w:autoSpaceDN/>
        <w:spacing w:after="0"/>
        <w:ind w:left="426" w:hanging="436"/>
        <w:contextualSpacing/>
        <w:jc w:val="both"/>
        <w:textAlignment w:val="auto"/>
        <w:rPr>
          <w:rFonts w:ascii="Times New Roman" w:eastAsiaTheme="minorHAnsi" w:hAnsi="Times New Roman"/>
          <w:b/>
          <w:color w:val="FF0000"/>
          <w:sz w:val="28"/>
          <w:szCs w:val="28"/>
        </w:rPr>
      </w:pPr>
      <w:r>
        <w:rPr>
          <w:rFonts w:ascii="Times New Roman" w:hAnsi="Times New Roman"/>
          <w:b/>
          <w:color w:val="FF0000"/>
          <w:sz w:val="28"/>
        </w:rPr>
        <w:t>Finden Sie die zuständige deutsche Behörde, wenn M.H. seinen rechtmäßigen und gewöhnlichen Aufenthalt in Hamburg, Deutschland, hat.</w:t>
      </w:r>
    </w:p>
    <w:p w14:paraId="78D00492" w14:textId="77777777" w:rsidR="00DB530F" w:rsidRPr="003E5188" w:rsidRDefault="00DB530F" w:rsidP="00DB530F">
      <w:pPr>
        <w:spacing w:after="0"/>
        <w:jc w:val="both"/>
        <w:rPr>
          <w:rFonts w:ascii="Times New Roman" w:hAnsi="Times New Roman"/>
          <w:sz w:val="28"/>
          <w:szCs w:val="28"/>
          <w:lang w:val="en-GB"/>
        </w:rPr>
      </w:pPr>
    </w:p>
    <w:p w14:paraId="5F4C5DC8" w14:textId="77777777" w:rsidR="00DB530F" w:rsidRPr="003E5188" w:rsidRDefault="00DB530F" w:rsidP="00DB530F">
      <w:pPr>
        <w:spacing w:after="0"/>
        <w:ind w:left="360"/>
        <w:jc w:val="both"/>
        <w:rPr>
          <w:rFonts w:ascii="Times New Roman" w:hAnsi="Times New Roman"/>
          <w:sz w:val="28"/>
          <w:szCs w:val="28"/>
        </w:rPr>
      </w:pPr>
      <w:r>
        <w:rPr>
          <w:rFonts w:ascii="Times New Roman" w:hAnsi="Times New Roman"/>
          <w:sz w:val="28"/>
        </w:rPr>
        <w:t xml:space="preserve">1. Um die zuständige Behörde zu bestimmen, wählen wir </w:t>
      </w:r>
      <w:r>
        <w:rPr>
          <w:rFonts w:ascii="Times New Roman" w:hAnsi="Times New Roman"/>
          <w:b/>
          <w:sz w:val="28"/>
        </w:rPr>
        <w:t>Deutschland</w:t>
      </w:r>
      <w:r>
        <w:rPr>
          <w:rFonts w:ascii="Times New Roman" w:hAnsi="Times New Roman"/>
          <w:sz w:val="28"/>
        </w:rPr>
        <w:t xml:space="preserve"> als ausgewähltes Land (DE). Dann wählen wir, wie unten gezeigt, den Abschnitt </w:t>
      </w:r>
      <w:r>
        <w:rPr>
          <w:rFonts w:ascii="Times New Roman" w:hAnsi="Times New Roman"/>
          <w:b/>
          <w:sz w:val="28"/>
        </w:rPr>
        <w:t>Atlas</w:t>
      </w:r>
      <w:r>
        <w:rPr>
          <w:rFonts w:ascii="Times New Roman" w:hAnsi="Times New Roman"/>
          <w:sz w:val="28"/>
        </w:rPr>
        <w:t>.</w:t>
      </w:r>
    </w:p>
    <w:p w14:paraId="0FB6AE88" w14:textId="77777777" w:rsidR="00DB530F" w:rsidRPr="003E5188" w:rsidRDefault="004B3A9E" w:rsidP="00DB530F">
      <w:pPr>
        <w:spacing w:after="0"/>
        <w:ind w:left="360"/>
        <w:jc w:val="both"/>
        <w:rPr>
          <w:rFonts w:ascii="Times New Roman" w:hAnsi="Times New Roman"/>
          <w:sz w:val="28"/>
          <w:szCs w:val="28"/>
        </w:rPr>
      </w:pPr>
      <w:r>
        <w:rPr>
          <w:rFonts w:ascii="Times New Roman" w:hAnsi="Times New Roman"/>
          <w:noProof/>
          <w:sz w:val="28"/>
        </w:rPr>
        <mc:AlternateContent>
          <mc:Choice Requires="wps">
            <w:drawing>
              <wp:anchor distT="0" distB="0" distL="114300" distR="114300" simplePos="0" relativeHeight="251673600" behindDoc="0" locked="0" layoutInCell="1" allowOverlap="1" wp14:anchorId="26E37FCD" wp14:editId="00AA9E2A">
                <wp:simplePos x="0" y="0"/>
                <wp:positionH relativeFrom="column">
                  <wp:posOffset>-16933</wp:posOffset>
                </wp:positionH>
                <wp:positionV relativeFrom="paragraph">
                  <wp:posOffset>168910</wp:posOffset>
                </wp:positionV>
                <wp:extent cx="5808133" cy="5046133"/>
                <wp:effectExtent l="0" t="0" r="21590" b="21590"/>
                <wp:wrapNone/>
                <wp:docPr id="34" name="Téglalap 34"/>
                <wp:cNvGraphicFramePr/>
                <a:graphic xmlns:a="http://schemas.openxmlformats.org/drawingml/2006/main">
                  <a:graphicData uri="http://schemas.microsoft.com/office/word/2010/wordprocessingShape">
                    <wps:wsp>
                      <wps:cNvSpPr/>
                      <wps:spPr>
                        <a:xfrm>
                          <a:off x="0" y="0"/>
                          <a:ext cx="5808133" cy="50461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E56EB0" id="Téglalap 34" o:spid="_x0000_s1026" style="position:absolute;margin-left:-1.35pt;margin-top:13.3pt;width:457.35pt;height:397.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" filled="f" strokecolor="black [3213]" strokeweight="1pt"/>
            </w:pict>
          </mc:Fallback>
        </mc:AlternateContent>
      </w:r>
    </w:p>
    <w:p w14:paraId="6E5247F5" w14:textId="77777777" w:rsidR="00DB530F" w:rsidRPr="003E5188" w:rsidRDefault="00DB530F" w:rsidP="00DB530F">
      <w:pPr>
        <w:spacing w:after="0"/>
        <w:jc w:val="both"/>
        <w:rPr>
          <w:noProof/>
        </w:rPr>
      </w:pPr>
      <w:r>
        <w:rPr>
          <w:noProof/>
        </w:rPr>
        <w:drawing>
          <wp:inline distT="0" distB="0" distL="0" distR="0" wp14:anchorId="2C8257B3" wp14:editId="1F6B287A">
            <wp:extent cx="5734050" cy="49530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4953000"/>
                    </a:xfrm>
                    <a:prstGeom prst="rect">
                      <a:avLst/>
                    </a:prstGeom>
                    <a:noFill/>
                    <a:ln>
                      <a:noFill/>
                    </a:ln>
                  </pic:spPr>
                </pic:pic>
              </a:graphicData>
            </a:graphic>
          </wp:inline>
        </w:drawing>
      </w:r>
    </w:p>
    <w:p w14:paraId="659F76D1" w14:textId="77777777" w:rsidR="00DB530F" w:rsidRPr="003E5188" w:rsidRDefault="00DB530F" w:rsidP="00DB530F">
      <w:pPr>
        <w:spacing w:after="0"/>
        <w:jc w:val="both"/>
        <w:rPr>
          <w:noProof/>
          <w:lang w:val="en-GB"/>
        </w:rPr>
      </w:pPr>
    </w:p>
    <w:p w14:paraId="319E10A9" w14:textId="77777777" w:rsidR="00DB530F" w:rsidRPr="003E5188" w:rsidRDefault="00DB530F" w:rsidP="00DB530F">
      <w:pPr>
        <w:spacing w:after="0"/>
        <w:jc w:val="both"/>
        <w:rPr>
          <w:noProof/>
          <w:lang w:val="en-GB"/>
        </w:rPr>
      </w:pPr>
    </w:p>
    <w:p w14:paraId="17F1E9FB" w14:textId="77777777" w:rsidR="00DB530F" w:rsidRPr="003E5188" w:rsidRDefault="00DB530F" w:rsidP="00DB530F">
      <w:pPr>
        <w:spacing w:after="0"/>
        <w:jc w:val="both"/>
        <w:rPr>
          <w:noProof/>
          <w:lang w:val="en-GB"/>
        </w:rPr>
      </w:pPr>
    </w:p>
    <w:p w14:paraId="36A9F9B5" w14:textId="77777777" w:rsidR="00995182" w:rsidRPr="003E5188" w:rsidRDefault="00995182">
      <w:pPr>
        <w:suppressAutoHyphens w:val="0"/>
        <w:autoSpaceDN/>
        <w:spacing w:after="0"/>
        <w:textAlignment w:val="auto"/>
        <w:rPr>
          <w:noProof/>
        </w:rPr>
      </w:pPr>
      <w:r>
        <w:br w:type="page"/>
      </w:r>
    </w:p>
    <w:p w14:paraId="31DD5F15" w14:textId="77777777" w:rsidR="00995182" w:rsidRDefault="00995182" w:rsidP="00995182">
      <w:pPr>
        <w:spacing w:after="0"/>
        <w:ind w:left="360"/>
        <w:jc w:val="both"/>
        <w:rPr>
          <w:rFonts w:ascii="Times New Roman" w:hAnsi="Times New Roman"/>
          <w:sz w:val="28"/>
          <w:szCs w:val="28"/>
        </w:rPr>
      </w:pPr>
      <w:r>
        <w:rPr>
          <w:rFonts w:ascii="Times New Roman" w:hAnsi="Times New Roman"/>
          <w:sz w:val="28"/>
        </w:rPr>
        <w:lastRenderedPageBreak/>
        <w:t xml:space="preserve">2. Wir wählen die Maßnahme </w:t>
      </w:r>
      <w:r>
        <w:rPr>
          <w:rFonts w:ascii="Times New Roman" w:hAnsi="Times New Roman"/>
          <w:b/>
          <w:sz w:val="28"/>
        </w:rPr>
        <w:t>904. Bewährungsmaßnahmen</w:t>
      </w:r>
      <w:r>
        <w:rPr>
          <w:rFonts w:ascii="Times New Roman" w:hAnsi="Times New Roman"/>
          <w:sz w:val="28"/>
        </w:rPr>
        <w:t xml:space="preserve">. Dann wählen wir, wie unten gezeigt, die Schaltfläche </w:t>
      </w:r>
      <w:r>
        <w:rPr>
          <w:rFonts w:ascii="Times New Roman" w:hAnsi="Times New Roman"/>
          <w:b/>
          <w:sz w:val="28"/>
        </w:rPr>
        <w:t>Weiter</w:t>
      </w:r>
      <w:r>
        <w:rPr>
          <w:rFonts w:ascii="Times New Roman" w:hAnsi="Times New Roman"/>
          <w:sz w:val="28"/>
        </w:rPr>
        <w:t>.</w:t>
      </w:r>
    </w:p>
    <w:p w14:paraId="149589AA" w14:textId="77777777" w:rsidR="004B3A9E" w:rsidRPr="003E5188" w:rsidRDefault="004B3A9E" w:rsidP="00995182">
      <w:pPr>
        <w:spacing w:after="0"/>
        <w:ind w:left="360"/>
        <w:jc w:val="both"/>
        <w:rPr>
          <w:rFonts w:ascii="Times New Roman" w:hAnsi="Times New Roman"/>
          <w:sz w:val="28"/>
          <w:szCs w:val="28"/>
        </w:rPr>
      </w:pPr>
      <w:r>
        <w:rPr>
          <w:rFonts w:ascii="Times New Roman" w:hAnsi="Times New Roman"/>
          <w:noProof/>
          <w:sz w:val="28"/>
        </w:rPr>
        <mc:AlternateContent>
          <mc:Choice Requires="wps">
            <w:drawing>
              <wp:anchor distT="0" distB="0" distL="114300" distR="114300" simplePos="0" relativeHeight="251674624" behindDoc="0" locked="0" layoutInCell="1" allowOverlap="1" wp14:anchorId="6CFC8302" wp14:editId="2E3ACC24">
                <wp:simplePos x="0" y="0"/>
                <wp:positionH relativeFrom="column">
                  <wp:posOffset>186267</wp:posOffset>
                </wp:positionH>
                <wp:positionV relativeFrom="paragraph">
                  <wp:posOffset>166793</wp:posOffset>
                </wp:positionV>
                <wp:extent cx="5842000" cy="3733800"/>
                <wp:effectExtent l="0" t="0" r="25400" b="19050"/>
                <wp:wrapNone/>
                <wp:docPr id="35" name="Téglalap 35"/>
                <wp:cNvGraphicFramePr/>
                <a:graphic xmlns:a="http://schemas.openxmlformats.org/drawingml/2006/main">
                  <a:graphicData uri="http://schemas.microsoft.com/office/word/2010/wordprocessingShape">
                    <wps:wsp>
                      <wps:cNvSpPr/>
                      <wps:spPr>
                        <a:xfrm>
                          <a:off x="0" y="0"/>
                          <a:ext cx="5842000" cy="3733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8A1DD7" id="Téglalap 35" o:spid="_x0000_s1026" style="position:absolute;margin-left:14.65pt;margin-top:13.15pt;width:460pt;height:29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" filled="f" strokecolor="black [3213]" strokeweight="1pt"/>
            </w:pict>
          </mc:Fallback>
        </mc:AlternateContent>
      </w:r>
    </w:p>
    <w:p w14:paraId="47CEFADA" w14:textId="77777777" w:rsidR="00995182" w:rsidRPr="003E5188" w:rsidRDefault="00995182" w:rsidP="00995182">
      <w:pPr>
        <w:spacing w:after="0"/>
        <w:ind w:left="360"/>
        <w:jc w:val="both"/>
        <w:rPr>
          <w:rFonts w:ascii="Times New Roman" w:hAnsi="Times New Roman"/>
          <w:sz w:val="28"/>
          <w:szCs w:val="28"/>
        </w:rPr>
      </w:pPr>
      <w:r>
        <w:rPr>
          <w:noProof/>
        </w:rPr>
        <w:drawing>
          <wp:inline distT="0" distB="0" distL="0" distR="0" wp14:anchorId="20B64C3C" wp14:editId="0C975465">
            <wp:extent cx="5734050" cy="36385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3638550"/>
                    </a:xfrm>
                    <a:prstGeom prst="rect">
                      <a:avLst/>
                    </a:prstGeom>
                    <a:noFill/>
                    <a:ln>
                      <a:noFill/>
                    </a:ln>
                  </pic:spPr>
                </pic:pic>
              </a:graphicData>
            </a:graphic>
          </wp:inline>
        </w:drawing>
      </w:r>
    </w:p>
    <w:p w14:paraId="6A7A4A98" w14:textId="77777777" w:rsidR="00995182" w:rsidRPr="003E5188" w:rsidRDefault="00995182" w:rsidP="00995182">
      <w:pPr>
        <w:spacing w:after="0"/>
        <w:jc w:val="both"/>
        <w:rPr>
          <w:rFonts w:ascii="Times New Roman" w:hAnsi="Times New Roman"/>
          <w:sz w:val="28"/>
          <w:szCs w:val="28"/>
          <w:lang w:val="en-GB"/>
        </w:rPr>
      </w:pPr>
    </w:p>
    <w:p w14:paraId="708C9B68" w14:textId="77777777" w:rsidR="00995182" w:rsidRPr="003E5188" w:rsidRDefault="00995182" w:rsidP="00995182">
      <w:pPr>
        <w:spacing w:after="0"/>
        <w:jc w:val="both"/>
        <w:rPr>
          <w:noProof/>
          <w:lang w:val="en-GB"/>
        </w:rPr>
      </w:pPr>
    </w:p>
    <w:p w14:paraId="5D32DE17" w14:textId="77777777" w:rsidR="00995182" w:rsidRPr="003E5188" w:rsidRDefault="00995182" w:rsidP="00995182">
      <w:pPr>
        <w:spacing w:after="0"/>
        <w:ind w:left="360"/>
        <w:jc w:val="both"/>
        <w:rPr>
          <w:rFonts w:ascii="Times New Roman" w:hAnsi="Times New Roman"/>
          <w:sz w:val="28"/>
          <w:szCs w:val="28"/>
        </w:rPr>
      </w:pPr>
      <w:r>
        <w:rPr>
          <w:rFonts w:ascii="Times New Roman" w:hAnsi="Times New Roman"/>
          <w:sz w:val="28"/>
        </w:rPr>
        <w:t xml:space="preserve">3. Wir tragen </w:t>
      </w:r>
      <w:r>
        <w:rPr>
          <w:rFonts w:ascii="Times New Roman" w:hAnsi="Times New Roman"/>
          <w:b/>
          <w:sz w:val="28"/>
        </w:rPr>
        <w:t xml:space="preserve">Hamburg </w:t>
      </w:r>
      <w:r>
        <w:rPr>
          <w:rFonts w:ascii="Times New Roman" w:hAnsi="Times New Roman"/>
          <w:sz w:val="28"/>
        </w:rPr>
        <w:t xml:space="preserve">ein. Dann wählen wir, wie unten gezeigt, die Schaltfläche </w:t>
      </w:r>
      <w:r>
        <w:rPr>
          <w:rFonts w:ascii="Times New Roman" w:hAnsi="Times New Roman"/>
          <w:b/>
          <w:sz w:val="28"/>
        </w:rPr>
        <w:t>Weiter</w:t>
      </w:r>
      <w:r>
        <w:rPr>
          <w:rFonts w:ascii="Times New Roman" w:hAnsi="Times New Roman"/>
          <w:sz w:val="28"/>
        </w:rPr>
        <w:t>.</w:t>
      </w:r>
    </w:p>
    <w:p w14:paraId="037EF532" w14:textId="77777777" w:rsidR="00995182" w:rsidRPr="003E5188" w:rsidRDefault="004B3A9E" w:rsidP="00995182">
      <w:pPr>
        <w:spacing w:after="0"/>
        <w:jc w:val="both"/>
        <w:rPr>
          <w:rFonts w:ascii="Times New Roman" w:hAnsi="Times New Roman"/>
          <w:sz w:val="28"/>
          <w:szCs w:val="28"/>
        </w:rPr>
      </w:pPr>
      <w:r>
        <w:rPr>
          <w:rFonts w:ascii="Times New Roman" w:hAnsi="Times New Roman"/>
          <w:noProof/>
          <w:sz w:val="28"/>
        </w:rPr>
        <mc:AlternateContent>
          <mc:Choice Requires="wps">
            <w:drawing>
              <wp:anchor distT="0" distB="0" distL="114300" distR="114300" simplePos="0" relativeHeight="251675648" behindDoc="0" locked="0" layoutInCell="1" allowOverlap="1" wp14:anchorId="248D5BD1" wp14:editId="5E083272">
                <wp:simplePos x="0" y="0"/>
                <wp:positionH relativeFrom="column">
                  <wp:posOffset>-67733</wp:posOffset>
                </wp:positionH>
                <wp:positionV relativeFrom="paragraph">
                  <wp:posOffset>113453</wp:posOffset>
                </wp:positionV>
                <wp:extent cx="5833533" cy="3564467"/>
                <wp:effectExtent l="0" t="0" r="15240" b="17145"/>
                <wp:wrapNone/>
                <wp:docPr id="37" name="Téglalap 37"/>
                <wp:cNvGraphicFramePr/>
                <a:graphic xmlns:a="http://schemas.openxmlformats.org/drawingml/2006/main">
                  <a:graphicData uri="http://schemas.microsoft.com/office/word/2010/wordprocessingShape">
                    <wps:wsp>
                      <wps:cNvSpPr/>
                      <wps:spPr>
                        <a:xfrm>
                          <a:off x="0" y="0"/>
                          <a:ext cx="5833533" cy="35644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F0CAA8" id="Téglalap 37" o:spid="_x0000_s1026" style="position:absolute;margin-left:-5.35pt;margin-top:8.95pt;width:459.35pt;height:280.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" filled="f" strokecolor="black [3213]" strokeweight="1pt"/>
            </w:pict>
          </mc:Fallback>
        </mc:AlternateContent>
      </w:r>
    </w:p>
    <w:p w14:paraId="389134AA" w14:textId="77777777" w:rsidR="00995182" w:rsidRPr="003E5188" w:rsidRDefault="00995182" w:rsidP="00995182">
      <w:pPr>
        <w:spacing w:after="0"/>
        <w:jc w:val="both"/>
        <w:rPr>
          <w:rFonts w:ascii="Times New Roman" w:hAnsi="Times New Roman"/>
          <w:sz w:val="28"/>
          <w:szCs w:val="28"/>
        </w:rPr>
      </w:pPr>
      <w:r>
        <w:rPr>
          <w:noProof/>
        </w:rPr>
        <w:drawing>
          <wp:inline distT="0" distB="0" distL="0" distR="0" wp14:anchorId="7B84313A" wp14:editId="19617AE7">
            <wp:extent cx="5734050" cy="3419475"/>
            <wp:effectExtent l="0" t="0" r="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3419475"/>
                    </a:xfrm>
                    <a:prstGeom prst="rect">
                      <a:avLst/>
                    </a:prstGeom>
                    <a:noFill/>
                    <a:ln>
                      <a:noFill/>
                    </a:ln>
                  </pic:spPr>
                </pic:pic>
              </a:graphicData>
            </a:graphic>
          </wp:inline>
        </w:drawing>
      </w:r>
    </w:p>
    <w:p w14:paraId="359E2BC2" w14:textId="77777777" w:rsidR="00995182" w:rsidRPr="003E5188" w:rsidRDefault="00995182" w:rsidP="00995182">
      <w:pPr>
        <w:spacing w:after="0"/>
        <w:jc w:val="both"/>
        <w:rPr>
          <w:rFonts w:ascii="Times New Roman" w:hAnsi="Times New Roman"/>
          <w:sz w:val="28"/>
          <w:szCs w:val="28"/>
          <w:lang w:val="en-GB"/>
        </w:rPr>
      </w:pPr>
    </w:p>
    <w:p w14:paraId="10018EB1" w14:textId="77777777" w:rsidR="00DB530F" w:rsidRPr="003E5188" w:rsidRDefault="00DB530F" w:rsidP="00DB530F">
      <w:pPr>
        <w:spacing w:after="0"/>
        <w:jc w:val="both"/>
        <w:rPr>
          <w:noProof/>
          <w:lang w:val="en-GB"/>
        </w:rPr>
      </w:pPr>
    </w:p>
    <w:p w14:paraId="26CBCE48" w14:textId="77777777" w:rsidR="00995182" w:rsidRPr="003E5188" w:rsidRDefault="00995182" w:rsidP="00995182">
      <w:pPr>
        <w:spacing w:after="0"/>
        <w:ind w:left="360"/>
        <w:jc w:val="both"/>
        <w:rPr>
          <w:rFonts w:ascii="Times New Roman" w:hAnsi="Times New Roman"/>
          <w:sz w:val="28"/>
          <w:szCs w:val="28"/>
        </w:rPr>
      </w:pPr>
      <w:r>
        <w:rPr>
          <w:rFonts w:ascii="Times New Roman" w:hAnsi="Times New Roman"/>
          <w:sz w:val="28"/>
        </w:rPr>
        <w:t>4. Am Ende erhalten wir das unten dargestellte Ergebnis unserer Suche.</w:t>
      </w:r>
    </w:p>
    <w:p w14:paraId="73B5598C" w14:textId="77777777" w:rsidR="00995182" w:rsidRPr="003E5188" w:rsidRDefault="004B3A9E" w:rsidP="00995182">
      <w:pPr>
        <w:spacing w:after="0"/>
        <w:ind w:left="360"/>
        <w:jc w:val="both"/>
        <w:rPr>
          <w:rFonts w:ascii="Times New Roman" w:hAnsi="Times New Roman"/>
          <w:sz w:val="28"/>
          <w:szCs w:val="28"/>
        </w:rPr>
      </w:pPr>
      <w:r>
        <w:rPr>
          <w:rFonts w:ascii="Times New Roman" w:hAnsi="Times New Roman"/>
          <w:noProof/>
          <w:sz w:val="28"/>
        </w:rPr>
        <mc:AlternateContent>
          <mc:Choice Requires="wps">
            <w:drawing>
              <wp:anchor distT="0" distB="0" distL="114300" distR="114300" simplePos="0" relativeHeight="251676672" behindDoc="0" locked="0" layoutInCell="1" allowOverlap="1" wp14:anchorId="4BB4BB12" wp14:editId="6F79827E">
                <wp:simplePos x="0" y="0"/>
                <wp:positionH relativeFrom="column">
                  <wp:posOffset>-50800</wp:posOffset>
                </wp:positionH>
                <wp:positionV relativeFrom="paragraph">
                  <wp:posOffset>134197</wp:posOffset>
                </wp:positionV>
                <wp:extent cx="5808133" cy="4766733"/>
                <wp:effectExtent l="0" t="0" r="21590" b="15240"/>
                <wp:wrapNone/>
                <wp:docPr id="38" name="Téglalap 38"/>
                <wp:cNvGraphicFramePr/>
                <a:graphic xmlns:a="http://schemas.openxmlformats.org/drawingml/2006/main">
                  <a:graphicData uri="http://schemas.microsoft.com/office/word/2010/wordprocessingShape">
                    <wps:wsp>
                      <wps:cNvSpPr/>
                      <wps:spPr>
                        <a:xfrm>
                          <a:off x="0" y="0"/>
                          <a:ext cx="5808133" cy="47667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C691E8" id="Téglalap 38" o:spid="_x0000_s1026" style="position:absolute;margin-left:-4pt;margin-top:10.55pt;width:457.35pt;height:375.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" filled="f" strokecolor="black [3213]" strokeweight="1pt"/>
            </w:pict>
          </mc:Fallback>
        </mc:AlternateContent>
      </w:r>
    </w:p>
    <w:p w14:paraId="0F39554F" w14:textId="77777777" w:rsidR="00995182" w:rsidRPr="003E5188" w:rsidRDefault="00995182" w:rsidP="00995182">
      <w:pPr>
        <w:spacing w:after="0"/>
        <w:jc w:val="both"/>
      </w:pPr>
      <w:r>
        <w:rPr>
          <w:noProof/>
        </w:rPr>
        <w:drawing>
          <wp:inline distT="0" distB="0" distL="0" distR="0" wp14:anchorId="23901DA0" wp14:editId="6ACD54B8">
            <wp:extent cx="5734050" cy="46482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4648200"/>
                    </a:xfrm>
                    <a:prstGeom prst="rect">
                      <a:avLst/>
                    </a:prstGeom>
                    <a:noFill/>
                    <a:ln>
                      <a:noFill/>
                    </a:ln>
                  </pic:spPr>
                </pic:pic>
              </a:graphicData>
            </a:graphic>
          </wp:inline>
        </w:drawing>
      </w:r>
    </w:p>
    <w:p w14:paraId="258A7E82" w14:textId="77777777" w:rsidR="00DB530F" w:rsidRPr="003E5188" w:rsidRDefault="00DB530F" w:rsidP="00DB530F">
      <w:pPr>
        <w:spacing w:after="0"/>
        <w:jc w:val="both"/>
        <w:rPr>
          <w:rFonts w:ascii="Times New Roman" w:hAnsi="Times New Roman"/>
          <w:sz w:val="28"/>
          <w:szCs w:val="28"/>
          <w:lang w:val="en-GB"/>
        </w:rPr>
      </w:pPr>
    </w:p>
    <w:p w14:paraId="4D240DA7" w14:textId="77777777" w:rsidR="008C5592" w:rsidRPr="003E5188" w:rsidRDefault="008C5592" w:rsidP="00A257D5">
      <w:pPr>
        <w:ind w:left="810"/>
        <w:jc w:val="both"/>
        <w:rPr>
          <w:rFonts w:ascii="Times New Roman" w:hAnsi="Times New Roman"/>
          <w:lang w:val="en-GB"/>
        </w:rPr>
      </w:pPr>
    </w:p>
    <w:sectPr w:rsidR="008C5592" w:rsidRPr="003E5188" w:rsidSect="00070BEA">
      <w:footerReference w:type="default" r:id="rId37"/>
      <w:pgSz w:w="11906" w:h="16838"/>
      <w:pgMar w:top="1440" w:right="1440" w:bottom="1440" w:left="1440" w:header="708" w:footer="708"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C2139A" w14:textId="77777777" w:rsidR="00BE68F0" w:rsidRDefault="00BE68F0">
      <w:pPr>
        <w:spacing w:after="0"/>
      </w:pPr>
      <w:r>
        <w:separator/>
      </w:r>
    </w:p>
  </w:endnote>
  <w:endnote w:type="continuationSeparator" w:id="0">
    <w:p w14:paraId="74329029" w14:textId="77777777" w:rsidR="00BE68F0" w:rsidRDefault="00BE68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284FD" w14:textId="77777777" w:rsidR="00DB530F" w:rsidRPr="00070BEA" w:rsidRDefault="00DB530F">
    <w:pPr>
      <w:pStyle w:val="Fuzeile"/>
      <w:jc w:val="right"/>
      <w:rPr>
        <w:rFonts w:ascii="Times New Roman" w:hAnsi="Times New Roman"/>
        <w:b/>
        <w:sz w:val="24"/>
      </w:rPr>
    </w:pPr>
    <w:r w:rsidRPr="00070BEA">
      <w:rPr>
        <w:rFonts w:ascii="Times New Roman" w:hAnsi="Times New Roman"/>
        <w:b/>
        <w:sz w:val="24"/>
      </w:rPr>
      <w:fldChar w:fldCharType="begin"/>
    </w:r>
    <w:r w:rsidRPr="00070BEA">
      <w:rPr>
        <w:rFonts w:ascii="Times New Roman" w:hAnsi="Times New Roman"/>
        <w:b/>
        <w:sz w:val="24"/>
      </w:rPr>
      <w:instrText xml:space="preserve"> PAGE </w:instrText>
    </w:r>
    <w:r w:rsidRPr="00070BEA">
      <w:rPr>
        <w:rFonts w:ascii="Times New Roman" w:hAnsi="Times New Roman"/>
        <w:b/>
        <w:sz w:val="24"/>
      </w:rPr>
      <w:fldChar w:fldCharType="separate"/>
    </w:r>
    <w:r w:rsidR="00246DA4">
      <w:rPr>
        <w:rFonts w:ascii="Times New Roman" w:hAnsi="Times New Roman"/>
        <w:b/>
        <w:sz w:val="24"/>
      </w:rPr>
      <w:t>1</w:t>
    </w:r>
    <w:r w:rsidRPr="00070BEA">
      <w:rPr>
        <w:rFonts w:ascii="Times New Roman" w:hAnsi="Times New Roman"/>
        <w:b/>
        <w:sz w:val="24"/>
      </w:rPr>
      <w:fldChar w:fldCharType="end"/>
    </w:r>
  </w:p>
  <w:p w14:paraId="05B4A279" w14:textId="77777777" w:rsidR="00DB530F" w:rsidRDefault="00DB530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BEF84C" w14:textId="77777777" w:rsidR="00BE68F0" w:rsidRDefault="00BE68F0">
      <w:pPr>
        <w:spacing w:after="0"/>
      </w:pPr>
      <w:r>
        <w:rPr>
          <w:color w:val="000000"/>
        </w:rPr>
        <w:separator/>
      </w:r>
    </w:p>
  </w:footnote>
  <w:footnote w:type="continuationSeparator" w:id="0">
    <w:p w14:paraId="781532BB" w14:textId="77777777" w:rsidR="00BE68F0" w:rsidRDefault="00BE68F0">
      <w:pPr>
        <w:spacing w:after="0"/>
      </w:pPr>
      <w:r>
        <w:continuationSeparator/>
      </w:r>
    </w:p>
  </w:footnote>
  <w:footnote w:id="1">
    <w:p w14:paraId="6CD9D8D6" w14:textId="77777777" w:rsidR="00DB530F" w:rsidRDefault="00DB530F">
      <w:pPr>
        <w:pStyle w:val="Funotentext"/>
      </w:pPr>
      <w:r>
        <w:rPr>
          <w:rStyle w:val="Funotenzeichen"/>
        </w:rPr>
        <w:footnoteRef/>
      </w:r>
      <w:r>
        <w:rPr>
          <w:rFonts w:ascii="Times New Roman" w:hAnsi="Times New Roman"/>
          <w:sz w:val="18"/>
        </w:rPr>
        <w:t xml:space="preserve"> ABl. L 337 vom 16.12.2008.</w:t>
      </w:r>
    </w:p>
  </w:footnote>
  <w:footnote w:id="2">
    <w:p w14:paraId="7C608585" w14:textId="77777777" w:rsidR="00DB530F" w:rsidRDefault="00DB530F">
      <w:pPr>
        <w:pStyle w:val="Funotentext"/>
      </w:pPr>
      <w:r>
        <w:rPr>
          <w:rStyle w:val="Funotenzeichen"/>
        </w:rPr>
        <w:footnoteRef/>
      </w:r>
      <w:r>
        <w:rPr>
          <w:rFonts w:ascii="Times New Roman" w:hAnsi="Times New Roman"/>
          <w:sz w:val="18"/>
        </w:rPr>
        <w:t xml:space="preserve"> ABl. L 327 vom 5.12.2008.</w:t>
      </w:r>
    </w:p>
  </w:footnote>
  <w:footnote w:id="3">
    <w:p w14:paraId="1DEF4238" w14:textId="77777777" w:rsidR="00DB530F" w:rsidRDefault="00DB530F">
      <w:pPr>
        <w:pStyle w:val="Funotentext"/>
      </w:pPr>
      <w:r>
        <w:rPr>
          <w:rStyle w:val="Funotenzeichen"/>
        </w:rPr>
        <w:footnoteRef/>
      </w:r>
      <w:r>
        <w:rPr>
          <w:rFonts w:ascii="Times New Roman" w:hAnsi="Times New Roman"/>
          <w:sz w:val="18"/>
        </w:rPr>
        <w:t xml:space="preserve"> ABl. L 76 vom 22.3.2005.</w:t>
      </w:r>
    </w:p>
  </w:footnote>
  <w:footnote w:id="4">
    <w:p w14:paraId="7ECC1E67" w14:textId="77777777" w:rsidR="00DB530F" w:rsidRDefault="00DB530F">
      <w:pPr>
        <w:pStyle w:val="Funotentext"/>
      </w:pPr>
      <w:r>
        <w:rPr>
          <w:rStyle w:val="Funotenzeichen"/>
        </w:rPr>
        <w:footnoteRef/>
      </w:r>
      <w:r>
        <w:rPr>
          <w:rFonts w:ascii="Times New Roman" w:hAnsi="Times New Roman"/>
          <w:sz w:val="18"/>
        </w:rPr>
        <w:t xml:space="preserve"> ABl. L 328 vom 24.11.2006.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75AA7"/>
    <w:multiLevelType w:val="hybridMultilevel"/>
    <w:tmpl w:val="4702830C"/>
    <w:lvl w:ilvl="0" w:tplc="04070013">
      <w:start w:val="1"/>
      <w:numFmt w:val="upperRoman"/>
      <w:lvlText w:val="%1."/>
      <w:lvlJc w:val="righ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 w15:restartNumberingAfterBreak="0">
    <w:nsid w:val="071675F4"/>
    <w:multiLevelType w:val="multilevel"/>
    <w:tmpl w:val="BFA25A0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8AC619C"/>
    <w:multiLevelType w:val="multilevel"/>
    <w:tmpl w:val="E3F0028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F805524"/>
    <w:multiLevelType w:val="hybridMultilevel"/>
    <w:tmpl w:val="2F9CBDE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E94530"/>
    <w:multiLevelType w:val="multilevel"/>
    <w:tmpl w:val="0E8445E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A02786C"/>
    <w:multiLevelType w:val="multilevel"/>
    <w:tmpl w:val="3F727E54"/>
    <w:lvl w:ilvl="0">
      <w:numFmt w:val="bullet"/>
      <w:lvlText w:val=""/>
      <w:lvlJc w:val="left"/>
      <w:pPr>
        <w:ind w:left="720" w:hanging="360"/>
      </w:pPr>
      <w:rPr>
        <w:rFonts w:ascii="Wingdings" w:hAnsi="Wingding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9300A0"/>
    <w:multiLevelType w:val="multilevel"/>
    <w:tmpl w:val="384C4966"/>
    <w:lvl w:ilvl="0">
      <w:numFmt w:val="bullet"/>
      <w:lvlText w:val=""/>
      <w:lvlJc w:val="left"/>
      <w:pPr>
        <w:ind w:left="744" w:hanging="360"/>
      </w:pPr>
      <w:rPr>
        <w:rFonts w:ascii="Wingdings" w:hAnsi="Wingdings"/>
      </w:rPr>
    </w:lvl>
    <w:lvl w:ilvl="1">
      <w:start w:val="1"/>
      <w:numFmt w:val="lowerLetter"/>
      <w:lvlText w:val="%2."/>
      <w:lvlJc w:val="left"/>
      <w:pPr>
        <w:ind w:left="1464" w:hanging="360"/>
      </w:pPr>
    </w:lvl>
    <w:lvl w:ilvl="2">
      <w:start w:val="1"/>
      <w:numFmt w:val="lowerRoman"/>
      <w:lvlText w:val="%3."/>
      <w:lvlJc w:val="right"/>
      <w:pPr>
        <w:ind w:left="2184" w:hanging="180"/>
      </w:pPr>
    </w:lvl>
    <w:lvl w:ilvl="3">
      <w:start w:val="1"/>
      <w:numFmt w:val="decimal"/>
      <w:lvlText w:val="%4."/>
      <w:lvlJc w:val="left"/>
      <w:pPr>
        <w:ind w:left="2904" w:hanging="360"/>
      </w:pPr>
    </w:lvl>
    <w:lvl w:ilvl="4">
      <w:start w:val="1"/>
      <w:numFmt w:val="lowerLetter"/>
      <w:lvlText w:val="%5."/>
      <w:lvlJc w:val="left"/>
      <w:pPr>
        <w:ind w:left="3624" w:hanging="360"/>
      </w:pPr>
    </w:lvl>
    <w:lvl w:ilvl="5">
      <w:start w:val="1"/>
      <w:numFmt w:val="lowerRoman"/>
      <w:lvlText w:val="%6."/>
      <w:lvlJc w:val="right"/>
      <w:pPr>
        <w:ind w:left="4344" w:hanging="180"/>
      </w:pPr>
    </w:lvl>
    <w:lvl w:ilvl="6">
      <w:start w:val="1"/>
      <w:numFmt w:val="decimal"/>
      <w:lvlText w:val="%7."/>
      <w:lvlJc w:val="left"/>
      <w:pPr>
        <w:ind w:left="5064" w:hanging="360"/>
      </w:pPr>
    </w:lvl>
    <w:lvl w:ilvl="7">
      <w:start w:val="1"/>
      <w:numFmt w:val="lowerLetter"/>
      <w:lvlText w:val="%8."/>
      <w:lvlJc w:val="left"/>
      <w:pPr>
        <w:ind w:left="5784" w:hanging="360"/>
      </w:pPr>
    </w:lvl>
    <w:lvl w:ilvl="8">
      <w:start w:val="1"/>
      <w:numFmt w:val="lowerRoman"/>
      <w:lvlText w:val="%9."/>
      <w:lvlJc w:val="right"/>
      <w:pPr>
        <w:ind w:left="6504" w:hanging="180"/>
      </w:pPr>
    </w:lvl>
  </w:abstractNum>
  <w:abstractNum w:abstractNumId="7" w15:restartNumberingAfterBreak="0">
    <w:nsid w:val="24493866"/>
    <w:multiLevelType w:val="multilevel"/>
    <w:tmpl w:val="9F2A828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8200A0B"/>
    <w:multiLevelType w:val="multilevel"/>
    <w:tmpl w:val="592429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94265E"/>
    <w:multiLevelType w:val="multilevel"/>
    <w:tmpl w:val="1E96B1EC"/>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BC60494"/>
    <w:multiLevelType w:val="multilevel"/>
    <w:tmpl w:val="977E63A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D60725D"/>
    <w:multiLevelType w:val="multilevel"/>
    <w:tmpl w:val="4DC62570"/>
    <w:lvl w:ilvl="0">
      <w:start w:val="5"/>
      <w:numFmt w:val="none"/>
      <w:lvlText w:val="%1"/>
      <w:lvlJc w:val="left"/>
      <w:pPr>
        <w:ind w:left="1080" w:hanging="360"/>
      </w:pPr>
      <w:rPr>
        <w:rFonts w:ascii="Times New Roman" w:eastAsia="Calibri"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2" w15:restartNumberingAfterBreak="0">
    <w:nsid w:val="2EAB0AC1"/>
    <w:multiLevelType w:val="hybridMultilevel"/>
    <w:tmpl w:val="4FAA93AE"/>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519389E"/>
    <w:multiLevelType w:val="multilevel"/>
    <w:tmpl w:val="0AE6968C"/>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4" w15:restartNumberingAfterBreak="0">
    <w:nsid w:val="387A6A3F"/>
    <w:multiLevelType w:val="multilevel"/>
    <w:tmpl w:val="75DE239C"/>
    <w:lvl w:ilvl="0">
      <w:numFmt w:val="bullet"/>
      <w:lvlText w:val=""/>
      <w:lvlJc w:val="left"/>
      <w:pPr>
        <w:ind w:left="852" w:hanging="360"/>
      </w:pPr>
      <w:rPr>
        <w:rFonts w:ascii="Wingdings" w:hAnsi="Wingdings"/>
      </w:rPr>
    </w:lvl>
    <w:lvl w:ilvl="1">
      <w:numFmt w:val="bullet"/>
      <w:lvlText w:val="o"/>
      <w:lvlJc w:val="left"/>
      <w:pPr>
        <w:ind w:left="1572" w:hanging="360"/>
      </w:pPr>
      <w:rPr>
        <w:rFonts w:ascii="Courier New" w:hAnsi="Courier New" w:cs="Courier New"/>
      </w:rPr>
    </w:lvl>
    <w:lvl w:ilvl="2">
      <w:numFmt w:val="bullet"/>
      <w:lvlText w:val=""/>
      <w:lvlJc w:val="left"/>
      <w:pPr>
        <w:ind w:left="2292" w:hanging="360"/>
      </w:pPr>
      <w:rPr>
        <w:rFonts w:ascii="Wingdings" w:hAnsi="Wingdings"/>
      </w:rPr>
    </w:lvl>
    <w:lvl w:ilvl="3">
      <w:numFmt w:val="bullet"/>
      <w:lvlText w:val=""/>
      <w:lvlJc w:val="left"/>
      <w:pPr>
        <w:ind w:left="3012" w:hanging="360"/>
      </w:pPr>
      <w:rPr>
        <w:rFonts w:ascii="Symbol" w:hAnsi="Symbol"/>
      </w:rPr>
    </w:lvl>
    <w:lvl w:ilvl="4">
      <w:numFmt w:val="bullet"/>
      <w:lvlText w:val="o"/>
      <w:lvlJc w:val="left"/>
      <w:pPr>
        <w:ind w:left="3732" w:hanging="360"/>
      </w:pPr>
      <w:rPr>
        <w:rFonts w:ascii="Courier New" w:hAnsi="Courier New" w:cs="Courier New"/>
      </w:rPr>
    </w:lvl>
    <w:lvl w:ilvl="5">
      <w:numFmt w:val="bullet"/>
      <w:lvlText w:val=""/>
      <w:lvlJc w:val="left"/>
      <w:pPr>
        <w:ind w:left="4452" w:hanging="360"/>
      </w:pPr>
      <w:rPr>
        <w:rFonts w:ascii="Wingdings" w:hAnsi="Wingdings"/>
      </w:rPr>
    </w:lvl>
    <w:lvl w:ilvl="6">
      <w:numFmt w:val="bullet"/>
      <w:lvlText w:val=""/>
      <w:lvlJc w:val="left"/>
      <w:pPr>
        <w:ind w:left="5172" w:hanging="360"/>
      </w:pPr>
      <w:rPr>
        <w:rFonts w:ascii="Symbol" w:hAnsi="Symbol"/>
      </w:rPr>
    </w:lvl>
    <w:lvl w:ilvl="7">
      <w:numFmt w:val="bullet"/>
      <w:lvlText w:val="o"/>
      <w:lvlJc w:val="left"/>
      <w:pPr>
        <w:ind w:left="5892" w:hanging="360"/>
      </w:pPr>
      <w:rPr>
        <w:rFonts w:ascii="Courier New" w:hAnsi="Courier New" w:cs="Courier New"/>
      </w:rPr>
    </w:lvl>
    <w:lvl w:ilvl="8">
      <w:numFmt w:val="bullet"/>
      <w:lvlText w:val=""/>
      <w:lvlJc w:val="left"/>
      <w:pPr>
        <w:ind w:left="6612" w:hanging="360"/>
      </w:pPr>
      <w:rPr>
        <w:rFonts w:ascii="Wingdings" w:hAnsi="Wingdings"/>
      </w:rPr>
    </w:lvl>
  </w:abstractNum>
  <w:abstractNum w:abstractNumId="15" w15:restartNumberingAfterBreak="0">
    <w:nsid w:val="42D94B3F"/>
    <w:multiLevelType w:val="hybridMultilevel"/>
    <w:tmpl w:val="AED8078E"/>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36E224D"/>
    <w:multiLevelType w:val="multilevel"/>
    <w:tmpl w:val="3C48EC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42E6D2E"/>
    <w:multiLevelType w:val="multilevel"/>
    <w:tmpl w:val="920A0F40"/>
    <w:lvl w:ilvl="0">
      <w:numFmt w:val="bullet"/>
      <w:lvlText w:val=""/>
      <w:lvlJc w:val="left"/>
      <w:pPr>
        <w:ind w:left="744" w:hanging="360"/>
      </w:pPr>
      <w:rPr>
        <w:rFonts w:ascii="Wingdings" w:hAnsi="Wingdings"/>
      </w:rPr>
    </w:lvl>
    <w:lvl w:ilvl="1">
      <w:numFmt w:val="bullet"/>
      <w:lvlText w:val="o"/>
      <w:lvlJc w:val="left"/>
      <w:pPr>
        <w:ind w:left="1464" w:hanging="360"/>
      </w:pPr>
      <w:rPr>
        <w:rFonts w:ascii="Courier New" w:hAnsi="Courier New" w:cs="Courier New"/>
      </w:rPr>
    </w:lvl>
    <w:lvl w:ilvl="2">
      <w:numFmt w:val="bullet"/>
      <w:lvlText w:val=""/>
      <w:lvlJc w:val="left"/>
      <w:pPr>
        <w:ind w:left="2184" w:hanging="360"/>
      </w:pPr>
      <w:rPr>
        <w:rFonts w:ascii="Wingdings" w:hAnsi="Wingdings"/>
      </w:rPr>
    </w:lvl>
    <w:lvl w:ilvl="3">
      <w:numFmt w:val="bullet"/>
      <w:lvlText w:val=""/>
      <w:lvlJc w:val="left"/>
      <w:pPr>
        <w:ind w:left="2904" w:hanging="360"/>
      </w:pPr>
      <w:rPr>
        <w:rFonts w:ascii="Symbol" w:hAnsi="Symbol"/>
      </w:rPr>
    </w:lvl>
    <w:lvl w:ilvl="4">
      <w:numFmt w:val="bullet"/>
      <w:lvlText w:val="o"/>
      <w:lvlJc w:val="left"/>
      <w:pPr>
        <w:ind w:left="3624" w:hanging="360"/>
      </w:pPr>
      <w:rPr>
        <w:rFonts w:ascii="Courier New" w:hAnsi="Courier New" w:cs="Courier New"/>
      </w:rPr>
    </w:lvl>
    <w:lvl w:ilvl="5">
      <w:numFmt w:val="bullet"/>
      <w:lvlText w:val=""/>
      <w:lvlJc w:val="left"/>
      <w:pPr>
        <w:ind w:left="4344" w:hanging="360"/>
      </w:pPr>
      <w:rPr>
        <w:rFonts w:ascii="Wingdings" w:hAnsi="Wingdings"/>
      </w:rPr>
    </w:lvl>
    <w:lvl w:ilvl="6">
      <w:numFmt w:val="bullet"/>
      <w:lvlText w:val=""/>
      <w:lvlJc w:val="left"/>
      <w:pPr>
        <w:ind w:left="5064" w:hanging="360"/>
      </w:pPr>
      <w:rPr>
        <w:rFonts w:ascii="Symbol" w:hAnsi="Symbol"/>
      </w:rPr>
    </w:lvl>
    <w:lvl w:ilvl="7">
      <w:numFmt w:val="bullet"/>
      <w:lvlText w:val="o"/>
      <w:lvlJc w:val="left"/>
      <w:pPr>
        <w:ind w:left="5784" w:hanging="360"/>
      </w:pPr>
      <w:rPr>
        <w:rFonts w:ascii="Courier New" w:hAnsi="Courier New" w:cs="Courier New"/>
      </w:rPr>
    </w:lvl>
    <w:lvl w:ilvl="8">
      <w:numFmt w:val="bullet"/>
      <w:lvlText w:val=""/>
      <w:lvlJc w:val="left"/>
      <w:pPr>
        <w:ind w:left="6504" w:hanging="360"/>
      </w:pPr>
      <w:rPr>
        <w:rFonts w:ascii="Wingdings" w:hAnsi="Wingdings"/>
      </w:rPr>
    </w:lvl>
  </w:abstractNum>
  <w:abstractNum w:abstractNumId="18" w15:restartNumberingAfterBreak="0">
    <w:nsid w:val="44401AC5"/>
    <w:multiLevelType w:val="multilevel"/>
    <w:tmpl w:val="3F586C14"/>
    <w:lvl w:ilvl="0">
      <w:numFmt w:val="bullet"/>
      <w:lvlText w:val=""/>
      <w:lvlJc w:val="left"/>
      <w:pPr>
        <w:ind w:left="672" w:hanging="360"/>
      </w:pPr>
      <w:rPr>
        <w:rFonts w:ascii="Wingdings" w:hAnsi="Wingdings"/>
      </w:rPr>
    </w:lvl>
    <w:lvl w:ilvl="1">
      <w:numFmt w:val="bullet"/>
      <w:lvlText w:val="o"/>
      <w:lvlJc w:val="left"/>
      <w:pPr>
        <w:ind w:left="1392" w:hanging="360"/>
      </w:pPr>
      <w:rPr>
        <w:rFonts w:ascii="Courier New" w:hAnsi="Courier New" w:cs="Courier New"/>
      </w:rPr>
    </w:lvl>
    <w:lvl w:ilvl="2">
      <w:numFmt w:val="bullet"/>
      <w:lvlText w:val=""/>
      <w:lvlJc w:val="left"/>
      <w:pPr>
        <w:ind w:left="2112" w:hanging="360"/>
      </w:pPr>
      <w:rPr>
        <w:rFonts w:ascii="Wingdings" w:hAnsi="Wingdings"/>
      </w:rPr>
    </w:lvl>
    <w:lvl w:ilvl="3">
      <w:numFmt w:val="bullet"/>
      <w:lvlText w:val=""/>
      <w:lvlJc w:val="left"/>
      <w:pPr>
        <w:ind w:left="2832" w:hanging="360"/>
      </w:pPr>
      <w:rPr>
        <w:rFonts w:ascii="Symbol" w:hAnsi="Symbol"/>
      </w:rPr>
    </w:lvl>
    <w:lvl w:ilvl="4">
      <w:numFmt w:val="bullet"/>
      <w:lvlText w:val="o"/>
      <w:lvlJc w:val="left"/>
      <w:pPr>
        <w:ind w:left="3552" w:hanging="360"/>
      </w:pPr>
      <w:rPr>
        <w:rFonts w:ascii="Courier New" w:hAnsi="Courier New" w:cs="Courier New"/>
      </w:rPr>
    </w:lvl>
    <w:lvl w:ilvl="5">
      <w:numFmt w:val="bullet"/>
      <w:lvlText w:val=""/>
      <w:lvlJc w:val="left"/>
      <w:pPr>
        <w:ind w:left="4272" w:hanging="360"/>
      </w:pPr>
      <w:rPr>
        <w:rFonts w:ascii="Wingdings" w:hAnsi="Wingdings"/>
      </w:rPr>
    </w:lvl>
    <w:lvl w:ilvl="6">
      <w:numFmt w:val="bullet"/>
      <w:lvlText w:val=""/>
      <w:lvlJc w:val="left"/>
      <w:pPr>
        <w:ind w:left="4992" w:hanging="360"/>
      </w:pPr>
      <w:rPr>
        <w:rFonts w:ascii="Symbol" w:hAnsi="Symbol"/>
      </w:rPr>
    </w:lvl>
    <w:lvl w:ilvl="7">
      <w:numFmt w:val="bullet"/>
      <w:lvlText w:val="o"/>
      <w:lvlJc w:val="left"/>
      <w:pPr>
        <w:ind w:left="5712" w:hanging="360"/>
      </w:pPr>
      <w:rPr>
        <w:rFonts w:ascii="Courier New" w:hAnsi="Courier New" w:cs="Courier New"/>
      </w:rPr>
    </w:lvl>
    <w:lvl w:ilvl="8">
      <w:numFmt w:val="bullet"/>
      <w:lvlText w:val=""/>
      <w:lvlJc w:val="left"/>
      <w:pPr>
        <w:ind w:left="6432" w:hanging="360"/>
      </w:pPr>
      <w:rPr>
        <w:rFonts w:ascii="Wingdings" w:hAnsi="Wingdings"/>
      </w:rPr>
    </w:lvl>
  </w:abstractNum>
  <w:abstractNum w:abstractNumId="19" w15:restartNumberingAfterBreak="0">
    <w:nsid w:val="451B5ED5"/>
    <w:multiLevelType w:val="multilevel"/>
    <w:tmpl w:val="CC64AEFA"/>
    <w:lvl w:ilvl="0">
      <w:numFmt w:val="bullet"/>
      <w:lvlText w:val="-"/>
      <w:lvlJc w:val="left"/>
      <w:pPr>
        <w:ind w:left="1080" w:hanging="360"/>
      </w:pPr>
      <w:rPr>
        <w:rFonts w:ascii="Times New Roman" w:eastAsia="Calibri"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0" w15:restartNumberingAfterBreak="0">
    <w:nsid w:val="488850F3"/>
    <w:multiLevelType w:val="multilevel"/>
    <w:tmpl w:val="1E96B1EC"/>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49EB0222"/>
    <w:multiLevelType w:val="hybridMultilevel"/>
    <w:tmpl w:val="566253F2"/>
    <w:lvl w:ilvl="0" w:tplc="08090009">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22" w15:restartNumberingAfterBreak="0">
    <w:nsid w:val="4DE50897"/>
    <w:multiLevelType w:val="multilevel"/>
    <w:tmpl w:val="6986DA1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E321ADC"/>
    <w:multiLevelType w:val="multilevel"/>
    <w:tmpl w:val="5B925E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28A4391"/>
    <w:multiLevelType w:val="multilevel"/>
    <w:tmpl w:val="C952D4E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56CE5C49"/>
    <w:multiLevelType w:val="multilevel"/>
    <w:tmpl w:val="5D6A0C6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586A1453"/>
    <w:multiLevelType w:val="multilevel"/>
    <w:tmpl w:val="D28034FE"/>
    <w:lvl w:ilvl="0">
      <w:numFmt w:val="bullet"/>
      <w:lvlText w:val=""/>
      <w:lvlJc w:val="left"/>
      <w:pPr>
        <w:ind w:left="840" w:hanging="360"/>
      </w:pPr>
      <w:rPr>
        <w:rFonts w:ascii="Wingdings" w:hAnsi="Wingdings"/>
      </w:rPr>
    </w:lvl>
    <w:lvl w:ilvl="1">
      <w:numFmt w:val="bullet"/>
      <w:lvlText w:val="o"/>
      <w:lvlJc w:val="left"/>
      <w:pPr>
        <w:ind w:left="1560" w:hanging="360"/>
      </w:pPr>
      <w:rPr>
        <w:rFonts w:ascii="Courier New" w:hAnsi="Courier New" w:cs="Courier New"/>
      </w:rPr>
    </w:lvl>
    <w:lvl w:ilvl="2">
      <w:numFmt w:val="bullet"/>
      <w:lvlText w:val=""/>
      <w:lvlJc w:val="left"/>
      <w:pPr>
        <w:ind w:left="2280" w:hanging="360"/>
      </w:pPr>
      <w:rPr>
        <w:rFonts w:ascii="Wingdings" w:hAnsi="Wingdings"/>
      </w:rPr>
    </w:lvl>
    <w:lvl w:ilvl="3">
      <w:numFmt w:val="bullet"/>
      <w:lvlText w:val=""/>
      <w:lvlJc w:val="left"/>
      <w:pPr>
        <w:ind w:left="3000" w:hanging="360"/>
      </w:pPr>
      <w:rPr>
        <w:rFonts w:ascii="Symbol" w:hAnsi="Symbol"/>
      </w:rPr>
    </w:lvl>
    <w:lvl w:ilvl="4">
      <w:numFmt w:val="bullet"/>
      <w:lvlText w:val="o"/>
      <w:lvlJc w:val="left"/>
      <w:pPr>
        <w:ind w:left="3720" w:hanging="360"/>
      </w:pPr>
      <w:rPr>
        <w:rFonts w:ascii="Courier New" w:hAnsi="Courier New" w:cs="Courier New"/>
      </w:rPr>
    </w:lvl>
    <w:lvl w:ilvl="5">
      <w:numFmt w:val="bullet"/>
      <w:lvlText w:val=""/>
      <w:lvlJc w:val="left"/>
      <w:pPr>
        <w:ind w:left="4440" w:hanging="360"/>
      </w:pPr>
      <w:rPr>
        <w:rFonts w:ascii="Wingdings" w:hAnsi="Wingdings"/>
      </w:rPr>
    </w:lvl>
    <w:lvl w:ilvl="6">
      <w:numFmt w:val="bullet"/>
      <w:lvlText w:val=""/>
      <w:lvlJc w:val="left"/>
      <w:pPr>
        <w:ind w:left="5160" w:hanging="360"/>
      </w:pPr>
      <w:rPr>
        <w:rFonts w:ascii="Symbol" w:hAnsi="Symbol"/>
      </w:rPr>
    </w:lvl>
    <w:lvl w:ilvl="7">
      <w:numFmt w:val="bullet"/>
      <w:lvlText w:val="o"/>
      <w:lvlJc w:val="left"/>
      <w:pPr>
        <w:ind w:left="5880" w:hanging="360"/>
      </w:pPr>
      <w:rPr>
        <w:rFonts w:ascii="Courier New" w:hAnsi="Courier New" w:cs="Courier New"/>
      </w:rPr>
    </w:lvl>
    <w:lvl w:ilvl="8">
      <w:numFmt w:val="bullet"/>
      <w:lvlText w:val=""/>
      <w:lvlJc w:val="left"/>
      <w:pPr>
        <w:ind w:left="6600" w:hanging="360"/>
      </w:pPr>
      <w:rPr>
        <w:rFonts w:ascii="Wingdings" w:hAnsi="Wingdings"/>
      </w:rPr>
    </w:lvl>
  </w:abstractNum>
  <w:abstractNum w:abstractNumId="27" w15:restartNumberingAfterBreak="0">
    <w:nsid w:val="5B2C7710"/>
    <w:multiLevelType w:val="multilevel"/>
    <w:tmpl w:val="E3B656BC"/>
    <w:lvl w:ilvl="0">
      <w:numFmt w:val="bullet"/>
      <w:lvlText w:val=""/>
      <w:lvlJc w:val="left"/>
      <w:pPr>
        <w:ind w:left="768" w:hanging="360"/>
      </w:pPr>
      <w:rPr>
        <w:rFonts w:ascii="Wingdings" w:hAnsi="Wingdings"/>
      </w:rPr>
    </w:lvl>
    <w:lvl w:ilvl="1">
      <w:numFmt w:val="bullet"/>
      <w:lvlText w:val="o"/>
      <w:lvlJc w:val="left"/>
      <w:pPr>
        <w:ind w:left="1488" w:hanging="360"/>
      </w:pPr>
      <w:rPr>
        <w:rFonts w:ascii="Courier New" w:hAnsi="Courier New" w:cs="Courier New"/>
      </w:rPr>
    </w:lvl>
    <w:lvl w:ilvl="2">
      <w:numFmt w:val="bullet"/>
      <w:lvlText w:val=""/>
      <w:lvlJc w:val="left"/>
      <w:pPr>
        <w:ind w:left="2208" w:hanging="360"/>
      </w:pPr>
      <w:rPr>
        <w:rFonts w:ascii="Wingdings" w:hAnsi="Wingdings"/>
      </w:rPr>
    </w:lvl>
    <w:lvl w:ilvl="3">
      <w:numFmt w:val="bullet"/>
      <w:lvlText w:val=""/>
      <w:lvlJc w:val="left"/>
      <w:pPr>
        <w:ind w:left="2928" w:hanging="360"/>
      </w:pPr>
      <w:rPr>
        <w:rFonts w:ascii="Symbol" w:hAnsi="Symbol"/>
      </w:rPr>
    </w:lvl>
    <w:lvl w:ilvl="4">
      <w:numFmt w:val="bullet"/>
      <w:lvlText w:val="o"/>
      <w:lvlJc w:val="left"/>
      <w:pPr>
        <w:ind w:left="3648" w:hanging="360"/>
      </w:pPr>
      <w:rPr>
        <w:rFonts w:ascii="Courier New" w:hAnsi="Courier New" w:cs="Courier New"/>
      </w:rPr>
    </w:lvl>
    <w:lvl w:ilvl="5">
      <w:numFmt w:val="bullet"/>
      <w:lvlText w:val=""/>
      <w:lvlJc w:val="left"/>
      <w:pPr>
        <w:ind w:left="4368" w:hanging="360"/>
      </w:pPr>
      <w:rPr>
        <w:rFonts w:ascii="Wingdings" w:hAnsi="Wingdings"/>
      </w:rPr>
    </w:lvl>
    <w:lvl w:ilvl="6">
      <w:numFmt w:val="bullet"/>
      <w:lvlText w:val=""/>
      <w:lvlJc w:val="left"/>
      <w:pPr>
        <w:ind w:left="5088" w:hanging="360"/>
      </w:pPr>
      <w:rPr>
        <w:rFonts w:ascii="Symbol" w:hAnsi="Symbol"/>
      </w:rPr>
    </w:lvl>
    <w:lvl w:ilvl="7">
      <w:numFmt w:val="bullet"/>
      <w:lvlText w:val="o"/>
      <w:lvlJc w:val="left"/>
      <w:pPr>
        <w:ind w:left="5808" w:hanging="360"/>
      </w:pPr>
      <w:rPr>
        <w:rFonts w:ascii="Courier New" w:hAnsi="Courier New" w:cs="Courier New"/>
      </w:rPr>
    </w:lvl>
    <w:lvl w:ilvl="8">
      <w:numFmt w:val="bullet"/>
      <w:lvlText w:val=""/>
      <w:lvlJc w:val="left"/>
      <w:pPr>
        <w:ind w:left="6528" w:hanging="360"/>
      </w:pPr>
      <w:rPr>
        <w:rFonts w:ascii="Wingdings" w:hAnsi="Wingdings"/>
      </w:rPr>
    </w:lvl>
  </w:abstractNum>
  <w:abstractNum w:abstractNumId="28" w15:restartNumberingAfterBreak="0">
    <w:nsid w:val="5E855A8C"/>
    <w:multiLevelType w:val="multilevel"/>
    <w:tmpl w:val="E18A141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F6F7F15"/>
    <w:multiLevelType w:val="multilevel"/>
    <w:tmpl w:val="6B0C3600"/>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0" w15:restartNumberingAfterBreak="0">
    <w:nsid w:val="6695204B"/>
    <w:multiLevelType w:val="multilevel"/>
    <w:tmpl w:val="1E96B1EC"/>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68334BCB"/>
    <w:multiLevelType w:val="multilevel"/>
    <w:tmpl w:val="CDB880C8"/>
    <w:lvl w:ilvl="0">
      <w:numFmt w:val="bullet"/>
      <w:lvlText w:val=""/>
      <w:lvlJc w:val="left"/>
      <w:pPr>
        <w:ind w:left="744" w:hanging="360"/>
      </w:pPr>
      <w:rPr>
        <w:rFonts w:ascii="Wingdings" w:hAnsi="Wingdings"/>
      </w:rPr>
    </w:lvl>
    <w:lvl w:ilvl="1">
      <w:numFmt w:val="bullet"/>
      <w:lvlText w:val="o"/>
      <w:lvlJc w:val="left"/>
      <w:pPr>
        <w:ind w:left="1464" w:hanging="360"/>
      </w:pPr>
      <w:rPr>
        <w:rFonts w:ascii="Courier New" w:hAnsi="Courier New" w:cs="Courier New"/>
      </w:rPr>
    </w:lvl>
    <w:lvl w:ilvl="2">
      <w:numFmt w:val="bullet"/>
      <w:lvlText w:val=""/>
      <w:lvlJc w:val="left"/>
      <w:pPr>
        <w:ind w:left="2184" w:hanging="360"/>
      </w:pPr>
      <w:rPr>
        <w:rFonts w:ascii="Wingdings" w:hAnsi="Wingdings"/>
      </w:rPr>
    </w:lvl>
    <w:lvl w:ilvl="3">
      <w:numFmt w:val="bullet"/>
      <w:lvlText w:val=""/>
      <w:lvlJc w:val="left"/>
      <w:pPr>
        <w:ind w:left="2904" w:hanging="360"/>
      </w:pPr>
      <w:rPr>
        <w:rFonts w:ascii="Symbol" w:hAnsi="Symbol"/>
      </w:rPr>
    </w:lvl>
    <w:lvl w:ilvl="4">
      <w:numFmt w:val="bullet"/>
      <w:lvlText w:val="o"/>
      <w:lvlJc w:val="left"/>
      <w:pPr>
        <w:ind w:left="3624" w:hanging="360"/>
      </w:pPr>
      <w:rPr>
        <w:rFonts w:ascii="Courier New" w:hAnsi="Courier New" w:cs="Courier New"/>
      </w:rPr>
    </w:lvl>
    <w:lvl w:ilvl="5">
      <w:numFmt w:val="bullet"/>
      <w:lvlText w:val=""/>
      <w:lvlJc w:val="left"/>
      <w:pPr>
        <w:ind w:left="4344" w:hanging="360"/>
      </w:pPr>
      <w:rPr>
        <w:rFonts w:ascii="Wingdings" w:hAnsi="Wingdings"/>
      </w:rPr>
    </w:lvl>
    <w:lvl w:ilvl="6">
      <w:numFmt w:val="bullet"/>
      <w:lvlText w:val=""/>
      <w:lvlJc w:val="left"/>
      <w:pPr>
        <w:ind w:left="5064" w:hanging="360"/>
      </w:pPr>
      <w:rPr>
        <w:rFonts w:ascii="Symbol" w:hAnsi="Symbol"/>
      </w:rPr>
    </w:lvl>
    <w:lvl w:ilvl="7">
      <w:numFmt w:val="bullet"/>
      <w:lvlText w:val="o"/>
      <w:lvlJc w:val="left"/>
      <w:pPr>
        <w:ind w:left="5784" w:hanging="360"/>
      </w:pPr>
      <w:rPr>
        <w:rFonts w:ascii="Courier New" w:hAnsi="Courier New" w:cs="Courier New"/>
      </w:rPr>
    </w:lvl>
    <w:lvl w:ilvl="8">
      <w:numFmt w:val="bullet"/>
      <w:lvlText w:val=""/>
      <w:lvlJc w:val="left"/>
      <w:pPr>
        <w:ind w:left="6504" w:hanging="360"/>
      </w:pPr>
      <w:rPr>
        <w:rFonts w:ascii="Wingdings" w:hAnsi="Wingdings"/>
      </w:rPr>
    </w:lvl>
  </w:abstractNum>
  <w:abstractNum w:abstractNumId="32" w15:restartNumberingAfterBreak="0">
    <w:nsid w:val="692A312C"/>
    <w:multiLevelType w:val="multilevel"/>
    <w:tmpl w:val="54DC09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8B5C11"/>
    <w:multiLevelType w:val="multilevel"/>
    <w:tmpl w:val="727205E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EFB5CFC"/>
    <w:multiLevelType w:val="multilevel"/>
    <w:tmpl w:val="0972B012"/>
    <w:lvl w:ilvl="0">
      <w:start w:val="1"/>
      <w:numFmt w:val="decimal"/>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num w:numId="1">
    <w:abstractNumId w:val="5"/>
  </w:num>
  <w:num w:numId="2">
    <w:abstractNumId w:val="13"/>
  </w:num>
  <w:num w:numId="3">
    <w:abstractNumId w:val="24"/>
  </w:num>
  <w:num w:numId="4">
    <w:abstractNumId w:val="33"/>
  </w:num>
  <w:num w:numId="5">
    <w:abstractNumId w:val="32"/>
  </w:num>
  <w:num w:numId="6">
    <w:abstractNumId w:val="22"/>
  </w:num>
  <w:num w:numId="7">
    <w:abstractNumId w:val="10"/>
  </w:num>
  <w:num w:numId="8">
    <w:abstractNumId w:val="28"/>
  </w:num>
  <w:num w:numId="9">
    <w:abstractNumId w:val="16"/>
  </w:num>
  <w:num w:numId="10">
    <w:abstractNumId w:val="19"/>
  </w:num>
  <w:num w:numId="11">
    <w:abstractNumId w:val="11"/>
  </w:num>
  <w:num w:numId="12">
    <w:abstractNumId w:val="31"/>
  </w:num>
  <w:num w:numId="13">
    <w:abstractNumId w:val="4"/>
  </w:num>
  <w:num w:numId="14">
    <w:abstractNumId w:val="18"/>
  </w:num>
  <w:num w:numId="15">
    <w:abstractNumId w:val="2"/>
  </w:num>
  <w:num w:numId="16">
    <w:abstractNumId w:val="17"/>
  </w:num>
  <w:num w:numId="17">
    <w:abstractNumId w:val="26"/>
  </w:num>
  <w:num w:numId="18">
    <w:abstractNumId w:val="1"/>
  </w:num>
  <w:num w:numId="19">
    <w:abstractNumId w:val="25"/>
  </w:num>
  <w:num w:numId="20">
    <w:abstractNumId w:val="6"/>
  </w:num>
  <w:num w:numId="21">
    <w:abstractNumId w:val="27"/>
  </w:num>
  <w:num w:numId="22">
    <w:abstractNumId w:val="14"/>
  </w:num>
  <w:num w:numId="23">
    <w:abstractNumId w:val="7"/>
  </w:num>
  <w:num w:numId="24">
    <w:abstractNumId w:val="30"/>
  </w:num>
  <w:num w:numId="25">
    <w:abstractNumId w:val="23"/>
  </w:num>
  <w:num w:numId="26">
    <w:abstractNumId w:val="34"/>
  </w:num>
  <w:num w:numId="27">
    <w:abstractNumId w:val="3"/>
  </w:num>
  <w:num w:numId="28">
    <w:abstractNumId w:val="29"/>
  </w:num>
  <w:num w:numId="29">
    <w:abstractNumId w:val="8"/>
  </w:num>
  <w:num w:numId="3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20"/>
  </w:num>
  <w:num w:numId="36">
    <w:abstractNumId w:val="0"/>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12"/>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56B3"/>
    <w:rsid w:val="000007B5"/>
    <w:rsid w:val="00036852"/>
    <w:rsid w:val="00065D7E"/>
    <w:rsid w:val="00070BEA"/>
    <w:rsid w:val="000D0661"/>
    <w:rsid w:val="000F2C96"/>
    <w:rsid w:val="00122503"/>
    <w:rsid w:val="001F0F5A"/>
    <w:rsid w:val="001F42CF"/>
    <w:rsid w:val="002013FF"/>
    <w:rsid w:val="0022412E"/>
    <w:rsid w:val="0022585C"/>
    <w:rsid w:val="00246D57"/>
    <w:rsid w:val="00246DA4"/>
    <w:rsid w:val="00247921"/>
    <w:rsid w:val="00253525"/>
    <w:rsid w:val="00257CAC"/>
    <w:rsid w:val="00270294"/>
    <w:rsid w:val="002F1822"/>
    <w:rsid w:val="003061BC"/>
    <w:rsid w:val="003111F6"/>
    <w:rsid w:val="00322CA4"/>
    <w:rsid w:val="00326B60"/>
    <w:rsid w:val="003449E4"/>
    <w:rsid w:val="003A0A74"/>
    <w:rsid w:val="003A34DA"/>
    <w:rsid w:val="003E5188"/>
    <w:rsid w:val="00423A89"/>
    <w:rsid w:val="004846BB"/>
    <w:rsid w:val="004B3A9E"/>
    <w:rsid w:val="005005DA"/>
    <w:rsid w:val="0059494C"/>
    <w:rsid w:val="005A6887"/>
    <w:rsid w:val="006036D6"/>
    <w:rsid w:val="006430E0"/>
    <w:rsid w:val="006856B3"/>
    <w:rsid w:val="00706949"/>
    <w:rsid w:val="007560EB"/>
    <w:rsid w:val="00761F27"/>
    <w:rsid w:val="007A6D31"/>
    <w:rsid w:val="00812331"/>
    <w:rsid w:val="00845209"/>
    <w:rsid w:val="008460FA"/>
    <w:rsid w:val="00857655"/>
    <w:rsid w:val="008B7D94"/>
    <w:rsid w:val="008C5592"/>
    <w:rsid w:val="00977C7F"/>
    <w:rsid w:val="00995182"/>
    <w:rsid w:val="009B09F0"/>
    <w:rsid w:val="00A257D5"/>
    <w:rsid w:val="00A81046"/>
    <w:rsid w:val="00A81F6A"/>
    <w:rsid w:val="00AA4CF3"/>
    <w:rsid w:val="00AC1DA0"/>
    <w:rsid w:val="00B30DB0"/>
    <w:rsid w:val="00B62C70"/>
    <w:rsid w:val="00BE68F0"/>
    <w:rsid w:val="00BF2075"/>
    <w:rsid w:val="00C53CAB"/>
    <w:rsid w:val="00C642F2"/>
    <w:rsid w:val="00C662F6"/>
    <w:rsid w:val="00CF3C8E"/>
    <w:rsid w:val="00D20599"/>
    <w:rsid w:val="00D44E03"/>
    <w:rsid w:val="00D83E42"/>
    <w:rsid w:val="00D87117"/>
    <w:rsid w:val="00D92E0F"/>
    <w:rsid w:val="00DB530F"/>
    <w:rsid w:val="00E00D02"/>
    <w:rsid w:val="00E11A21"/>
    <w:rsid w:val="00E25CD0"/>
    <w:rsid w:val="00E664C6"/>
    <w:rsid w:val="00EE6DED"/>
    <w:rsid w:val="00F2265A"/>
    <w:rsid w:val="00F23555"/>
    <w:rsid w:val="00FD770D"/>
    <w:rsid w:val="00FF389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60695"/>
  <w15:docId w15:val="{E849A28B-6545-4B00-852C-FDE3093AF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autoSpaceDN w:val="0"/>
      <w:spacing w:after="160"/>
      <w:textAlignment w:val="baseline"/>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qFormat/>
    <w:pPr>
      <w:ind w:left="720"/>
    </w:pPr>
  </w:style>
  <w:style w:type="character" w:styleId="Hyperlink">
    <w:name w:val="Hyperlink"/>
    <w:rPr>
      <w:color w:val="0563C1"/>
      <w:u w:val="single"/>
    </w:rPr>
  </w:style>
  <w:style w:type="character" w:customStyle="1" w:styleId="NichtaufgelsteErwhnung1">
    <w:name w:val="Nicht aufgelöste Erwähnung1"/>
    <w:rPr>
      <w:color w:val="605E5C"/>
      <w:shd w:val="clear" w:color="auto" w:fill="E1DFDD"/>
    </w:rPr>
  </w:style>
  <w:style w:type="paragraph" w:styleId="Kopfzeile">
    <w:name w:val="header"/>
    <w:basedOn w:val="Standard"/>
    <w:pPr>
      <w:tabs>
        <w:tab w:val="center" w:pos="4513"/>
        <w:tab w:val="right" w:pos="9026"/>
      </w:tabs>
      <w:spacing w:after="0"/>
    </w:pPr>
  </w:style>
  <w:style w:type="character" w:customStyle="1" w:styleId="HeaderChar">
    <w:name w:val="Header Char"/>
    <w:rPr>
      <w:lang w:val="de-DE"/>
    </w:rPr>
  </w:style>
  <w:style w:type="paragraph" w:styleId="Fuzeile">
    <w:name w:val="footer"/>
    <w:basedOn w:val="Standard"/>
    <w:pPr>
      <w:tabs>
        <w:tab w:val="center" w:pos="4513"/>
        <w:tab w:val="right" w:pos="9026"/>
      </w:tabs>
      <w:spacing w:after="0"/>
    </w:pPr>
  </w:style>
  <w:style w:type="character" w:customStyle="1" w:styleId="FooterChar">
    <w:name w:val="Footer Char"/>
    <w:rPr>
      <w:lang w:val="de-DE"/>
    </w:rPr>
  </w:style>
  <w:style w:type="paragraph" w:styleId="Funotentext">
    <w:name w:val="footnote text"/>
    <w:basedOn w:val="Standard"/>
    <w:pPr>
      <w:spacing w:after="0"/>
    </w:pPr>
    <w:rPr>
      <w:sz w:val="20"/>
      <w:szCs w:val="20"/>
    </w:rPr>
  </w:style>
  <w:style w:type="character" w:customStyle="1" w:styleId="FootnoteTextChar">
    <w:name w:val="Footnote Text Char"/>
    <w:rPr>
      <w:sz w:val="20"/>
      <w:szCs w:val="20"/>
      <w:lang w:val="de-DE"/>
    </w:rPr>
  </w:style>
  <w:style w:type="character" w:styleId="Funotenzeichen">
    <w:name w:val="footnote reference"/>
    <w:rPr>
      <w:position w:val="0"/>
      <w:vertAlign w:val="superscript"/>
    </w:rPr>
  </w:style>
  <w:style w:type="character" w:styleId="BesuchterLink">
    <w:name w:val="FollowedHyperlink"/>
    <w:rPr>
      <w:color w:val="954F72"/>
      <w:u w:val="single"/>
    </w:rPr>
  </w:style>
  <w:style w:type="character" w:styleId="Fett">
    <w:name w:val="Strong"/>
    <w:basedOn w:val="Absatz-Standardschriftart"/>
    <w:uiPriority w:val="22"/>
    <w:qFormat/>
    <w:rsid w:val="00D83E42"/>
    <w:rPr>
      <w:b/>
      <w:bCs/>
    </w:rPr>
  </w:style>
  <w:style w:type="paragraph" w:customStyle="1" w:styleId="Test">
    <w:name w:val="Test!"/>
    <w:basedOn w:val="Standard"/>
    <w:rsid w:val="00D83E42"/>
    <w:pPr>
      <w:pBdr>
        <w:top w:val="single" w:sz="4" w:space="1" w:color="000000"/>
        <w:left w:val="single" w:sz="4" w:space="4" w:color="000000"/>
        <w:bottom w:val="single" w:sz="4" w:space="4" w:color="000000"/>
        <w:right w:val="single" w:sz="4" w:space="4" w:color="000000"/>
      </w:pBdr>
      <w:shd w:val="clear" w:color="auto" w:fill="AEAAAA"/>
      <w:tabs>
        <w:tab w:val="center" w:pos="4535"/>
      </w:tabs>
      <w:suppressAutoHyphens w:val="0"/>
      <w:spacing w:after="300" w:line="276" w:lineRule="auto"/>
      <w:textAlignment w:val="auto"/>
    </w:pPr>
    <w:rPr>
      <w:rFonts w:ascii="Frutiger LT 55 Roman" w:eastAsia="Times New Roman" w:hAnsi="Frutiger LT 55 Roman"/>
      <w:b/>
      <w:color w:val="323E4F"/>
      <w:spacing w:val="5"/>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355252">
      <w:bodyDiv w:val="1"/>
      <w:marLeft w:val="0"/>
      <w:marRight w:val="0"/>
      <w:marTop w:val="0"/>
      <w:marBottom w:val="0"/>
      <w:divBdr>
        <w:top w:val="none" w:sz="0" w:space="0" w:color="auto"/>
        <w:left w:val="none" w:sz="0" w:space="0" w:color="auto"/>
        <w:bottom w:val="none" w:sz="0" w:space="0" w:color="auto"/>
        <w:right w:val="none" w:sz="0" w:space="0" w:color="auto"/>
      </w:divBdr>
    </w:div>
    <w:div w:id="253906332">
      <w:bodyDiv w:val="1"/>
      <w:marLeft w:val="0"/>
      <w:marRight w:val="0"/>
      <w:marTop w:val="0"/>
      <w:marBottom w:val="0"/>
      <w:divBdr>
        <w:top w:val="none" w:sz="0" w:space="0" w:color="auto"/>
        <w:left w:val="none" w:sz="0" w:space="0" w:color="auto"/>
        <w:bottom w:val="none" w:sz="0" w:space="0" w:color="auto"/>
        <w:right w:val="none" w:sz="0" w:space="0" w:color="auto"/>
      </w:divBdr>
    </w:div>
    <w:div w:id="255289376">
      <w:bodyDiv w:val="1"/>
      <w:marLeft w:val="0"/>
      <w:marRight w:val="0"/>
      <w:marTop w:val="0"/>
      <w:marBottom w:val="0"/>
      <w:divBdr>
        <w:top w:val="none" w:sz="0" w:space="0" w:color="auto"/>
        <w:left w:val="none" w:sz="0" w:space="0" w:color="auto"/>
        <w:bottom w:val="none" w:sz="0" w:space="0" w:color="auto"/>
        <w:right w:val="none" w:sz="0" w:space="0" w:color="auto"/>
      </w:divBdr>
    </w:div>
    <w:div w:id="315575072">
      <w:bodyDiv w:val="1"/>
      <w:marLeft w:val="0"/>
      <w:marRight w:val="0"/>
      <w:marTop w:val="0"/>
      <w:marBottom w:val="0"/>
      <w:divBdr>
        <w:top w:val="none" w:sz="0" w:space="0" w:color="auto"/>
        <w:left w:val="none" w:sz="0" w:space="0" w:color="auto"/>
        <w:bottom w:val="none" w:sz="0" w:space="0" w:color="auto"/>
        <w:right w:val="none" w:sz="0" w:space="0" w:color="auto"/>
      </w:divBdr>
    </w:div>
    <w:div w:id="321088563">
      <w:bodyDiv w:val="1"/>
      <w:marLeft w:val="0"/>
      <w:marRight w:val="0"/>
      <w:marTop w:val="0"/>
      <w:marBottom w:val="0"/>
      <w:divBdr>
        <w:top w:val="none" w:sz="0" w:space="0" w:color="auto"/>
        <w:left w:val="none" w:sz="0" w:space="0" w:color="auto"/>
        <w:bottom w:val="none" w:sz="0" w:space="0" w:color="auto"/>
        <w:right w:val="none" w:sz="0" w:space="0" w:color="auto"/>
      </w:divBdr>
    </w:div>
    <w:div w:id="467167253">
      <w:bodyDiv w:val="1"/>
      <w:marLeft w:val="0"/>
      <w:marRight w:val="0"/>
      <w:marTop w:val="0"/>
      <w:marBottom w:val="0"/>
      <w:divBdr>
        <w:top w:val="none" w:sz="0" w:space="0" w:color="auto"/>
        <w:left w:val="none" w:sz="0" w:space="0" w:color="auto"/>
        <w:bottom w:val="none" w:sz="0" w:space="0" w:color="auto"/>
        <w:right w:val="none" w:sz="0" w:space="0" w:color="auto"/>
      </w:divBdr>
    </w:div>
    <w:div w:id="484783935">
      <w:bodyDiv w:val="1"/>
      <w:marLeft w:val="0"/>
      <w:marRight w:val="0"/>
      <w:marTop w:val="0"/>
      <w:marBottom w:val="0"/>
      <w:divBdr>
        <w:top w:val="none" w:sz="0" w:space="0" w:color="auto"/>
        <w:left w:val="none" w:sz="0" w:space="0" w:color="auto"/>
        <w:bottom w:val="none" w:sz="0" w:space="0" w:color="auto"/>
        <w:right w:val="none" w:sz="0" w:space="0" w:color="auto"/>
      </w:divBdr>
    </w:div>
    <w:div w:id="537737231">
      <w:bodyDiv w:val="1"/>
      <w:marLeft w:val="0"/>
      <w:marRight w:val="0"/>
      <w:marTop w:val="0"/>
      <w:marBottom w:val="0"/>
      <w:divBdr>
        <w:top w:val="none" w:sz="0" w:space="0" w:color="auto"/>
        <w:left w:val="none" w:sz="0" w:space="0" w:color="auto"/>
        <w:bottom w:val="none" w:sz="0" w:space="0" w:color="auto"/>
        <w:right w:val="none" w:sz="0" w:space="0" w:color="auto"/>
      </w:divBdr>
    </w:div>
    <w:div w:id="815026778">
      <w:bodyDiv w:val="1"/>
      <w:marLeft w:val="0"/>
      <w:marRight w:val="0"/>
      <w:marTop w:val="0"/>
      <w:marBottom w:val="0"/>
      <w:divBdr>
        <w:top w:val="none" w:sz="0" w:space="0" w:color="auto"/>
        <w:left w:val="none" w:sz="0" w:space="0" w:color="auto"/>
        <w:bottom w:val="none" w:sz="0" w:space="0" w:color="auto"/>
        <w:right w:val="none" w:sz="0" w:space="0" w:color="auto"/>
      </w:divBdr>
    </w:div>
    <w:div w:id="856770658">
      <w:bodyDiv w:val="1"/>
      <w:marLeft w:val="0"/>
      <w:marRight w:val="0"/>
      <w:marTop w:val="0"/>
      <w:marBottom w:val="0"/>
      <w:divBdr>
        <w:top w:val="none" w:sz="0" w:space="0" w:color="auto"/>
        <w:left w:val="none" w:sz="0" w:space="0" w:color="auto"/>
        <w:bottom w:val="none" w:sz="0" w:space="0" w:color="auto"/>
        <w:right w:val="none" w:sz="0" w:space="0" w:color="auto"/>
      </w:divBdr>
    </w:div>
    <w:div w:id="1058090233">
      <w:bodyDiv w:val="1"/>
      <w:marLeft w:val="0"/>
      <w:marRight w:val="0"/>
      <w:marTop w:val="0"/>
      <w:marBottom w:val="0"/>
      <w:divBdr>
        <w:top w:val="none" w:sz="0" w:space="0" w:color="auto"/>
        <w:left w:val="none" w:sz="0" w:space="0" w:color="auto"/>
        <w:bottom w:val="none" w:sz="0" w:space="0" w:color="auto"/>
        <w:right w:val="none" w:sz="0" w:space="0" w:color="auto"/>
      </w:divBdr>
    </w:div>
    <w:div w:id="1061709311">
      <w:bodyDiv w:val="1"/>
      <w:marLeft w:val="0"/>
      <w:marRight w:val="0"/>
      <w:marTop w:val="0"/>
      <w:marBottom w:val="0"/>
      <w:divBdr>
        <w:top w:val="none" w:sz="0" w:space="0" w:color="auto"/>
        <w:left w:val="none" w:sz="0" w:space="0" w:color="auto"/>
        <w:bottom w:val="none" w:sz="0" w:space="0" w:color="auto"/>
        <w:right w:val="none" w:sz="0" w:space="0" w:color="auto"/>
      </w:divBdr>
    </w:div>
    <w:div w:id="1067876112">
      <w:bodyDiv w:val="1"/>
      <w:marLeft w:val="0"/>
      <w:marRight w:val="0"/>
      <w:marTop w:val="0"/>
      <w:marBottom w:val="0"/>
      <w:divBdr>
        <w:top w:val="none" w:sz="0" w:space="0" w:color="auto"/>
        <w:left w:val="none" w:sz="0" w:space="0" w:color="auto"/>
        <w:bottom w:val="none" w:sz="0" w:space="0" w:color="auto"/>
        <w:right w:val="none" w:sz="0" w:space="0" w:color="auto"/>
      </w:divBdr>
    </w:div>
    <w:div w:id="1070233645">
      <w:bodyDiv w:val="1"/>
      <w:marLeft w:val="0"/>
      <w:marRight w:val="0"/>
      <w:marTop w:val="0"/>
      <w:marBottom w:val="0"/>
      <w:divBdr>
        <w:top w:val="none" w:sz="0" w:space="0" w:color="auto"/>
        <w:left w:val="none" w:sz="0" w:space="0" w:color="auto"/>
        <w:bottom w:val="none" w:sz="0" w:space="0" w:color="auto"/>
        <w:right w:val="none" w:sz="0" w:space="0" w:color="auto"/>
      </w:divBdr>
    </w:div>
    <w:div w:id="1096712000">
      <w:bodyDiv w:val="1"/>
      <w:marLeft w:val="0"/>
      <w:marRight w:val="0"/>
      <w:marTop w:val="0"/>
      <w:marBottom w:val="0"/>
      <w:divBdr>
        <w:top w:val="none" w:sz="0" w:space="0" w:color="auto"/>
        <w:left w:val="none" w:sz="0" w:space="0" w:color="auto"/>
        <w:bottom w:val="none" w:sz="0" w:space="0" w:color="auto"/>
        <w:right w:val="none" w:sz="0" w:space="0" w:color="auto"/>
      </w:divBdr>
    </w:div>
    <w:div w:id="1339700846">
      <w:bodyDiv w:val="1"/>
      <w:marLeft w:val="0"/>
      <w:marRight w:val="0"/>
      <w:marTop w:val="0"/>
      <w:marBottom w:val="0"/>
      <w:divBdr>
        <w:top w:val="none" w:sz="0" w:space="0" w:color="auto"/>
        <w:left w:val="none" w:sz="0" w:space="0" w:color="auto"/>
        <w:bottom w:val="none" w:sz="0" w:space="0" w:color="auto"/>
        <w:right w:val="none" w:sz="0" w:space="0" w:color="auto"/>
      </w:divBdr>
    </w:div>
    <w:div w:id="1517190836">
      <w:bodyDiv w:val="1"/>
      <w:marLeft w:val="0"/>
      <w:marRight w:val="0"/>
      <w:marTop w:val="0"/>
      <w:marBottom w:val="0"/>
      <w:divBdr>
        <w:top w:val="none" w:sz="0" w:space="0" w:color="auto"/>
        <w:left w:val="none" w:sz="0" w:space="0" w:color="auto"/>
        <w:bottom w:val="none" w:sz="0" w:space="0" w:color="auto"/>
        <w:right w:val="none" w:sz="0" w:space="0" w:color="auto"/>
      </w:divBdr>
    </w:div>
    <w:div w:id="1694069659">
      <w:bodyDiv w:val="1"/>
      <w:marLeft w:val="0"/>
      <w:marRight w:val="0"/>
      <w:marTop w:val="0"/>
      <w:marBottom w:val="0"/>
      <w:divBdr>
        <w:top w:val="none" w:sz="0" w:space="0" w:color="auto"/>
        <w:left w:val="none" w:sz="0" w:space="0" w:color="auto"/>
        <w:bottom w:val="none" w:sz="0" w:space="0" w:color="auto"/>
        <w:right w:val="none" w:sz="0" w:space="0" w:color="auto"/>
      </w:divBdr>
    </w:div>
    <w:div w:id="1775206019">
      <w:bodyDiv w:val="1"/>
      <w:marLeft w:val="0"/>
      <w:marRight w:val="0"/>
      <w:marTop w:val="0"/>
      <w:marBottom w:val="0"/>
      <w:divBdr>
        <w:top w:val="none" w:sz="0" w:space="0" w:color="auto"/>
        <w:left w:val="none" w:sz="0" w:space="0" w:color="auto"/>
        <w:bottom w:val="none" w:sz="0" w:space="0" w:color="auto"/>
        <w:right w:val="none" w:sz="0" w:space="0" w:color="auto"/>
      </w:divBdr>
    </w:div>
    <w:div w:id="1962690888">
      <w:bodyDiv w:val="1"/>
      <w:marLeft w:val="0"/>
      <w:marRight w:val="0"/>
      <w:marTop w:val="0"/>
      <w:marBottom w:val="0"/>
      <w:divBdr>
        <w:top w:val="none" w:sz="0" w:space="0" w:color="auto"/>
        <w:left w:val="none" w:sz="0" w:space="0" w:color="auto"/>
        <w:bottom w:val="none" w:sz="0" w:space="0" w:color="auto"/>
        <w:right w:val="none" w:sz="0" w:space="0" w:color="auto"/>
      </w:divBdr>
    </w:div>
    <w:div w:id="1984038099">
      <w:bodyDiv w:val="1"/>
      <w:marLeft w:val="0"/>
      <w:marRight w:val="0"/>
      <w:marTop w:val="0"/>
      <w:marBottom w:val="0"/>
      <w:divBdr>
        <w:top w:val="none" w:sz="0" w:space="0" w:color="auto"/>
        <w:left w:val="none" w:sz="0" w:space="0" w:color="auto"/>
        <w:bottom w:val="none" w:sz="0" w:space="0" w:color="auto"/>
        <w:right w:val="none" w:sz="0" w:space="0" w:color="auto"/>
      </w:divBdr>
    </w:div>
    <w:div w:id="2047438978">
      <w:bodyDiv w:val="1"/>
      <w:marLeft w:val="0"/>
      <w:marRight w:val="0"/>
      <w:marTop w:val="0"/>
      <w:marBottom w:val="0"/>
      <w:divBdr>
        <w:top w:val="none" w:sz="0" w:space="0" w:color="auto"/>
        <w:left w:val="none" w:sz="0" w:space="0" w:color="auto"/>
        <w:bottom w:val="none" w:sz="0" w:space="0" w:color="auto"/>
        <w:right w:val="none" w:sz="0" w:space="0" w:color="auto"/>
      </w:divBdr>
    </w:div>
    <w:div w:id="2059426384">
      <w:bodyDiv w:val="1"/>
      <w:marLeft w:val="0"/>
      <w:marRight w:val="0"/>
      <w:marTop w:val="0"/>
      <w:marBottom w:val="0"/>
      <w:divBdr>
        <w:top w:val="none" w:sz="0" w:space="0" w:color="auto"/>
        <w:left w:val="none" w:sz="0" w:space="0" w:color="auto"/>
        <w:bottom w:val="none" w:sz="0" w:space="0" w:color="auto"/>
        <w:right w:val="none" w:sz="0" w:space="0" w:color="auto"/>
      </w:divBdr>
    </w:div>
    <w:div w:id="2073308523">
      <w:bodyDiv w:val="1"/>
      <w:marLeft w:val="0"/>
      <w:marRight w:val="0"/>
      <w:marTop w:val="0"/>
      <w:marBottom w:val="0"/>
      <w:divBdr>
        <w:top w:val="none" w:sz="0" w:space="0" w:color="auto"/>
        <w:left w:val="none" w:sz="0" w:space="0" w:color="auto"/>
        <w:bottom w:val="none" w:sz="0" w:space="0" w:color="auto"/>
        <w:right w:val="none" w:sz="0" w:space="0" w:color="auto"/>
      </w:divBdr>
    </w:div>
    <w:div w:id="21150062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jn-crimjust.europa.eu" TargetMode="External"/><Relationship Id="rId13" Type="http://schemas.openxmlformats.org/officeDocument/2006/relationships/hyperlink" Target="https://www.ejn-crimjust.europa.eu/ejn/AtlasAuthorityData/DE/277/9/907/54/369/2/0/4222/466/0/1/916/1" TargetMode="External"/><Relationship Id="rId18" Type="http://schemas.openxmlformats.org/officeDocument/2006/relationships/hyperlink" Target="mailto:audiencianacional.scrrda@justicia.es" TargetMode="External"/><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image" Target="media/image15.png"/><Relationship Id="rId7" Type="http://schemas.openxmlformats.org/officeDocument/2006/relationships/hyperlink" Target="https://www.ejn-crimjust.europa.eu/ejn/EJN_Library_StatusOfImpByCat.aspx?l=DE&amp;CategoryId=37" TargetMode="External"/><Relationship Id="rId12" Type="http://schemas.openxmlformats.org/officeDocument/2006/relationships/hyperlink" Target="http://www.ejn-crimjust.europa.eu" TargetMode="External"/><Relationship Id="rId17" Type="http://schemas.openxmlformats.org/officeDocument/2006/relationships/hyperlink" Target="mailto:cis.bxl@just.fgov.be"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ejn-crimjust.europa.eu/ejn/libcategories/DE/37/-1/-1/-1" TargetMode="External"/><Relationship Id="rId20" Type="http://schemas.openxmlformats.org/officeDocument/2006/relationships/image" Target="media/image1.png"/><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jn-crimjust.europa.eu/ejn/AtlasChooseCountry/DE"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ejn-crimjust.europa.eu"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http://www.ejn-crimjust.europa.eu" TargetMode="External"/><Relationship Id="rId19" Type="http://schemas.openxmlformats.org/officeDocument/2006/relationships/hyperlink" Target="https://www.ejn-crimjust.europa.eu/ejn/libdocumentproperties/DE/1747"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ww.ejn-crimjust.europa.eu/ejnupload/Practical_info/Probation/ImplemantionProbationNov16.PDF" TargetMode="External"/><Relationship Id="rId14" Type="http://schemas.openxmlformats.org/officeDocument/2006/relationships/hyperlink" Target="https://www.ejn-crimjust.europa.eu/ejn/libcategories/DE/37/-1/-1/-1"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8134</Words>
  <Characters>51247</Characters>
  <Application>Microsoft Office Word</Application>
  <DocSecurity>0</DocSecurity>
  <Lines>427</Lines>
  <Paragraphs>118</Paragraphs>
  <ScaleCrop>false</ScaleCrop>
  <HeadingPairs>
    <vt:vector size="6" baseType="variant">
      <vt:variant>
        <vt:lpstr>Titel</vt:lpstr>
      </vt:variant>
      <vt:variant>
        <vt:i4>1</vt:i4>
      </vt:variant>
      <vt:variant>
        <vt:lpstr>Title</vt:lpstr>
      </vt:variant>
      <vt:variant>
        <vt:i4>1</vt:i4>
      </vt:variant>
      <vt:variant>
        <vt:lpstr>Cím</vt:lpstr>
      </vt:variant>
      <vt:variant>
        <vt:i4>1</vt:i4>
      </vt:variant>
    </vt:vector>
  </HeadingPairs>
  <TitlesOfParts>
    <vt:vector size="3" baseType="lpstr">
      <vt:lpstr/>
      <vt:lpstr/>
      <vt:lpstr/>
    </vt:vector>
  </TitlesOfParts>
  <Company>Hewlett-Packard</Company>
  <LinksUpToDate>false</LinksUpToDate>
  <CharactersWithSpaces>59263</CharactersWithSpaces>
  <SharedDoc>false</SharedDoc>
  <HLinks>
    <vt:vector size="66" baseType="variant">
      <vt:variant>
        <vt:i4>196672</vt:i4>
      </vt:variant>
      <vt:variant>
        <vt:i4>30</vt:i4>
      </vt:variant>
      <vt:variant>
        <vt:i4>0</vt:i4>
      </vt:variant>
      <vt:variant>
        <vt:i4>5</vt:i4>
      </vt:variant>
      <vt:variant>
        <vt:lpwstr>https://www.ejn-crimjust.europa.eu/ejn/libdocumentproperties/EN/1747</vt:lpwstr>
      </vt:variant>
      <vt:variant>
        <vt:lpwstr/>
      </vt:variant>
      <vt:variant>
        <vt:i4>4784187</vt:i4>
      </vt:variant>
      <vt:variant>
        <vt:i4>27</vt:i4>
      </vt:variant>
      <vt:variant>
        <vt:i4>0</vt:i4>
      </vt:variant>
      <vt:variant>
        <vt:i4>5</vt:i4>
      </vt:variant>
      <vt:variant>
        <vt:lpwstr>mailto:audiencianacional.scrrda@justicia.es</vt:lpwstr>
      </vt:variant>
      <vt:variant>
        <vt:lpwstr/>
      </vt:variant>
      <vt:variant>
        <vt:i4>3670035</vt:i4>
      </vt:variant>
      <vt:variant>
        <vt:i4>24</vt:i4>
      </vt:variant>
      <vt:variant>
        <vt:i4>0</vt:i4>
      </vt:variant>
      <vt:variant>
        <vt:i4>5</vt:i4>
      </vt:variant>
      <vt:variant>
        <vt:lpwstr>mailto:cis.bxl@just.fgov.be</vt:lpwstr>
      </vt:variant>
      <vt:variant>
        <vt:lpwstr/>
      </vt:variant>
      <vt:variant>
        <vt:i4>2883637</vt:i4>
      </vt:variant>
      <vt:variant>
        <vt:i4>21</vt:i4>
      </vt:variant>
      <vt:variant>
        <vt:i4>0</vt:i4>
      </vt:variant>
      <vt:variant>
        <vt:i4>5</vt:i4>
      </vt:variant>
      <vt:variant>
        <vt:lpwstr>http://www.ejn-crimjust.europa.eu/</vt:lpwstr>
      </vt:variant>
      <vt:variant>
        <vt:lpwstr/>
      </vt:variant>
      <vt:variant>
        <vt:i4>3801186</vt:i4>
      </vt:variant>
      <vt:variant>
        <vt:i4>18</vt:i4>
      </vt:variant>
      <vt:variant>
        <vt:i4>0</vt:i4>
      </vt:variant>
      <vt:variant>
        <vt:i4>5</vt:i4>
      </vt:variant>
      <vt:variant>
        <vt:lpwstr>https://www.ejn-crimjust.europa.eu/ejn/libcategories/EN/37/-1/-1/-1</vt:lpwstr>
      </vt:variant>
      <vt:variant>
        <vt:lpwstr/>
      </vt:variant>
      <vt:variant>
        <vt:i4>1966093</vt:i4>
      </vt:variant>
      <vt:variant>
        <vt:i4>15</vt:i4>
      </vt:variant>
      <vt:variant>
        <vt:i4>0</vt:i4>
      </vt:variant>
      <vt:variant>
        <vt:i4>5</vt:i4>
      </vt:variant>
      <vt:variant>
        <vt:lpwstr>https://www.ejn-crimjust.europa.eu/ejn/AtlasAuthorityData/EN/277/9/907/54/369/2/0/4222/466/0/1/916/1</vt:lpwstr>
      </vt:variant>
      <vt:variant>
        <vt:lpwstr/>
      </vt:variant>
      <vt:variant>
        <vt:i4>2883637</vt:i4>
      </vt:variant>
      <vt:variant>
        <vt:i4>12</vt:i4>
      </vt:variant>
      <vt:variant>
        <vt:i4>0</vt:i4>
      </vt:variant>
      <vt:variant>
        <vt:i4>5</vt:i4>
      </vt:variant>
      <vt:variant>
        <vt:lpwstr>http://www.ejn-crimjust.europa.eu/</vt:lpwstr>
      </vt:variant>
      <vt:variant>
        <vt:lpwstr/>
      </vt:variant>
      <vt:variant>
        <vt:i4>327727</vt:i4>
      </vt:variant>
      <vt:variant>
        <vt:i4>9</vt:i4>
      </vt:variant>
      <vt:variant>
        <vt:i4>0</vt:i4>
      </vt:variant>
      <vt:variant>
        <vt:i4>5</vt:i4>
      </vt:variant>
      <vt:variant>
        <vt:lpwstr>https://www.ejn-crimjust.europa.eu/ejnupload/Practical_info/Probation/ImplemantionProbationNov16.PDF</vt:lpwstr>
      </vt:variant>
      <vt:variant>
        <vt:lpwstr/>
      </vt:variant>
      <vt:variant>
        <vt:i4>2883637</vt:i4>
      </vt:variant>
      <vt:variant>
        <vt:i4>6</vt:i4>
      </vt:variant>
      <vt:variant>
        <vt:i4>0</vt:i4>
      </vt:variant>
      <vt:variant>
        <vt:i4>5</vt:i4>
      </vt:variant>
      <vt:variant>
        <vt:lpwstr>http://www.ejn-crimjust.europa.eu/</vt:lpwstr>
      </vt:variant>
      <vt:variant>
        <vt:lpwstr/>
      </vt:variant>
      <vt:variant>
        <vt:i4>8192039</vt:i4>
      </vt:variant>
      <vt:variant>
        <vt:i4>3</vt:i4>
      </vt:variant>
      <vt:variant>
        <vt:i4>0</vt:i4>
      </vt:variant>
      <vt:variant>
        <vt:i4>5</vt:i4>
      </vt:variant>
      <vt:variant>
        <vt:lpwstr>https://www.ejn-crimjust.europa.eu/ejn/EJN_Library_StatusOfImpByCat.aspx?l=EN&amp;CategoryId=37</vt:lpwstr>
      </vt:variant>
      <vt:variant>
        <vt:lpwstr/>
      </vt:variant>
      <vt:variant>
        <vt:i4>2883637</vt:i4>
      </vt:variant>
      <vt:variant>
        <vt:i4>0</vt:i4>
      </vt:variant>
      <vt:variant>
        <vt:i4>0</vt:i4>
      </vt:variant>
      <vt:variant>
        <vt:i4>5</vt:i4>
      </vt:variant>
      <vt:variant>
        <vt:lpwstr>http://www.ejn-crimjust.europa.eu/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motoi constantin daniel</dc:creator>
  <cp:lastModifiedBy>Susanne Benecke</cp:lastModifiedBy>
  <cp:revision>3</cp:revision>
  <cp:lastPrinted>2020-07-09T09:26:00Z</cp:lastPrinted>
  <dcterms:created xsi:type="dcterms:W3CDTF">2021-02-24T22:32:00Z</dcterms:created>
  <dcterms:modified xsi:type="dcterms:W3CDTF">2021-04-06T07:57:00Z</dcterms:modified>
</cp:coreProperties>
</file>