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D160" w14:textId="77777777" w:rsidR="00936BBA" w:rsidRPr="00A3477C" w:rsidRDefault="00936BBA" w:rsidP="00936BBA">
      <w:pPr>
        <w:spacing w:after="160"/>
        <w:jc w:val="center"/>
        <w:rPr>
          <w:rStyle w:val="Kiemels2"/>
          <w:rFonts w:ascii="Times New Roman" w:hAnsi="Times New Roman" w:cs="Times New Roman"/>
          <w:color w:val="000000"/>
          <w:sz w:val="32"/>
          <w:szCs w:val="32"/>
          <w:lang w:val="hu-HU"/>
        </w:rPr>
      </w:pPr>
    </w:p>
    <w:p w14:paraId="0A7542D2" w14:textId="77777777" w:rsidR="00936BBA" w:rsidRPr="00A3477C" w:rsidRDefault="00936BBA" w:rsidP="00936BBA">
      <w:pPr>
        <w:spacing w:after="160"/>
        <w:jc w:val="center"/>
        <w:rPr>
          <w:rStyle w:val="Kiemels2"/>
          <w:rFonts w:ascii="Times New Roman" w:hAnsi="Times New Roman" w:cs="Times New Roman"/>
          <w:color w:val="000000"/>
          <w:sz w:val="32"/>
          <w:szCs w:val="32"/>
          <w:lang w:val="hu-HU"/>
        </w:rPr>
      </w:pPr>
    </w:p>
    <w:p w14:paraId="4F9117FA" w14:textId="77777777" w:rsidR="00936BBA" w:rsidRPr="00A3477C" w:rsidRDefault="00936BBA" w:rsidP="00936BBA">
      <w:pPr>
        <w:jc w:val="center"/>
        <w:rPr>
          <w:rStyle w:val="Kiemels2"/>
          <w:rFonts w:ascii="Times New Roman" w:hAnsi="Times New Roman" w:cs="Times New Roman"/>
          <w:color w:val="000000"/>
          <w:sz w:val="36"/>
          <w:szCs w:val="32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000000"/>
          <w:sz w:val="36"/>
          <w:szCs w:val="32"/>
          <w:lang w:val="hu-HU"/>
        </w:rPr>
        <w:t>Az Európai Elfogatóparancs</w:t>
      </w:r>
    </w:p>
    <w:p w14:paraId="0C51B9AD" w14:textId="77777777" w:rsidR="00936BBA" w:rsidRPr="00A3477C" w:rsidRDefault="00936BBA" w:rsidP="00936BBA">
      <w:pPr>
        <w:jc w:val="center"/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  <w:bookmarkStart w:id="0" w:name="_Hlk87259387"/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>A Tanács 2002/584/IB számú, 2002. június 13. napján kelt kerethatározata az Európai Elfogatóparancsról és a tagállamok közötti átadási eljárásokról</w:t>
      </w:r>
    </w:p>
    <w:bookmarkEnd w:id="0"/>
    <w:p w14:paraId="364CCBE2" w14:textId="77777777" w:rsidR="00936BBA" w:rsidRPr="00A3477C" w:rsidRDefault="00936BBA" w:rsidP="00936BBA">
      <w:pPr>
        <w:jc w:val="center"/>
        <w:rPr>
          <w:rStyle w:val="Kiemels2"/>
          <w:rFonts w:ascii="Times New Roman" w:hAnsi="Times New Roman" w:cs="Times New Roman"/>
          <w:b w:val="0"/>
          <w:i/>
          <w:color w:val="000000"/>
          <w:sz w:val="32"/>
          <w:szCs w:val="32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i/>
          <w:color w:val="000000"/>
          <w:sz w:val="32"/>
          <w:szCs w:val="32"/>
          <w:lang w:val="hu-HU"/>
        </w:rPr>
        <w:t>Jogeset gyűjtemény – Útmutató a trénereknek</w:t>
      </w:r>
    </w:p>
    <w:p w14:paraId="3B36731F" w14:textId="77777777" w:rsidR="00936BBA" w:rsidRPr="00A3477C" w:rsidRDefault="00936BBA" w:rsidP="00936BBA">
      <w:pPr>
        <w:spacing w:after="160"/>
        <w:rPr>
          <w:rStyle w:val="Kiemels2"/>
          <w:rFonts w:ascii="Times New Roman" w:hAnsi="Times New Roman" w:cs="Times New Roman"/>
          <w:b w:val="0"/>
          <w:color w:val="000000"/>
          <w:sz w:val="32"/>
          <w:szCs w:val="32"/>
          <w:lang w:val="hu-HU"/>
        </w:rPr>
      </w:pPr>
    </w:p>
    <w:p w14:paraId="32EB33D2" w14:textId="77777777" w:rsidR="00936BBA" w:rsidRPr="00A3477C" w:rsidRDefault="00936BBA" w:rsidP="00936BBA">
      <w:pPr>
        <w:spacing w:after="160"/>
        <w:rPr>
          <w:rStyle w:val="Kiemels2"/>
          <w:rFonts w:ascii="Times New Roman" w:hAnsi="Times New Roman" w:cs="Times New Roman"/>
          <w:b w:val="0"/>
          <w:color w:val="000000"/>
          <w:sz w:val="32"/>
          <w:szCs w:val="32"/>
          <w:lang w:val="hu-HU"/>
        </w:rPr>
      </w:pPr>
    </w:p>
    <w:p w14:paraId="042FC4AD" w14:textId="77777777" w:rsidR="00936BBA" w:rsidRPr="00A3477C" w:rsidRDefault="00936BBA" w:rsidP="00936BBA">
      <w:pPr>
        <w:rPr>
          <w:rStyle w:val="Kiemels2"/>
          <w:rFonts w:ascii="Times New Roman" w:hAnsi="Times New Roman" w:cs="Times New Roman"/>
          <w:b w:val="0"/>
          <w:color w:val="000000"/>
          <w:sz w:val="32"/>
          <w:szCs w:val="32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32"/>
          <w:szCs w:val="32"/>
          <w:lang w:val="hu-HU"/>
        </w:rPr>
        <w:t>Írta:</w:t>
      </w:r>
    </w:p>
    <w:p w14:paraId="3798DBF8" w14:textId="77777777" w:rsidR="00936BBA" w:rsidRPr="00A3477C" w:rsidRDefault="00936BBA" w:rsidP="00936BBA">
      <w:pPr>
        <w:rPr>
          <w:rStyle w:val="Kiemels2"/>
          <w:rFonts w:ascii="Times New Roman" w:hAnsi="Times New Roman" w:cs="Times New Roman"/>
          <w:b w:val="0"/>
          <w:i/>
          <w:color w:val="000000"/>
          <w:sz w:val="28"/>
          <w:szCs w:val="32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i/>
          <w:color w:val="000000"/>
          <w:sz w:val="28"/>
          <w:szCs w:val="32"/>
          <w:lang w:val="hu-HU"/>
        </w:rPr>
        <w:t>Prof. André Klip</w:t>
      </w:r>
    </w:p>
    <w:p w14:paraId="7E3B78A1" w14:textId="0BC05CE5" w:rsidR="00936BBA" w:rsidRPr="00A3477C" w:rsidRDefault="0039132E" w:rsidP="00936BBA">
      <w:pPr>
        <w:rPr>
          <w:rStyle w:val="Kiemels2"/>
          <w:rFonts w:ascii="Times New Roman" w:hAnsi="Times New Roman" w:cs="Times New Roman"/>
          <w:b w:val="0"/>
          <w:i/>
          <w:color w:val="000000"/>
          <w:sz w:val="28"/>
          <w:szCs w:val="32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i/>
          <w:color w:val="000000"/>
          <w:sz w:val="28"/>
          <w:szCs w:val="32"/>
          <w:lang w:val="hu-HU"/>
        </w:rPr>
        <w:t>Maastrichti Egyetem</w:t>
      </w:r>
    </w:p>
    <w:p w14:paraId="4A8FB9E4" w14:textId="77777777" w:rsidR="00936BBA" w:rsidRPr="00A3477C" w:rsidRDefault="00936BBA" w:rsidP="00936BBA">
      <w:pPr>
        <w:rPr>
          <w:rStyle w:val="Kiemels2"/>
          <w:rFonts w:ascii="Times New Roman" w:hAnsi="Times New Roman" w:cs="Times New Roman"/>
          <w:b w:val="0"/>
          <w:i/>
          <w:color w:val="000000"/>
          <w:sz w:val="28"/>
          <w:szCs w:val="32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i/>
          <w:color w:val="000000"/>
          <w:sz w:val="28"/>
          <w:szCs w:val="32"/>
          <w:lang w:val="hu-HU"/>
        </w:rPr>
        <w:t xml:space="preserve">a Hertogenbosch-i Fellebbviteli Bíróság címzetes bírája </w:t>
      </w:r>
    </w:p>
    <w:p w14:paraId="06DB2DFB" w14:textId="77777777" w:rsidR="00936BBA" w:rsidRPr="00A3477C" w:rsidRDefault="00936BBA" w:rsidP="00936BBA">
      <w:pPr>
        <w:spacing w:after="160"/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</w:p>
    <w:p w14:paraId="217FBAF8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iemels2"/>
          <w:rFonts w:ascii="Times New Roman" w:hAnsi="Times New Roman" w:cs="Times New Roman"/>
          <w:i/>
          <w:color w:val="000000"/>
          <w:sz w:val="32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i/>
          <w:color w:val="000000"/>
          <w:sz w:val="32"/>
          <w:szCs w:val="28"/>
          <w:lang w:val="hu-HU"/>
        </w:rPr>
        <w:t>Tartalomjegyzék</w:t>
      </w:r>
    </w:p>
    <w:p w14:paraId="3C348C31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</w:p>
    <w:p w14:paraId="46F3144F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A. </w:t>
      </w: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ab/>
        <w:t>Jogesetek</w:t>
      </w: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ab/>
        <w:t>1</w:t>
      </w:r>
    </w:p>
    <w:p w14:paraId="765EF2BD" w14:textId="6DB88113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I.  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J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ogeset</w:t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 1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; Kérdések 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  <w:t>1</w:t>
      </w:r>
    </w:p>
    <w:p w14:paraId="339326E9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II. 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  <w:t>Feladatok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  <w:t>2</w:t>
      </w:r>
    </w:p>
    <w:p w14:paraId="2F488200" w14:textId="0DCF0692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III. 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J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ogeset</w:t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 2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, jogeset</w:t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 1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 folytatása; Kérdések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D8788A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2</w:t>
      </w:r>
    </w:p>
    <w:p w14:paraId="0BB00D2D" w14:textId="2C6730FC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IV. 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bookmarkStart w:id="1" w:name="_Hlk82001240"/>
      <w:r w:rsidR="00FD2AA1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További 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feladat: E</w:t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EP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 Norvégiába?</w:t>
      </w:r>
      <w:bookmarkEnd w:id="1"/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  <w:t>3</w:t>
      </w:r>
    </w:p>
    <w:p w14:paraId="7BF61C49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</w:p>
    <w:p w14:paraId="2BA80B6A" w14:textId="7F7482F1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>B.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C030E9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>Jegyzetek a jogesetekről az oktatók részére</w:t>
      </w: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ab/>
      </w:r>
      <w:r w:rsidR="00D8788A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>3</w:t>
      </w:r>
    </w:p>
    <w:p w14:paraId="68CAB4C0" w14:textId="4A4D92F4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</w:p>
    <w:p w14:paraId="43852262" w14:textId="57FA78EF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>C.</w:t>
      </w: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ab/>
        <w:t>Módszertani útmutató</w:t>
      </w: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ab/>
      </w:r>
      <w:r w:rsidR="00D8788A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>3</w:t>
      </w:r>
    </w:p>
    <w:p w14:paraId="6584F45F" w14:textId="3A3971FA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I.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Alapötlet és főbb témakörök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D8788A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3</w:t>
      </w:r>
    </w:p>
    <w:p w14:paraId="389FDA7F" w14:textId="48B89379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II.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Csoportmunka és a szeminárium strukt</w:t>
      </w:r>
      <w:r w:rsidR="00D8788A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úrája</w:t>
      </w:r>
      <w:r w:rsidR="00D8788A" w:rsidRPr="00D8788A">
        <w:rPr>
          <w:rFonts w:ascii="Times New Roman" w:hAnsi="Times New Roman" w:cs="Times New Roman"/>
          <w:color w:val="000000"/>
          <w:sz w:val="28"/>
          <w:szCs w:val="28"/>
          <w:lang w:val="hu-HU"/>
        </w:rPr>
        <w:tab/>
      </w:r>
      <w:r w:rsidR="00D8788A">
        <w:rPr>
          <w:rFonts w:ascii="Times New Roman" w:hAnsi="Times New Roman" w:cs="Times New Roman"/>
          <w:color w:val="000000"/>
          <w:sz w:val="28"/>
          <w:szCs w:val="28"/>
          <w:lang w:val="hu-HU"/>
        </w:rPr>
        <w:t>4</w:t>
      </w:r>
    </w:p>
    <w:p w14:paraId="678E08E2" w14:textId="44CA9005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III.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C030E9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Kiegészítő</w:t>
      </w:r>
      <w:r w:rsidR="00D8788A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 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anyagok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D8788A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5</w:t>
      </w:r>
    </w:p>
    <w:p w14:paraId="4EF7C2A2" w14:textId="1D322359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IV.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  <w:t>Legújabb fejlemények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ab/>
      </w:r>
      <w:r w:rsidR="00D8788A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6</w:t>
      </w:r>
    </w:p>
    <w:p w14:paraId="11F29659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</w:p>
    <w:p w14:paraId="227E917A" w14:textId="71CBD359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D. </w:t>
      </w: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ab/>
        <w:t>Megoldások</w:t>
      </w: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ab/>
      </w:r>
      <w:r w:rsidR="00D8788A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t>6</w:t>
      </w:r>
    </w:p>
    <w:p w14:paraId="6C9FB130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/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</w:p>
    <w:p w14:paraId="455D5D4C" w14:textId="77777777" w:rsidR="00936BBA" w:rsidRPr="00A3477C" w:rsidRDefault="00936BBA" w:rsidP="00936BBA">
      <w:pPr>
        <w:spacing w:after="160"/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  <w:lastRenderedPageBreak/>
        <w:br w:type="page"/>
      </w:r>
    </w:p>
    <w:p w14:paraId="29D104F4" w14:textId="77777777" w:rsidR="00936BBA" w:rsidRPr="00A3477C" w:rsidRDefault="00936BBA" w:rsidP="00936BBA">
      <w:pPr>
        <w:pStyle w:val="Test"/>
        <w:shd w:val="clear" w:color="auto" w:fill="DED888"/>
        <w:spacing w:after="160"/>
        <w:jc w:val="center"/>
        <w:rPr>
          <w:rStyle w:val="Kiemels2"/>
          <w:rFonts w:ascii="Times New Roman" w:hAnsi="Times New Roman"/>
          <w:b/>
          <w:color w:val="2F5496" w:themeColor="accent1" w:themeShade="BF"/>
          <w:sz w:val="32"/>
          <w:szCs w:val="32"/>
          <w:lang w:val="hu-HU"/>
        </w:rPr>
      </w:pPr>
      <w:r w:rsidRPr="00A3477C">
        <w:rPr>
          <w:rStyle w:val="Kiemels2"/>
          <w:rFonts w:ascii="Times New Roman" w:hAnsi="Times New Roman"/>
          <w:b/>
          <w:color w:val="2F5496" w:themeColor="accent1" w:themeShade="BF"/>
          <w:sz w:val="32"/>
          <w:szCs w:val="32"/>
          <w:lang w:val="hu-HU"/>
        </w:rPr>
        <w:lastRenderedPageBreak/>
        <w:t>Az Európai Elfogatóparancs</w:t>
      </w:r>
    </w:p>
    <w:p w14:paraId="52B7BE09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color w:val="000000"/>
          <w:sz w:val="28"/>
          <w:szCs w:val="28"/>
          <w:lang w:val="hu-HU"/>
        </w:rPr>
      </w:pPr>
    </w:p>
    <w:p w14:paraId="6E023E5A" w14:textId="77777777" w:rsidR="00936BBA" w:rsidRPr="00A3477C" w:rsidRDefault="00936BBA" w:rsidP="00936BBA">
      <w:pPr>
        <w:pStyle w:val="Listaszerbekezds"/>
        <w:numPr>
          <w:ilvl w:val="0"/>
          <w:numId w:val="5"/>
        </w:numPr>
        <w:ind w:left="0" w:firstLine="0"/>
        <w:contextualSpacing w:val="0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 xml:space="preserve">I.  </w:t>
      </w:r>
      <w:r w:rsidRPr="00A3477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hu-HU"/>
        </w:rPr>
        <w:t>I. sz. Jogeset</w:t>
      </w: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>:</w:t>
      </w:r>
    </w:p>
    <w:p w14:paraId="671EEFCA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Heraklion rendőrfőkapitánya – a Kelet-Krétai Fellebbviteli Bíróság mellett működő Ügyészség nevében - EEP-t bocsát ki Hollandia felé a holland állampolgárságú és Maastrichtban élő orvossal, dr. Drionnal szemben, akit emberölés és szabotázs elkövetésével gyanúsítanak. Az emberöléssel kapcsolatos gyanúsítás szerint dr. Drion közreműködött a görög állampolgárságú Karalis életének kioltásában. Az elkövetés helye Thessaloniki. Drion Karalis kérésére adott be neki halálos injekciót, ami pár percen belül a sértett halálát okozta. A szabotázzsal kapcsolatos gyanúsítás szerint Drion abból fakadó felindulásában, hogy lekéste a Maastrichtba tartó repülőjáratát, az Athéni repülőtéren megrongálta az Aegean Airlines tulajdonát.  </w:t>
      </w:r>
    </w:p>
    <w:p w14:paraId="28E20435" w14:textId="77777777" w:rsidR="00936BBA" w:rsidRPr="00A3477C" w:rsidRDefault="00936BBA" w:rsidP="00936BBA">
      <w:pPr>
        <w:suppressAutoHyphens/>
        <w:autoSpaceDN w:val="0"/>
        <w:spacing w:after="160" w:line="240" w:lineRule="auto"/>
        <w:ind w:left="714"/>
        <w:jc w:val="both"/>
        <w:textAlignment w:val="baseline"/>
        <w:rPr>
          <w:rFonts w:ascii="Times New Roman" w:hAnsi="Times New Roman" w:cs="Times New Roman"/>
          <w:sz w:val="28"/>
          <w:szCs w:val="28"/>
          <w:lang w:val="hu-HU"/>
        </w:rPr>
      </w:pPr>
    </w:p>
    <w:p w14:paraId="01C82758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 xml:space="preserve">Kérdések: </w:t>
      </w:r>
    </w:p>
    <w:p w14:paraId="769A1662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Kötelessége-e Hollandiának a gyanúsított átadása? Amennyiben igen, milyen feltételek mellett?</w:t>
      </w:r>
    </w:p>
    <w:p w14:paraId="1059AF62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Különbséget jelentene-e, ha az elkövetés nem Görögországban, hanem Hollandiában történt volna?</w:t>
      </w:r>
    </w:p>
    <w:p w14:paraId="5BA9FDDE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Elvégezheti-e Hollandia a cselekmény értékelését, minősítheti-e a holland büntetőjognak megfelelően?</w:t>
      </w:r>
    </w:p>
    <w:p w14:paraId="237D217D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bookmarkStart w:id="2" w:name="_Hlk83369998"/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Van-e jelentősége a keresett személy állampolgárságának</w:t>
      </w:r>
      <w:bookmarkEnd w:id="2"/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?</w:t>
      </w:r>
    </w:p>
    <w:p w14:paraId="127A8B36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Őrizetbe kerül-e a keresett személy az eljárás időtartamára?</w:t>
      </w:r>
    </w:p>
    <w:p w14:paraId="023B3F15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 xml:space="preserve">Mely hatóságok járnak el az EEP-vel kapcsolatban az egyes oldalakon? </w:t>
      </w:r>
    </w:p>
    <w:p w14:paraId="35EFBF67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Milyen eljárást folytat le Hollandia, és mennyi időt vesz igénybe?</w:t>
      </w:r>
    </w:p>
    <w:p w14:paraId="498EA3CB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Milyen szerepe van a görög hatóságoknak az átadási eljárással kapcsolatban?</w:t>
      </w:r>
    </w:p>
    <w:p w14:paraId="002E7745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Mikor és hogy történik meg az átadás?</w:t>
      </w:r>
    </w:p>
    <w:p w14:paraId="11A24159" w14:textId="77777777" w:rsidR="00936BBA" w:rsidRPr="00A3477C" w:rsidRDefault="00936BBA" w:rsidP="00936BBA">
      <w:pPr>
        <w:pStyle w:val="Listaszerbekezds"/>
        <w:numPr>
          <w:ilvl w:val="0"/>
          <w:numId w:val="3"/>
        </w:numPr>
        <w:ind w:hanging="436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Tegyük fel, hogy sikeres az átadás. Milyen feltételekkel vádolhatja meg a görög ügyészség Driont további bűncselekmény, bolti lopás elkövetésével?</w:t>
      </w:r>
    </w:p>
    <w:p w14:paraId="18B1BE6A" w14:textId="77777777" w:rsidR="00936BBA" w:rsidRPr="00A3477C" w:rsidRDefault="00936BBA" w:rsidP="00936BBA">
      <w:pPr>
        <w:spacing w:after="160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br w:type="page"/>
      </w:r>
    </w:p>
    <w:p w14:paraId="75E2AA7F" w14:textId="77777777" w:rsidR="00936BBA" w:rsidRPr="00A3477C" w:rsidRDefault="00936BBA" w:rsidP="00936BBA">
      <w:pPr>
        <w:pStyle w:val="Listaszerbekezds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II. Feladatok:</w:t>
      </w:r>
    </w:p>
    <w:p w14:paraId="13B3D32A" w14:textId="77777777" w:rsidR="00936BBA" w:rsidRPr="00A3477C" w:rsidRDefault="00936BBA" w:rsidP="00936BBA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Találja meg a hatáskörrel és illetékességgel rendelkező végrehajtó hatóságot és a Tanúsítvány kiállítása során alkalmazandó nyelvet:</w:t>
      </w:r>
    </w:p>
    <w:p w14:paraId="74B8B611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1. A bragai portugál ügyész büntetőeljárás lefolytatása érdekében kéri a német állampolgárságú Dieter Müller átadását, aki jelenleg a finn Turkuban tartózkodik. </w:t>
      </w:r>
    </w:p>
    <w:p w14:paraId="6D2D92C6" w14:textId="0A07F77E" w:rsidR="00936BBA" w:rsidRPr="00A3477C" w:rsidRDefault="00726E51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 xml:space="preserve">Illetékes </w:t>
      </w:r>
      <w:r w:rsidR="00936BBA" w:rsidRPr="00A3477C">
        <w:rPr>
          <w:rFonts w:ascii="Times New Roman" w:hAnsi="Times New Roman" w:cs="Times New Roman"/>
          <w:i/>
          <w:sz w:val="28"/>
          <w:szCs w:val="28"/>
          <w:lang w:val="hu-HU"/>
        </w:rPr>
        <w:t>hatóság:</w:t>
      </w:r>
    </w:p>
    <w:p w14:paraId="0864A5A7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Nyelv:</w:t>
      </w:r>
    </w:p>
    <w:p w14:paraId="1833A48E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2.  Az ír ügyészségi szervhez érkezik egy EEP a francia állampolgárságú Leon Laselle-re vonatkozó ítélettel kapcsolatban, mely szerint távollétében elítélte a Bordeaux-i Legfelsőbb Bíróság Franciaországban. </w:t>
      </w:r>
    </w:p>
    <w:p w14:paraId="103C877F" w14:textId="6EAE477B" w:rsidR="00936BBA" w:rsidRPr="00A3477C" w:rsidRDefault="005A6B33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 xml:space="preserve">Illetékes </w:t>
      </w:r>
      <w:r w:rsidR="00936BBA" w:rsidRPr="00A3477C">
        <w:rPr>
          <w:rFonts w:ascii="Times New Roman" w:hAnsi="Times New Roman" w:cs="Times New Roman"/>
          <w:i/>
          <w:sz w:val="28"/>
          <w:szCs w:val="28"/>
          <w:lang w:val="hu-HU"/>
        </w:rPr>
        <w:t>hatóság:</w:t>
      </w:r>
    </w:p>
    <w:p w14:paraId="7D26D78B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Nyelv:</w:t>
      </w:r>
    </w:p>
    <w:p w14:paraId="5627E97A" w14:textId="512904FF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3. A </w:t>
      </w:r>
      <w:r w:rsidR="00BE0DCE" w:rsidRPr="00A3477C">
        <w:rPr>
          <w:rFonts w:ascii="Times New Roman" w:hAnsi="Times New Roman" w:cs="Times New Roman"/>
          <w:sz w:val="28"/>
          <w:szCs w:val="28"/>
          <w:lang w:val="hu-HU"/>
        </w:rPr>
        <w:t>m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alag</w:t>
      </w:r>
      <w:r w:rsidR="00BE0DCE" w:rsidRPr="00A3477C">
        <w:rPr>
          <w:rFonts w:ascii="Times New Roman" w:hAnsi="Times New Roman" w:cs="Times New Roman"/>
          <w:sz w:val="28"/>
          <w:szCs w:val="28"/>
          <w:lang w:val="hu-HU"/>
        </w:rPr>
        <w:t>ai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5A6B33"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illetékes 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spanyol hatóság az orosz állampolgárságú és nicosiai (Ciprus) lakos Michail Lebedenski átadását kéri.</w:t>
      </w:r>
    </w:p>
    <w:p w14:paraId="5434E26F" w14:textId="2DB18EAB" w:rsidR="00936BBA" w:rsidRPr="00A3477C" w:rsidRDefault="00BE0DCE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bookmarkStart w:id="3" w:name="_Hlk54103106"/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 xml:space="preserve">Illetékes </w:t>
      </w:r>
      <w:r w:rsidR="00936BBA" w:rsidRPr="00A3477C">
        <w:rPr>
          <w:rFonts w:ascii="Times New Roman" w:hAnsi="Times New Roman" w:cs="Times New Roman"/>
          <w:i/>
          <w:sz w:val="28"/>
          <w:szCs w:val="28"/>
          <w:lang w:val="hu-HU"/>
        </w:rPr>
        <w:t>hatóság:</w:t>
      </w:r>
    </w:p>
    <w:p w14:paraId="0BDF927F" w14:textId="77777777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Nyelv:</w:t>
      </w:r>
      <w:bookmarkEnd w:id="3"/>
    </w:p>
    <w:p w14:paraId="1B03C145" w14:textId="77777777" w:rsidR="00936BBA" w:rsidRPr="00A3477C" w:rsidRDefault="00936BBA" w:rsidP="00936BBA">
      <w:pPr>
        <w:pStyle w:val="Listaszerbekezds"/>
        <w:numPr>
          <w:ilvl w:val="0"/>
          <w:numId w:val="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III. 2. sz. jogeset, az 1. sz. jogeset folytatása:</w:t>
      </w:r>
    </w:p>
    <w:p w14:paraId="7A1A3134" w14:textId="38DA7BE6" w:rsidR="00936BBA" w:rsidRPr="00A3477C" w:rsidRDefault="00936BBA" w:rsidP="0093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Az eljáró Holland Kerületi Bíróság meghallgatásán dr. Drion védője arra hivatkozik, hogy a görög fogvatartási körülmények nem felelnek meg az Emberi Jogok Európai Bírósága, illetve az Európai Bíróság által az Aranyosi ügyben meghatározott kritériumoknak. A védelem álláspontja szerint Drion embertelen és megalázó bánásmódnak lenne kitéve a görög börtönökben, ami sérti az EJEE 3. cikkében és az Alapjogi Chartában foglalt jogait.</w:t>
      </w:r>
      <w:r w:rsidR="00BE0DCE"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A védelem arra kéri a bíróságot hogy utasítsa vissza a kiadatási kérelmet.</w:t>
      </w:r>
    </w:p>
    <w:p w14:paraId="59DEA07C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 xml:space="preserve">Kérdések: </w:t>
      </w:r>
    </w:p>
    <w:p w14:paraId="4CBF93FB" w14:textId="77777777" w:rsidR="00936BBA" w:rsidRPr="00A3477C" w:rsidRDefault="00936BBA" w:rsidP="00936BBA">
      <w:pPr>
        <w:pStyle w:val="Listaszerbekezds"/>
        <w:numPr>
          <w:ilvl w:val="3"/>
          <w:numId w:val="4"/>
        </w:numPr>
        <w:ind w:left="709" w:hanging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Köteles-e érdemben foglalkozni a fentiekkel a végrehajtó hatóság?</w:t>
      </w:r>
    </w:p>
    <w:p w14:paraId="6C9CE357" w14:textId="77777777" w:rsidR="00936BBA" w:rsidRPr="00A3477C" w:rsidRDefault="00936BBA" w:rsidP="00936BBA">
      <w:pPr>
        <w:pStyle w:val="Listaszerbekezds"/>
        <w:numPr>
          <w:ilvl w:val="3"/>
          <w:numId w:val="4"/>
        </w:numPr>
        <w:ind w:left="709" w:hanging="709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Ha igen, hogyan?</w:t>
      </w:r>
    </w:p>
    <w:p w14:paraId="59CA74AB" w14:textId="77777777" w:rsidR="00936BBA" w:rsidRPr="00A3477C" w:rsidRDefault="00936BBA" w:rsidP="00936BBA">
      <w:pPr>
        <w:pStyle w:val="Listaszerbekezds"/>
        <w:numPr>
          <w:ilvl w:val="3"/>
          <w:numId w:val="4"/>
        </w:numPr>
        <w:ind w:left="709" w:hanging="709"/>
        <w:contextualSpacing w:val="0"/>
        <w:jc w:val="both"/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Van-e szerepe e körben a kibocsátó hatóságnak?</w:t>
      </w:r>
    </w:p>
    <w:p w14:paraId="46EAABE6" w14:textId="77777777" w:rsidR="00936BBA" w:rsidRPr="00A3477C" w:rsidRDefault="00936BBA" w:rsidP="00936BBA">
      <w:pPr>
        <w:pStyle w:val="Listaszerbekezds"/>
        <w:numPr>
          <w:ilvl w:val="3"/>
          <w:numId w:val="4"/>
        </w:numPr>
        <w:ind w:left="709" w:hanging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sz w:val="28"/>
          <w:szCs w:val="28"/>
          <w:lang w:val="hu-HU"/>
        </w:rPr>
        <w:t>Elhalaszthatja, vagy megtagadhatja-e a végrehajtó hatóság az EEP végrehajtását?</w:t>
      </w:r>
    </w:p>
    <w:p w14:paraId="431D828E" w14:textId="77777777" w:rsidR="00D8788A" w:rsidRDefault="00D8788A" w:rsidP="00D8788A">
      <w:pPr>
        <w:pStyle w:val="Listaszerbekezds"/>
        <w:ind w:left="0"/>
        <w:contextualSpacing w:val="0"/>
        <w:jc w:val="both"/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</w:pPr>
    </w:p>
    <w:p w14:paraId="33D15FFC" w14:textId="5A3BCC67" w:rsidR="00936BBA" w:rsidRPr="00A3477C" w:rsidRDefault="00936BBA" w:rsidP="00936BBA">
      <w:pPr>
        <w:pStyle w:val="Listaszerbekezds"/>
        <w:numPr>
          <w:ilvl w:val="0"/>
          <w:numId w:val="6"/>
        </w:numPr>
        <w:ind w:left="0" w:firstLine="0"/>
        <w:contextualSpacing w:val="0"/>
        <w:jc w:val="both"/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>IV. Plusz feladat: Európai Elfogatóparancs Norvégiába?</w:t>
      </w:r>
    </w:p>
    <w:p w14:paraId="025C20B1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Vegyük az 1. sz. jogesetet, és helyettesítsük Hollandiát Norvégiával, a holland nyelvet a norvéggal és Maastrichtot Bergennel. Minden egyéb körülmény változatlan. Hogyan és milyen alapon kell ebben az esetben előterjeszteni az elfogatóparancsot, és hogyan válaszolandók meg az 1. sz. jogeset kérdései?</w:t>
      </w:r>
    </w:p>
    <w:p w14:paraId="235EC71F" w14:textId="033CBD3B" w:rsidR="00936BBA" w:rsidRPr="00A3477C" w:rsidRDefault="00936BBA" w:rsidP="00936BBA">
      <w:pPr>
        <w:pStyle w:val="Test"/>
        <w:shd w:val="clear" w:color="auto" w:fill="DED888"/>
        <w:spacing w:after="160"/>
        <w:jc w:val="center"/>
        <w:rPr>
          <w:rStyle w:val="Kiemels2"/>
          <w:rFonts w:ascii="Times New Roman" w:hAnsi="Times New Roman"/>
          <w:b/>
          <w:color w:val="2F5496" w:themeColor="accent1" w:themeShade="BF"/>
          <w:sz w:val="32"/>
          <w:szCs w:val="32"/>
          <w:lang w:val="hu-HU"/>
        </w:rPr>
      </w:pPr>
      <w:r w:rsidRPr="00A3477C">
        <w:rPr>
          <w:rStyle w:val="Kiemels2"/>
          <w:rFonts w:ascii="Times New Roman" w:hAnsi="Times New Roman"/>
          <w:b/>
          <w:color w:val="2F5496" w:themeColor="accent1" w:themeShade="BF"/>
          <w:sz w:val="32"/>
          <w:szCs w:val="32"/>
          <w:lang w:val="hu-HU"/>
        </w:rPr>
        <w:t xml:space="preserve">B rész </w:t>
      </w:r>
      <w:r w:rsidR="00FD2AA1">
        <w:rPr>
          <w:rStyle w:val="Kiemels2"/>
          <w:rFonts w:ascii="Times New Roman" w:hAnsi="Times New Roman"/>
          <w:b/>
          <w:color w:val="2F5496" w:themeColor="accent1" w:themeShade="BF"/>
          <w:sz w:val="32"/>
          <w:szCs w:val="32"/>
          <w:lang w:val="hu-HU"/>
        </w:rPr>
        <w:t>Jegyzetek a jogesetekről az oktatók részére</w:t>
      </w:r>
    </w:p>
    <w:p w14:paraId="0609B92C" w14:textId="77777777" w:rsidR="00936BBA" w:rsidRPr="00A3477C" w:rsidRDefault="00936BBA" w:rsidP="00936BBA">
      <w:pPr>
        <w:pStyle w:val="Listaszerbekezds"/>
        <w:numPr>
          <w:ilvl w:val="0"/>
          <w:numId w:val="7"/>
        </w:numPr>
        <w:ind w:left="284" w:hanging="284"/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 xml:space="preserve"> I. 1. sz. Jogeset:</w:t>
      </w:r>
    </w:p>
    <w:p w14:paraId="3E118D59" w14:textId="4C342D2A" w:rsidR="00936BBA" w:rsidRPr="00A3477C" w:rsidRDefault="00936BBA" w:rsidP="00936BBA">
      <w:pPr>
        <w:spacing w:after="240"/>
        <w:jc w:val="both"/>
        <w:rPr>
          <w:rStyle w:val="Kiemels2"/>
          <w:rFonts w:ascii="Times New Roman" w:hAnsi="Times New Roman" w:cs="Times New Roman"/>
          <w:b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sz w:val="28"/>
          <w:szCs w:val="28"/>
          <w:lang w:val="hu-HU"/>
        </w:rPr>
        <w:t xml:space="preserve">Az 1. és 2. sz. jogesetek államai annak függvényében változnak, hogy a szeminárium mely tagállamban zajlik. Figyeljen rá, hogy válasszon egy olyan tagállamot, ami szigorúan eutanázia ellenes, és egy olyat, ami engedélyezi bizonyos körülmények között. </w:t>
      </w:r>
    </w:p>
    <w:p w14:paraId="42686A4C" w14:textId="08B58EF6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>A. IV.</w:t>
      </w:r>
      <w:r w:rsidR="00FD2AA1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 xml:space="preserve"> További</w:t>
      </w: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 xml:space="preserve"> feladat: EEP Norvégiába?</w:t>
      </w:r>
    </w:p>
    <w:p w14:paraId="3AC2ACB8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Ez a feladat akkor adandó ki, ha az idő engedi, és tapasztaltabb hallgatók vesznek részt a szemináriumon. </w:t>
      </w:r>
    </w:p>
    <w:p w14:paraId="5968D0C8" w14:textId="66EE675D" w:rsidR="00936BBA" w:rsidRPr="00A3477C" w:rsidRDefault="00936BBA" w:rsidP="00936BBA">
      <w:pPr>
        <w:pStyle w:val="Test"/>
        <w:shd w:val="clear" w:color="auto" w:fill="DED888"/>
        <w:spacing w:after="160"/>
        <w:jc w:val="center"/>
        <w:rPr>
          <w:rStyle w:val="Kiemels2"/>
          <w:rFonts w:ascii="Times New Roman" w:hAnsi="Times New Roman"/>
          <w:b/>
          <w:color w:val="2F5496" w:themeColor="accent1" w:themeShade="BF"/>
          <w:sz w:val="32"/>
          <w:szCs w:val="32"/>
          <w:lang w:val="hu-HU"/>
        </w:rPr>
      </w:pPr>
      <w:r w:rsidRPr="00A3477C">
        <w:rPr>
          <w:rStyle w:val="Kiemels2"/>
          <w:rFonts w:ascii="Times New Roman" w:hAnsi="Times New Roman"/>
          <w:b/>
          <w:color w:val="2F5496" w:themeColor="accent1" w:themeShade="BF"/>
          <w:sz w:val="32"/>
          <w:szCs w:val="32"/>
          <w:lang w:val="hu-HU"/>
        </w:rPr>
        <w:t>C Rész Módszertan</w:t>
      </w:r>
      <w:r w:rsidR="00FD2AA1">
        <w:rPr>
          <w:rStyle w:val="Kiemels2"/>
          <w:rFonts w:ascii="Times New Roman" w:hAnsi="Times New Roman"/>
          <w:b/>
          <w:color w:val="2F5496" w:themeColor="accent1" w:themeShade="BF"/>
          <w:sz w:val="32"/>
          <w:szCs w:val="32"/>
          <w:lang w:val="hu-HU"/>
        </w:rPr>
        <w:t>i útmutató</w:t>
      </w:r>
    </w:p>
    <w:p w14:paraId="251E5C81" w14:textId="0B5AB426" w:rsidR="00936BBA" w:rsidRPr="00A3477C" w:rsidRDefault="00FD2AA1" w:rsidP="00936BBA">
      <w:pPr>
        <w:numPr>
          <w:ilvl w:val="0"/>
          <w:numId w:val="1"/>
        </w:numPr>
        <w:suppressAutoHyphens/>
        <w:autoSpaceDN w:val="0"/>
        <w:spacing w:after="160" w:line="244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Alapötlet és főbb témakörök</w:t>
      </w:r>
    </w:p>
    <w:p w14:paraId="18CF7E28" w14:textId="58BD2261" w:rsidR="00936BBA" w:rsidRPr="00A3477C" w:rsidRDefault="00936BBA" w:rsidP="00936BBA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Az első feladat fókuszában a kölcsönös elismerés elvének értelmezése áll. Ez feltételezi egyrészt az egymás büntetőjogi rendszerébe vetett bizalmat, másrészt szükségessé teszi az együttműködést olyan esetekben is, amikor a saját tagállamunkétól egészen eltérő jogi megoldásra jutunk. Gyakran előfordulhat ugyanis, hogy a tagállami jogi minősítések nem lesznek alkalmazhatók. A gyakorlatban az elfogatóparancsokat úgy kell befogadni és végrehajtani, ahogyan érkeznek, a feltételeket a legtöbb esetben a kibocsátó hatóság határozza meg. Van ugyanakkor pár kivétel: ezek a Bíróság gyakorlatában fogalmazódtak meg, a Kerethatározatban nem szerepelnek, de a jogalkalmazóknak követniük kell őket.  A</w:t>
      </w:r>
      <w:r w:rsidR="009E7744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z igazságügyi alkalmazottaknak</w:t>
      </w: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fel kell ismernie ezeket a helyzeteket, mivel ezek késedelmet okozhatnak, </w:t>
      </w:r>
      <w:r w:rsidR="00B66522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vagy akár </w:t>
      </w: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akadályát </w:t>
      </w:r>
      <w:r w:rsidR="00B66522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is </w:t>
      </w: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képezhetik a kooper</w:t>
      </w:r>
      <w:r w:rsidR="00B66522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á</w:t>
      </w: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ciónak, vagy az átadás után vezethetnek következményekhez.</w:t>
      </w:r>
    </w:p>
    <w:p w14:paraId="6B278E55" w14:textId="32E6A793" w:rsidR="00936BBA" w:rsidRPr="00A3477C" w:rsidRDefault="00936BBA" w:rsidP="00936BBA">
      <w:pPr>
        <w:spacing w:after="160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A jogesetek és a kérdések </w:t>
      </w:r>
      <w:r w:rsidR="00B66522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 következő témák feldolgozását teszik lehetővé a tréner és a résztvevők számára:</w:t>
      </w:r>
    </w:p>
    <w:p w14:paraId="678C4FDB" w14:textId="55B7820D" w:rsidR="00936BBA" w:rsidRPr="00A3477C" w:rsidRDefault="00936BBA" w:rsidP="00A3477C">
      <w:pPr>
        <w:pStyle w:val="Listaszerbekezds"/>
        <w:numPr>
          <w:ilvl w:val="3"/>
          <w:numId w:val="1"/>
        </w:numPr>
        <w:ind w:left="567" w:hanging="567"/>
        <w:jc w:val="both"/>
        <w:rPr>
          <w:rStyle w:val="Kiemels2"/>
          <w:rFonts w:ascii="Times New Roman" w:eastAsia="Calibri" w:hAnsi="Times New Roman" w:cs="Times New Roman"/>
          <w:sz w:val="28"/>
          <w:szCs w:val="28"/>
          <w:lang w:val="hu-HU"/>
        </w:rPr>
      </w:pP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A kölcsönös elismerés felépítése és alapjai – általánosságban és </w:t>
      </w:r>
      <w:r w:rsidR="00B66522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</w:t>
      </w:r>
      <w:r w:rsidR="00B66522"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Tanács 2002/584/IB számú, 2002. június 13. napján kelt az Európai Elfogatóparancsról és a tagállamok közötti átadási eljárásokról szóló kerethatározatával </w:t>
      </w: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összefüggésben. </w:t>
      </w:r>
      <w:bookmarkStart w:id="4" w:name="_Hlk87259651"/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Megjegyzés: az EEP, mint az átadás, illetve kiadatás legrégebbi és kizárólagos eszköze a kölcsönös elismerés minden további eszközének</w:t>
      </w:r>
      <w:r w:rsidR="003172BE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r w:rsidR="0032039D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forrása</w:t>
      </w:r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“anyaeszköze”. </w:t>
      </w:r>
      <w:bookmarkEnd w:id="4"/>
      <w:r w:rsidRPr="00A3477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Az EEP-vel kapcsolatos joggyakorlat fejlődése minden további együttműködési formára azonnali hatással van!</w:t>
      </w:r>
    </w:p>
    <w:p w14:paraId="0CE083DD" w14:textId="77777777" w:rsidR="00936BBA" w:rsidRPr="00A3477C" w:rsidRDefault="00936BBA" w:rsidP="00936BBA">
      <w:pPr>
        <w:pStyle w:val="Listaszerbekezds"/>
        <w:numPr>
          <w:ilvl w:val="3"/>
          <w:numId w:val="1"/>
        </w:numPr>
        <w:ind w:left="567" w:hanging="567"/>
        <w:contextualSpacing w:val="0"/>
        <w:jc w:val="both"/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Az eljáró hatóságok megkeresése – mindkét oldalon;</w:t>
      </w:r>
    </w:p>
    <w:p w14:paraId="1C2F8011" w14:textId="77777777" w:rsidR="00936BBA" w:rsidRPr="00A3477C" w:rsidRDefault="00936BBA" w:rsidP="00936BBA">
      <w:pPr>
        <w:pStyle w:val="Listaszerbekezds"/>
        <w:numPr>
          <w:ilvl w:val="3"/>
          <w:numId w:val="1"/>
        </w:numPr>
        <w:ind w:left="567" w:hanging="567"/>
        <w:contextualSpacing w:val="0"/>
        <w:jc w:val="both"/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Feladatmegosztás a kibocsátó és végrehajtó hatóság között; </w:t>
      </w:r>
    </w:p>
    <w:p w14:paraId="6550CA4A" w14:textId="77777777" w:rsidR="00936BBA" w:rsidRPr="00A3477C" w:rsidRDefault="00936BBA" w:rsidP="00936BBA">
      <w:pPr>
        <w:pStyle w:val="Listaszerbekezds"/>
        <w:numPr>
          <w:ilvl w:val="3"/>
          <w:numId w:val="1"/>
        </w:numPr>
        <w:ind w:left="567" w:hanging="567"/>
        <w:contextualSpacing w:val="0"/>
        <w:jc w:val="both"/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Kapcsolatteremtés az eljáró hatóságok között, milyen garanciák nyújtása lehet szükséges;</w:t>
      </w:r>
    </w:p>
    <w:p w14:paraId="676D68F9" w14:textId="1549E94C" w:rsidR="00936BBA" w:rsidRPr="00A3477C" w:rsidRDefault="00936BBA" w:rsidP="00936BBA">
      <w:pPr>
        <w:pStyle w:val="Listaszerbekezds"/>
        <w:numPr>
          <w:ilvl w:val="3"/>
          <w:numId w:val="1"/>
        </w:numPr>
        <w:ind w:left="567" w:hanging="567"/>
        <w:contextualSpacing w:val="0"/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 xml:space="preserve">Mik az átadás következményei a kibocsátó tagállamban folyó </w:t>
      </w:r>
      <w:r w:rsidR="003172BE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vád</w:t>
      </w: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eljárásra;</w:t>
      </w:r>
    </w:p>
    <w:p w14:paraId="6B610E77" w14:textId="77777777" w:rsidR="00936BBA" w:rsidRPr="00A3477C" w:rsidRDefault="00936BBA" w:rsidP="00936BBA">
      <w:pPr>
        <w:pStyle w:val="Listaszerbekezds"/>
        <w:numPr>
          <w:ilvl w:val="3"/>
          <w:numId w:val="1"/>
        </w:numPr>
        <w:ind w:left="567" w:hanging="567"/>
        <w:contextualSpacing w:val="0"/>
        <w:jc w:val="both"/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Mik az átadás következményei a kibocsátó tagállamban történő fogvatartásra;</w:t>
      </w:r>
    </w:p>
    <w:p w14:paraId="0574EEA9" w14:textId="0B5D3105" w:rsidR="00936BBA" w:rsidRPr="00A3477C" w:rsidRDefault="00936BBA" w:rsidP="00936BBA">
      <w:pPr>
        <w:pStyle w:val="Listaszerbekezds"/>
        <w:numPr>
          <w:ilvl w:val="3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  <w:lang w:val="hu-HU"/>
        </w:rPr>
        <w:t>Milyen szerepe lehet a védelemnek az átadás megakadályozásában, illetve jobb feltételek kieszközlésében.</w:t>
      </w:r>
    </w:p>
    <w:p w14:paraId="71F46D95" w14:textId="112E5580" w:rsidR="00936BBA" w:rsidRPr="00A3477C" w:rsidRDefault="00FD2AA1" w:rsidP="00936BBA">
      <w:pPr>
        <w:pStyle w:val="Listaszerbekezds"/>
        <w:numPr>
          <w:ilvl w:val="0"/>
          <w:numId w:val="1"/>
        </w:numPr>
        <w:suppressAutoHyphens/>
        <w:autoSpaceDN w:val="0"/>
        <w:spacing w:line="24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Csoportmunka és a szeminárium struktúrája</w:t>
      </w:r>
    </w:p>
    <w:p w14:paraId="491CE311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>A szemináriumot megelőzően a tréner egy egyoldalas kérdőívet küld szét, hogy tisztába kerüljön a résztvevők Kerethatározattal kapcsolatos gyakorlatával és tapasztalatával. Rákérdez továbbá a résztvevők elvárásaira, kérdéseire is. Az így szerzett információ felhasználható a prezentáció során, és befolyásolhatja azt is, hogy milyen nehézségű feladatok, esetleges plusz kérdések kerüljenek megvitatásra. Fontos, hogy ezek az információk rendelkezésre álljanak, mert valószínűsíthető, hogy eltérések lesznek a résztvevők gyakorlati tapasztalata, nyelvi képességei és mindennapi feladatai között.</w:t>
      </w:r>
    </w:p>
    <w:p w14:paraId="743FD96A" w14:textId="7D2C8948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>A tréner egy rövid, tömör (</w:t>
      </w:r>
      <w:r w:rsidR="00A3477C">
        <w:rPr>
          <w:rFonts w:ascii="Times New Roman" w:hAnsi="Times New Roman" w:cs="Times New Roman"/>
          <w:sz w:val="28"/>
          <w:szCs w:val="28"/>
          <w:lang w:val="hu-HU"/>
        </w:rPr>
        <w:t>P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ower point) prezentációt tart a résztvevőknek, melyben rávilágít a </w:t>
      </w:r>
      <w:r w:rsidR="00CB62C1" w:rsidRPr="00A3477C">
        <w:rPr>
          <w:rFonts w:ascii="Times New Roman" w:eastAsia="Calibri" w:hAnsi="Times New Roman" w:cs="Times New Roman"/>
          <w:b/>
          <w:sz w:val="28"/>
          <w:szCs w:val="28"/>
          <w:lang w:val="hu-HU"/>
        </w:rPr>
        <w:t>Tanács 2002/584/IB számú, 2002. június 13. napján kelt az Európai Elfogatóparancsról és a tagállamok közötti átadási eljárásokról szóló kerethatározatának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fő rendelkezésire – hatály, definíciók, hatáskörrel és illetékességgel bíró hatóság</w:t>
      </w:r>
      <w:r w:rsidR="00CB62C1">
        <w:rPr>
          <w:rFonts w:ascii="Times New Roman" w:hAnsi="Times New Roman" w:cs="Times New Roman"/>
          <w:sz w:val="28"/>
          <w:szCs w:val="28"/>
          <w:lang w:val="hu-HU"/>
        </w:rPr>
        <w:t>ok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, különbségtétel a büntetőeljárás lefolytatása, illetve a végrehajtás érdekében történő átadás között, a keresett személy állampolgárságának és tartózkodási helyének jelentősége, megtagadási okok, határidők, irányadó jog, határozatok, tagállamok kötelességei (</w:t>
      </w:r>
      <w:r w:rsidRPr="00A3477C">
        <w:rPr>
          <w:rFonts w:ascii="Times New Roman" w:hAnsi="Times New Roman" w:cs="Times New Roman"/>
          <w:b/>
          <w:bCs/>
          <w:sz w:val="28"/>
          <w:szCs w:val="28"/>
          <w:lang w:val="hu-HU"/>
        </w:rPr>
        <w:t>kb</w:t>
      </w:r>
      <w:r w:rsidR="00CB62C1" w:rsidRPr="00A3477C">
        <w:rPr>
          <w:rFonts w:ascii="Times New Roman" w:hAnsi="Times New Roman" w:cs="Times New Roman"/>
          <w:b/>
          <w:bCs/>
          <w:sz w:val="28"/>
          <w:szCs w:val="28"/>
          <w:lang w:val="hu-HU"/>
        </w:rPr>
        <w:t>.</w:t>
      </w:r>
      <w:r w:rsidRPr="00A3477C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15-20 perc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).</w:t>
      </w:r>
    </w:p>
    <w:p w14:paraId="5084BA55" w14:textId="309B86BE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sz w:val="28"/>
          <w:szCs w:val="28"/>
          <w:lang w:val="hu-HU"/>
        </w:rPr>
        <w:t>Az egyes számú jogeset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célja foglalkozni a legalapvetőbb kérdésekkel, majd a felmerülő részletkérdésekkel behatóbban is. A résztvevők 4-5 fős csoportokban dolgoznak, a kérdések megválaszolásához rendelkezésükre áll egy </w:t>
      </w:r>
      <w:r w:rsidR="00AC7E9A" w:rsidRPr="00015A7F">
        <w:rPr>
          <w:rFonts w:ascii="Times New Roman" w:hAnsi="Times New Roman" w:cs="Times New Roman"/>
          <w:sz w:val="28"/>
          <w:szCs w:val="28"/>
          <w:lang w:val="hu-HU"/>
        </w:rPr>
        <w:t>interne</w:t>
      </w:r>
      <w:r w:rsidR="00AC7E9A">
        <w:rPr>
          <w:rFonts w:ascii="Times New Roman" w:hAnsi="Times New Roman" w:cs="Times New Roman"/>
          <w:sz w:val="28"/>
          <w:szCs w:val="28"/>
          <w:lang w:val="hu-HU"/>
        </w:rPr>
        <w:t xml:space="preserve">tre csatlakoztatott 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laptop. Különösen ajánlott az </w:t>
      </w:r>
      <w:r w:rsidR="00AC7E9A">
        <w:rPr>
          <w:rFonts w:ascii="Times New Roman" w:hAnsi="Times New Roman" w:cs="Times New Roman"/>
          <w:sz w:val="28"/>
          <w:szCs w:val="28"/>
          <w:lang w:val="hu-HU"/>
        </w:rPr>
        <w:t>EIH (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EJN</w:t>
      </w:r>
      <w:r w:rsidR="00AC7E9A">
        <w:rPr>
          <w:rFonts w:ascii="Times New Roman" w:hAnsi="Times New Roman" w:cs="Times New Roman"/>
          <w:sz w:val="28"/>
          <w:szCs w:val="28"/>
          <w:lang w:val="hu-HU"/>
        </w:rPr>
        <w:t>)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honlapjának, az Eurlexnek és az Európai Bíróság oldalának használata. Cél, hogy a résztvevők megtanulják alkalmazni ezeket az oldalakat a probléma megoldásához szükséges információk kigyűjtéséhez. Az 1. sz. jogeset megoldása és a kérdések megválaszolása </w:t>
      </w:r>
      <w:r w:rsidRPr="00A3477C">
        <w:rPr>
          <w:rFonts w:ascii="Times New Roman" w:hAnsi="Times New Roman" w:cs="Times New Roman"/>
          <w:b/>
          <w:bCs/>
          <w:sz w:val="28"/>
          <w:szCs w:val="28"/>
          <w:lang w:val="hu-HU"/>
        </w:rPr>
        <w:t>kb. 1 óra 40 percet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vesz igénybe. Ajánlott úgy alakítani a csoportokat, hogy hasonló gyakorlattal bíró résztvevők dolgozzanak együtt. </w:t>
      </w:r>
    </w:p>
    <w:p w14:paraId="0EED2E6A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>Ezen a ponton ajánlott egy 10 perces szünet tartása.</w:t>
      </w:r>
    </w:p>
    <w:p w14:paraId="3C1A62B0" w14:textId="598CFCF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Az A.II. pont </w:t>
      </w:r>
      <w:r w:rsidRPr="00A3477C">
        <w:rPr>
          <w:rFonts w:ascii="Times New Roman" w:hAnsi="Times New Roman" w:cs="Times New Roman"/>
          <w:b/>
          <w:bCs/>
          <w:sz w:val="28"/>
          <w:szCs w:val="28"/>
          <w:lang w:val="hu-HU"/>
        </w:rPr>
        <w:t>feladatainak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megoldása kb</w:t>
      </w:r>
      <w:r w:rsidR="00A3477C"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A3477C">
        <w:rPr>
          <w:rFonts w:ascii="Times New Roman" w:hAnsi="Times New Roman" w:cs="Times New Roman"/>
          <w:b/>
          <w:bCs/>
          <w:sz w:val="28"/>
          <w:szCs w:val="28"/>
          <w:lang w:val="hu-HU"/>
        </w:rPr>
        <w:t>10 percet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vesz igénybe, és céljuk, hogy megismertessék a résztvevőkkel az eljáró hatóság és az alkalmazandó nyelv megkeresésének módját. Az </w:t>
      </w:r>
      <w:r w:rsidR="0032039D">
        <w:rPr>
          <w:rFonts w:ascii="Times New Roman" w:hAnsi="Times New Roman" w:cs="Times New Roman"/>
          <w:sz w:val="28"/>
          <w:szCs w:val="28"/>
          <w:lang w:val="hu-HU"/>
        </w:rPr>
        <w:t>Európai Igazságügyi Hálózat</w:t>
      </w:r>
      <w:r w:rsidR="00AE4AF7"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EJN</w:t>
      </w:r>
      <w:r w:rsidR="00AE4AF7">
        <w:rPr>
          <w:rFonts w:ascii="Times New Roman" w:hAnsi="Times New Roman" w:cs="Times New Roman"/>
          <w:sz w:val="28"/>
          <w:szCs w:val="28"/>
          <w:lang w:val="hu-HU"/>
        </w:rPr>
        <w:t>)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honlapjának ismertetése után kontroll feladatként is használható. Ha az 1. sz. jogeset megoldása a vártnál több időt vett igénybe, ez a feladat elhagyható és kiadható házi feladatként. </w:t>
      </w:r>
    </w:p>
    <w:p w14:paraId="5B48CD08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bCs/>
          <w:iCs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 xml:space="preserve">A 2. sz. jogeset </w:t>
      </w:r>
      <w:r w:rsidRP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olyan kérdésekre mutat rá, melyekre nem található meg a válasz a Kerethatározatban, a gyakorlatban mégis felmerülhetnek, és pontos választ igényelnek. A résztvevők 4-5 fős csoportokban dolgoznak, internetkapcsolattal bíró laptoppal. A 2. sz. jogeset megoldása </w:t>
      </w:r>
      <w:r w:rsidRPr="00A3477C">
        <w:rPr>
          <w:rFonts w:ascii="Times New Roman" w:hAnsi="Times New Roman" w:cs="Times New Roman"/>
          <w:b/>
          <w:iCs/>
          <w:sz w:val="28"/>
          <w:szCs w:val="28"/>
          <w:lang w:val="hu-HU"/>
        </w:rPr>
        <w:t>kb. 40-45 perc</w:t>
      </w:r>
      <w:r w:rsidRP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et vesz igénybe. </w:t>
      </w:r>
    </w:p>
    <w:p w14:paraId="12EE969B" w14:textId="10D176AF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lang w:val="hu-HU"/>
        </w:rPr>
      </w:pPr>
      <w:r w:rsidRP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>A szeminárium végé</w:t>
      </w:r>
      <w:r w:rsidR="00AE4AF7">
        <w:rPr>
          <w:rFonts w:ascii="Times New Roman" w:hAnsi="Times New Roman" w:cs="Times New Roman"/>
          <w:bCs/>
          <w:iCs/>
          <w:sz w:val="28"/>
          <w:szCs w:val="28"/>
          <w:lang w:val="hu-HU"/>
        </w:rPr>
        <w:t>n</w:t>
      </w:r>
      <w:r w:rsidRP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 </w:t>
      </w:r>
      <w:r w:rsidR="00AE4AF7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az </w:t>
      </w:r>
      <w:r w:rsidRP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>egyéb felmerülő kérdések megvitatása történik (kb</w:t>
      </w:r>
      <w:r w:rsid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>.</w:t>
      </w:r>
      <w:r w:rsidRP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 </w:t>
      </w:r>
      <w:r w:rsidRPr="00A3477C">
        <w:rPr>
          <w:rFonts w:ascii="Times New Roman" w:hAnsi="Times New Roman" w:cs="Times New Roman"/>
          <w:b/>
          <w:iCs/>
          <w:sz w:val="28"/>
          <w:szCs w:val="28"/>
          <w:lang w:val="hu-HU"/>
        </w:rPr>
        <w:t>5-10 percben</w:t>
      </w:r>
      <w:r w:rsidRPr="00A3477C">
        <w:rPr>
          <w:rFonts w:ascii="Times New Roman" w:hAnsi="Times New Roman" w:cs="Times New Roman"/>
          <w:bCs/>
          <w:iCs/>
          <w:sz w:val="28"/>
          <w:szCs w:val="28"/>
          <w:lang w:val="hu-HU"/>
        </w:rPr>
        <w:t xml:space="preserve">). </w:t>
      </w:r>
    </w:p>
    <w:p w14:paraId="661484F5" w14:textId="4DA30E5B" w:rsidR="00936BBA" w:rsidRPr="00A3477C" w:rsidRDefault="00FD2AA1" w:rsidP="00936BBA">
      <w:pPr>
        <w:numPr>
          <w:ilvl w:val="0"/>
          <w:numId w:val="1"/>
        </w:numPr>
        <w:suppressAutoHyphens/>
        <w:autoSpaceDN w:val="0"/>
        <w:spacing w:after="160" w:line="244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Kiegészítő</w:t>
      </w:r>
      <w:r w:rsidRPr="00A3477C"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 xml:space="preserve"> </w:t>
      </w:r>
      <w:r w:rsidR="00936BBA" w:rsidRPr="00A3477C">
        <w:rPr>
          <w:rFonts w:ascii="Times New Roman" w:eastAsia="Calibri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anyagok</w:t>
      </w:r>
    </w:p>
    <w:p w14:paraId="3C3DA43D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Minden résztvevőnek </w:t>
      </w:r>
      <w:r w:rsidRPr="00A3477C">
        <w:rPr>
          <w:rFonts w:ascii="Times New Roman" w:hAnsi="Times New Roman" w:cs="Times New Roman"/>
          <w:b/>
          <w:bCs/>
          <w:sz w:val="28"/>
          <w:szCs w:val="28"/>
          <w:lang w:val="hu-HU"/>
        </w:rPr>
        <w:t>magával kell hoznia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egy példányt a Tanács 2002/584/IB számú, 2002. június 13. napján kelt, az európai elfogatóparancsról és a tagállamok közötti átadási eljárásokról szóló, a függelék részét képező formanyomtatványt is tartalmazó kerethatározatából.  Ugyancsak szükséges, hogy magukkal hozzák, vagy hozzáférjenek a nemzeti végrehajtási jogszabályukhoz.</w:t>
      </w:r>
    </w:p>
    <w:p w14:paraId="23D28DF5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sz w:val="28"/>
          <w:szCs w:val="28"/>
          <w:lang w:val="hu-HU"/>
        </w:rPr>
        <w:t xml:space="preserve">(megjegyzés a trénereknek: érdekes lesz megfigyelni, hogy a résztvevők csak az eredeti határozatot hozzák– saját nyelvükön -, vagy az ahhoz fűzött kiegészítéseket (pl. 2009/299. Kerethatározat) és helyesbítéseket is. Még mindig gyakran előfordul, hogy az eredeti, 2002-ben elfogadott verziót használják a gyakorlatban, a későbbi módosítások nélkül. </w:t>
      </w:r>
    </w:p>
    <w:p w14:paraId="5F9CA2A7" w14:textId="08CC243F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sz w:val="28"/>
          <w:szCs w:val="28"/>
          <w:lang w:val="hu-HU"/>
        </w:rPr>
        <w:t xml:space="preserve">Megjegyzés: a helyesbítésekről: ezek eltérők lehetnek a különböző nyelveken, és lehetséges, hogy jóval 2002 után születtek: pl. a </w:t>
      </w:r>
      <w:r w:rsidR="001F1D0E">
        <w:rPr>
          <w:rFonts w:ascii="Times New Roman" w:hAnsi="Times New Roman" w:cs="Times New Roman"/>
          <w:b/>
          <w:sz w:val="28"/>
          <w:szCs w:val="28"/>
          <w:lang w:val="hu-HU"/>
        </w:rPr>
        <w:t>h</w:t>
      </w:r>
      <w:r w:rsidRPr="00A3477C">
        <w:rPr>
          <w:rFonts w:ascii="Times New Roman" w:hAnsi="Times New Roman" w:cs="Times New Roman"/>
          <w:b/>
          <w:sz w:val="28"/>
          <w:szCs w:val="28"/>
          <w:lang w:val="hu-HU"/>
        </w:rPr>
        <w:t>olland verzió, OJ 2020 L 118/39. Ha az idő engedi, ez egy megfelelő alkalom arra, hogy az eurlex, illetve az</w:t>
      </w:r>
      <w:r w:rsidRPr="00A3477C">
        <w:rPr>
          <w:rStyle w:val="Hiperhivatkozs"/>
          <w:rFonts w:ascii="Times New Roman" w:hAnsi="Times New Roman" w:cs="Times New Roman"/>
          <w:b/>
          <w:sz w:val="28"/>
          <w:szCs w:val="28"/>
          <w:lang w:val="hu-HU"/>
        </w:rPr>
        <w:t xml:space="preserve"> egységes szerkezetbe foglalt jogi szövegek </w:t>
      </w:r>
      <w:r w:rsidRPr="00A3477C">
        <w:rPr>
          <w:rFonts w:ascii="Times New Roman" w:hAnsi="Times New Roman" w:cs="Times New Roman"/>
          <w:b/>
          <w:sz w:val="28"/>
          <w:szCs w:val="28"/>
          <w:lang w:val="hu-HU"/>
        </w:rPr>
        <w:t xml:space="preserve">használatára buzdítsuk a résztvevőket. </w:t>
      </w:r>
    </w:p>
    <w:p w14:paraId="1718D8C8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b/>
          <w:lang w:val="hu-HU"/>
        </w:rPr>
      </w:pPr>
      <w:r w:rsidRPr="00A3477C">
        <w:rPr>
          <w:rFonts w:ascii="Times New Roman" w:hAnsi="Times New Roman" w:cs="Times New Roman"/>
          <w:b/>
          <w:sz w:val="28"/>
          <w:szCs w:val="28"/>
          <w:highlight w:val="yellow"/>
          <w:lang w:val="hu-HU"/>
        </w:rPr>
        <w:t>Nagyon fontos ösztönözni az online eszközök használatát!</w:t>
      </w:r>
    </w:p>
    <w:p w14:paraId="2F412AA7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>IV. Legújabb fejlemények</w:t>
      </w:r>
    </w:p>
    <w:p w14:paraId="720E12C5" w14:textId="77777777" w:rsidR="00936BBA" w:rsidRPr="00A3477C" w:rsidRDefault="00936BBA" w:rsidP="00936BBA">
      <w:pPr>
        <w:autoSpaceDN w:val="0"/>
        <w:spacing w:after="160" w:line="244" w:lineRule="auto"/>
        <w:jc w:val="both"/>
        <w:rPr>
          <w:rFonts w:ascii="Times New Roman" w:eastAsia="Calibri" w:hAnsi="Times New Roman" w:cs="Times New Roman"/>
          <w:sz w:val="28"/>
          <w:szCs w:val="28"/>
          <w:lang w:val="hu-HU"/>
        </w:rPr>
      </w:pPr>
      <w:r w:rsidRPr="00A3477C">
        <w:rPr>
          <w:rFonts w:ascii="Times New Roman" w:eastAsia="Calibri" w:hAnsi="Times New Roman" w:cs="Times New Roman"/>
          <w:sz w:val="28"/>
          <w:szCs w:val="28"/>
          <w:lang w:val="hu-HU"/>
        </w:rPr>
        <w:t>Ellenőrizzék, hogy van-e folyamatban új ügy, vagy hozott-e döntést a Bíróság előzetes döntéshozatali eljárásban az elmúlt 3 hónapban!</w:t>
      </w:r>
    </w:p>
    <w:p w14:paraId="20F3020F" w14:textId="77777777" w:rsidR="00936BBA" w:rsidRPr="00A3477C" w:rsidRDefault="00936BBA" w:rsidP="00936BBA">
      <w:pPr>
        <w:pStyle w:val="Test"/>
        <w:shd w:val="clear" w:color="auto" w:fill="DED888"/>
        <w:spacing w:after="160"/>
        <w:jc w:val="center"/>
        <w:rPr>
          <w:rFonts w:ascii="Times New Roman" w:hAnsi="Times New Roman"/>
          <w:color w:val="2F5496" w:themeColor="accent1" w:themeShade="BF"/>
          <w:sz w:val="32"/>
          <w:szCs w:val="32"/>
          <w:lang w:val="hu-HU"/>
        </w:rPr>
      </w:pPr>
      <w:r w:rsidRPr="00A3477C">
        <w:rPr>
          <w:rStyle w:val="Kiemels2"/>
          <w:rFonts w:ascii="Times New Roman" w:hAnsi="Times New Roman"/>
          <w:b/>
          <w:bCs w:val="0"/>
          <w:color w:val="2F5496" w:themeColor="accent1" w:themeShade="BF"/>
          <w:sz w:val="32"/>
          <w:szCs w:val="32"/>
          <w:lang w:val="hu-HU"/>
        </w:rPr>
        <w:t>D Rész - Megoldások</w:t>
      </w:r>
    </w:p>
    <w:p w14:paraId="25A2C1E8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A. I. 1. sz. Jogeset:</w:t>
      </w:r>
    </w:p>
    <w:p w14:paraId="6FF5AD8E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color w:val="2F5496" w:themeColor="accent1" w:themeShade="BF"/>
          <w:sz w:val="28"/>
          <w:szCs w:val="28"/>
          <w:lang w:val="hu-HU"/>
        </w:rPr>
        <w:t xml:space="preserve">Kérdések: </w:t>
      </w:r>
    </w:p>
    <w:p w14:paraId="3F101D58" w14:textId="30019028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</w:pPr>
      <w:r w:rsidRPr="001F1D0E"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  <w:lang w:val="hu-HU"/>
        </w:rPr>
        <w:t>1.</w:t>
      </w:r>
      <w:r w:rsidR="001F1D0E" w:rsidRPr="001F1D0E"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Kötelessége-e Hollandiának a gyanúsított átadása? Amennyiben igen, milyen feltételek mellett?</w:t>
      </w:r>
    </w:p>
    <w:p w14:paraId="68427D14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u w:val="single"/>
          <w:lang w:val="hu-HU"/>
        </w:rPr>
        <w:t>Előzetes kérdések</w:t>
      </w:r>
    </w:p>
    <w:p w14:paraId="59C54660" w14:textId="6B3C70EF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A kibocsátó hatóság természete kapcsán előzetes kérdésként merül fel, hogy a Kerethatározat 6. cikke alapján </w:t>
      </w:r>
      <w:r w:rsidRPr="00A3477C">
        <w:rPr>
          <w:rFonts w:ascii="Times New Roman" w:hAnsi="Times New Roman" w:cs="Times New Roman"/>
          <w:i/>
          <w:iCs/>
          <w:sz w:val="28"/>
          <w:szCs w:val="28"/>
          <w:lang w:val="hu-HU"/>
        </w:rPr>
        <w:t>igazságügyi hatóság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nak minősül-e. Miként azt a Bíróság a </w:t>
      </w:r>
      <w:hyperlink r:id="rId7" w:history="1">
        <w:r w:rsidRPr="001F1D0E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Poltorak ügyben (C-452/16 PPU)</w:t>
        </w:r>
      </w:hyperlink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megállapította, a rendőrségi szervek nem minősülnek </w:t>
      </w:r>
      <w:r w:rsidR="001F7B2A">
        <w:rPr>
          <w:rFonts w:ascii="Times New Roman" w:hAnsi="Times New Roman" w:cs="Times New Roman"/>
          <w:sz w:val="28"/>
          <w:szCs w:val="28"/>
          <w:lang w:val="hu-HU"/>
        </w:rPr>
        <w:t>annak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. Nemrégiben a Bíróság további feltételeket állapított meg az ügyészségek tekintetében is (lsd. </w:t>
      </w:r>
      <w:hyperlink r:id="rId8" w:history="1">
        <w:r w:rsidRPr="001F1D0E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C-489/19 PPU – NJ [Parquet de Vienne]</w:t>
        </w:r>
      </w:hyperlink>
      <w:r w:rsidRPr="00A3477C">
        <w:rPr>
          <w:rFonts w:ascii="Times New Roman" w:hAnsi="Times New Roman" w:cs="Times New Roman"/>
          <w:sz w:val="28"/>
          <w:szCs w:val="28"/>
          <w:lang w:val="hu-HU"/>
        </w:rPr>
        <w:t>). Összefoglalva: ki kell tűnnie az</w:t>
      </w:r>
      <w:r w:rsidR="001F7B2A">
        <w:rPr>
          <w:rFonts w:ascii="Times New Roman" w:hAnsi="Times New Roman" w:cs="Times New Roman"/>
          <w:sz w:val="28"/>
          <w:szCs w:val="28"/>
          <w:lang w:val="hu-HU"/>
        </w:rPr>
        <w:t xml:space="preserve"> EEP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arányosság tekintetében történt egyedi elbírálás</w:t>
      </w:r>
      <w:r w:rsidR="001F7B2A">
        <w:rPr>
          <w:rFonts w:ascii="Times New Roman" w:hAnsi="Times New Roman" w:cs="Times New Roman"/>
          <w:sz w:val="28"/>
          <w:szCs w:val="28"/>
          <w:lang w:val="hu-HU"/>
        </w:rPr>
        <w:t>á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nak, és biztosítani kell a bírói, illetve bírósági felügyeletet is. Annak is ki kell tűnnie, hogy az EEP nemzeti elfogatóparancson alapul (ld. </w:t>
      </w:r>
      <w:hyperlink r:id="rId9" w:history="1">
        <w:r w:rsidRPr="001F1D0E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a Bob-Dogi ügyet – C-241/15</w:t>
        </w:r>
      </w:hyperlink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). Néhány tagállam rendszerében egy elfogatóparancs foglalja magába mindkettőt, de a Bíróság kettőt kíván meg. </w:t>
      </w:r>
    </w:p>
    <w:p w14:paraId="0029B01D" w14:textId="26BE24C9" w:rsidR="00936BBA" w:rsidRPr="00A3477C" w:rsidRDefault="001F7B2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jog</w:t>
      </w:r>
      <w:r w:rsidR="00936BBA"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gyakorlat során kimunkált feltételek alapján a végrehajtó hatóság kérdéseket intézhet a kibocsátó hatósághoz. Mindez sajnálatos módon késedelemhez és elégedetlenséghez vezethet. </w:t>
      </w:r>
    </w:p>
    <w:p w14:paraId="5A55F6D7" w14:textId="6795FA93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Amint megállapításra vagy kiigazításra került a kibocsátó hatóság </w:t>
      </w:r>
      <w:r w:rsidRPr="001F1D0E">
        <w:rPr>
          <w:rFonts w:ascii="Times New Roman" w:hAnsi="Times New Roman" w:cs="Times New Roman"/>
          <w:i/>
          <w:iCs/>
          <w:sz w:val="28"/>
          <w:szCs w:val="28"/>
          <w:lang w:val="hu-HU"/>
        </w:rPr>
        <w:t>igazságügyi hatósági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minősége, (a gyakorlat szerint a legtöbb formalitás kiigazítható, az EEP kibocsátása kapcsán nem érvényesül a ne bis in idem elv) az EEP feldolgozható. Továbbiakra ld. a 3. kérdés megoldását.</w:t>
      </w:r>
    </w:p>
    <w:p w14:paraId="2EEB79B0" w14:textId="382936BF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F1D0E"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  <w:lang w:val="hu-HU"/>
        </w:rPr>
        <w:t>2.</w:t>
      </w:r>
      <w:r w:rsidR="001F1D0E" w:rsidRPr="001F1D0E"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Különbséget jelentene-e, ha az elkövetés nem Görögországban, hanem Hollandiában történt volna?</w:t>
      </w:r>
    </w:p>
    <w:p w14:paraId="1AA8262A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>Ha az elkövetési magatartás nem Görögországban, hanem Hollandiában valósul meg, alkalmazható a 4. cikk (7) bekezdés szerinti megtagadási ok. Mivel az elkövetés helye Hollandia, ez a hatóságot feljogosítja a teljesítés megtagadására. Megjegyzés: a hivatkozott szabály a “megtagadhatja” kifejezést használja, így nem jelent kötelezettséget. Megj.: ha az idő engedi, érdekes lehet megvizsgálni, hogy a különböző tagállamok hogyan ültették át ezt a megengedő jellegű szabályt; van amelyik lehetőségként, van amelyik kötelező jogalapként rendelkezik róla.</w:t>
      </w:r>
    </w:p>
    <w:p w14:paraId="3FCCC8D6" w14:textId="37DBCE42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1F1D0E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3.</w:t>
      </w:r>
      <w:r w:rsidR="001F1D0E" w:rsidRPr="001F1D0E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ab/>
        <w:t>Elvégezheti-e Hollandia a cselekmény értékelését, minősítheti-e a holland büntetőjognak megfelelően?</w:t>
      </w:r>
    </w:p>
    <w:p w14:paraId="2E41A0B2" w14:textId="06847F10" w:rsidR="00936BBA" w:rsidRPr="00A3477C" w:rsidRDefault="00936BBA" w:rsidP="001F1D0E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főszabály </w:t>
      </w:r>
      <w:r w:rsidR="00846970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az átadási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kötelezettség, és az értékelési tevékenység körében azt kell biztosítani, hogy ennek minden egyes feltétele vizsgálat alá essen. Az első megjelölt cselekmény emberölés, ami szerepel a 2. cikk (2) bekezdés felsorolásában, vagyis ún. “listázott bűncselekmény”. Szükséges továbbá a 2. cikk (1) bekezdésében foglalt, szabadságelvonással kapcsolatos minimumkövetelmények teljesülése is. Mivel a görög hatóság megjelölte az emberölés bűncselekményét, a végrehajtó hatóságnak ezt el kell foga</w:t>
      </w:r>
      <w:r w:rsidR="00FA5D9F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d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nia, nem minősítheti maga a cselekményt. Ez a helyzet akkor is, ha egyértelműen eltérő álláspont alakul ki a cselekmény büntethetőségével, vagy a megtagadási ok </w:t>
      </w:r>
      <w:r w:rsidR="00FA5D9F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felmentés 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fennálltával kapcsolatban. A konkrét esetben a holland hatóság nem helyezheti előtérbe a holland jogot a göröggel szemben. </w:t>
      </w:r>
    </w:p>
    <w:p w14:paraId="26BE962C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A szabotázs szintén listázott bűncselekmény, így a fentiek alkalmazandók e cselekményre is. A 2. cikk (2) bekezdése szerint a kiszabható szabadságvesztés felső határának el kell érnie a 3 évet. Számítana vajon, ha Hollandia nem ismerné a szabotázs bűncselekményét? [</w:t>
      </w:r>
      <w:r w:rsidRPr="001F1D0E">
        <w:rPr>
          <w:rStyle w:val="Kiemels2"/>
          <w:rFonts w:ascii="Times New Roman" w:hAnsi="Times New Roman" w:cs="Times New Roman"/>
          <w:sz w:val="28"/>
          <w:szCs w:val="28"/>
          <w:lang w:val="hu-HU"/>
        </w:rPr>
        <w:t>megjegyzés a trénereknek: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a kérdés egy érdekes eszmecseréhez vezethet. A Holland Büntető Törvénykönyv nem tartalmaz ilyen cselekményt, és lehetséges, hogy más tagállamé sem, ennek azonban nincs döntő jelentősége. Ami itt számít, az az, hogy a kibocsátó hatóság megjelölte a szabotázs cselekményét, ami ekként a végrehajtó hatóság tagállami jogát irrelevánssá teszi.]</w:t>
      </w:r>
    </w:p>
    <w:p w14:paraId="7893D0BA" w14:textId="77777777" w:rsidR="00936BBA" w:rsidRPr="00A3477C" w:rsidRDefault="00936BBA" w:rsidP="00936BBA">
      <w:pPr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br w:type="page"/>
      </w:r>
    </w:p>
    <w:p w14:paraId="59BB58FE" w14:textId="07855A31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1F1D0E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4.</w:t>
      </w:r>
      <w:r w:rsidR="001F1D0E" w:rsidRPr="001F1D0E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ab/>
        <w:t>Van-e jelentősége a keresett személy állampolgárságának?</w:t>
      </w:r>
    </w:p>
    <w:p w14:paraId="0351F7FF" w14:textId="27FEDBDB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Igen, van. Az átadni kért személy a végrehajtó állam állampolgára. A Kerethatározat 5. cikk (3) bekezdése szerint a végrehajtó hatóság az EEP végrehajtását ahhoz a feltételhez köthe</w:t>
      </w:r>
      <w:r w:rsidR="00FA5D9F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t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i, hogy az érintett személyt – meghallgatása után – visszaszállítják Hollandiába, hogy ott töltse le a kibocsátó tagállamban rá kiszabott szabadságvesztés-büntetést vagy szabadságelvonással járó intézkedést (</w:t>
      </w:r>
      <w:r w:rsidRPr="001F1D0E">
        <w:rPr>
          <w:rStyle w:val="Kiemels2"/>
          <w:rFonts w:ascii="Times New Roman" w:hAnsi="Times New Roman" w:cs="Times New Roman"/>
          <w:b w:val="0"/>
          <w:bCs w:val="0"/>
          <w:i/>
          <w:iCs/>
          <w:sz w:val="28"/>
          <w:szCs w:val="28"/>
          <w:lang w:val="hu-HU"/>
        </w:rPr>
        <w:t>visszaküldési kötelezettség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). </w:t>
      </w:r>
    </w:p>
    <w:p w14:paraId="7AA39E71" w14:textId="4E4C0C05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résztvevők feladata annak megállapítása, hogy Hollandia él-e ezzel a lehetőséggel. Ez nem a holland nyilatkozatban található meg (ld. </w:t>
      </w:r>
      <w:hyperlink r:id="rId10" w:history="1">
        <w:r w:rsidRPr="001F1D0E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a Bob-Dogi ügyet</w:t>
        </w:r>
      </w:hyperlink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), hanem a tagállami végrehajtási szabály 6. cikk (1) bekezdésében. Ld. ehhez az </w:t>
      </w:r>
      <w:hyperlink r:id="rId11" w:history="1">
        <w:r w:rsidRPr="001F1D0E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Igazságügyi Könyvtárat az EJN oldalán</w:t>
        </w:r>
      </w:hyperlink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.</w:t>
      </w:r>
    </w:p>
    <w:p w14:paraId="720246B7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Megjegyzés: vigyázat, a tagállami szabályok fordításai gyakran nem naprakészek. Ehhez a kérdéshez szükséges előre ellenőrizni, hogy a 2008/909. sz. Kerethatározat alapján a cselekmény okot ad-e letartóztatásra és átadásra is. Legalább 6 havi szabadságvesztésnek még hátra kell lennie! (9. cikk (1) bekezdés h) pont) </w:t>
      </w:r>
    </w:p>
    <w:p w14:paraId="5C5FE060" w14:textId="415AEAC4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1F1D0E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5.</w:t>
      </w:r>
      <w:r w:rsidR="001F1D0E" w:rsidRPr="001F1D0E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ab/>
        <w:t>Őrizetbe kerül-e a keresett személy az eljárás időtartamára?</w:t>
      </w:r>
    </w:p>
    <w:p w14:paraId="652FB37E" w14:textId="6936EC24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32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válasz a 12. cikkből következik: a végrehajtó hatóság a tagállami jog szerint dönt arról, hogy szükséges-e a fogtartás. Ld. </w:t>
      </w:r>
      <w:hyperlink r:id="rId12" w:history="1">
        <w:r w:rsidRPr="00A3477C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 xml:space="preserve"> Lanigan- ügy</w:t>
        </w:r>
        <w:r w:rsidRPr="00A3477C">
          <w:rPr>
            <w:rStyle w:val="Hiperhivatkozs"/>
            <w:rFonts w:ascii="Times New Roman" w:hAnsi="Times New Roman" w:cs="Times New Roman"/>
            <w:lang w:val="hu-HU"/>
          </w:rPr>
          <w:t xml:space="preserve"> </w:t>
        </w:r>
        <w:r w:rsidRPr="00A3477C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(C-237/15 PPU)</w:t>
        </w:r>
      </w:hyperlink>
      <w:r w:rsidRPr="00A3477C"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A3477C">
        <w:rPr>
          <w:rFonts w:ascii="Times New Roman" w:hAnsi="Times New Roman" w:cs="Times New Roman"/>
          <w:sz w:val="32"/>
          <w:szCs w:val="28"/>
          <w:lang w:val="hu-HU"/>
        </w:rPr>
        <w:t xml:space="preserve"> </w:t>
      </w:r>
    </w:p>
    <w:p w14:paraId="7205C2D6" w14:textId="4209D903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>A tréner kezdeményezheti a résztvevők tagállami gyakorlatának feltérképezését. A tagállamok gyakran azon az alapon nem ítélik szükségesnek a saját állampolgáruk fogvatartását, hogy szökés esetén a keresett személy elveszítené az 5. cikk (3) bekezdés (visszaküldési kötelezettség) védelmét.</w:t>
      </w:r>
    </w:p>
    <w:p w14:paraId="62107251" w14:textId="6239159B" w:rsidR="00936BBA" w:rsidRPr="00A3477C" w:rsidRDefault="00936BBA" w:rsidP="00936BBA">
      <w:pPr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br w:type="page"/>
      </w:r>
      <w:r w:rsidRPr="001F1D0E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6.</w:t>
      </w:r>
      <w:r w:rsidR="001F1D0E" w:rsidRPr="001F1D0E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 xml:space="preserve"> Mely hatóságok járnak el az EEP-vel kapcsolatban az egyes oldalakon? </w:t>
      </w:r>
    </w:p>
    <w:p w14:paraId="2BFE80E4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A kibocsátó hatóság a Kelet Krétai Fellebbviteli Bíróság mellett működő Ügyészség. A kapcsolatfelvételi információk megtalálhatók az Igazságügyi Atlaszban.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936BBA" w:rsidRPr="004408B6" w14:paraId="0B86EDC3" w14:textId="77777777" w:rsidTr="009F219A">
        <w:trPr>
          <w:trHeight w:val="85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8125" w14:textId="421DA13B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Név: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="001F1D0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="001F1D0E">
              <w:t xml:space="preserve">      </w:t>
            </w:r>
            <w:r w:rsidR="009F219A">
              <w:t xml:space="preserve"> </w:t>
            </w:r>
            <w:r w:rsidR="001F1D0E">
              <w:t xml:space="preserve">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Public Prosecutor's Office at the Court of Appeal of Eastern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="009F219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Crete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  <w:t>(Eisaggelia Efeton Anatolikis Kritis)</w:t>
            </w:r>
          </w:p>
          <w:p w14:paraId="649E4BDF" w14:textId="5306ACBD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Cím: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="001F1D0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="001F1D0E">
              <w:t xml:space="preserve">      </w:t>
            </w:r>
            <w:r w:rsidR="009F219A">
              <w:t xml:space="preserve"> </w:t>
            </w:r>
            <w:r w:rsidR="001F1D0E">
              <w:t xml:space="preserve">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Plateia Daskalogianni</w:t>
            </w:r>
          </w:p>
          <w:p w14:paraId="27D18547" w14:textId="7777777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Részleg:</w:t>
            </w:r>
          </w:p>
          <w:p w14:paraId="2BF2B169" w14:textId="0CD9AD32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Város:</w:t>
            </w:r>
            <w:r w:rsidR="009F219A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 xml:space="preserve">       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Irakleio</w:t>
            </w:r>
          </w:p>
          <w:p w14:paraId="188CE0F7" w14:textId="48E1AAA9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Irányítószám</w:t>
            </w:r>
            <w:r w:rsidR="009F219A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 xml:space="preserve">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71201</w:t>
            </w:r>
          </w:p>
          <w:p w14:paraId="6F9F12B5" w14:textId="38151FA6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 xml:space="preserve">Telefonszám: </w:t>
            </w:r>
            <w:r w:rsidR="001F1D0E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 xml:space="preserve"> </w:t>
            </w:r>
            <w:r w:rsidR="001F1D0E">
              <w:rPr>
                <w:b/>
              </w:rPr>
              <w:t xml:space="preserve">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+30 2810 247813</w:t>
            </w:r>
          </w:p>
          <w:p w14:paraId="449DA5AF" w14:textId="7777777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Mobil szám:</w:t>
            </w:r>
          </w:p>
          <w:p w14:paraId="6EEA1532" w14:textId="3E67CBDF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Fax szám: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="001F1D0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="001F1D0E">
              <w:t xml:space="preserve">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+30 2810 247813</w:t>
            </w:r>
          </w:p>
          <w:p w14:paraId="253C0B36" w14:textId="15D60C3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Email cím:</w:t>
            </w:r>
            <w:r w:rsidR="001F1D0E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 xml:space="preserve"> </w:t>
            </w:r>
            <w:r w:rsidR="001F1D0E">
              <w:rPr>
                <w:b/>
              </w:rPr>
              <w:t xml:space="preserve">  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eisefankr@yahoo.gr</w:t>
            </w:r>
          </w:p>
        </w:tc>
      </w:tr>
    </w:tbl>
    <w:p w14:paraId="525C0ED5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Kérdés, hogy az ügyész kibocsáthat-e önállóan EEP-t. Ha az EEP-hez bírósági döntés is szükségeltetik, szükség lesz a bíróság bevonására is. </w:t>
      </w:r>
    </w:p>
    <w:p w14:paraId="30B1D5AD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A végrehajtó hatóság egységes az egész országban: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936BBA" w:rsidRPr="004408B6" w14:paraId="03A5290C" w14:textId="77777777" w:rsidTr="009F219A">
        <w:trPr>
          <w:trHeight w:val="3203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0E96" w14:textId="6AAF53F5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Név: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="009F219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Officier van Justitie te Amsterdam (Central Authority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  <w:t>EAW) IRC Amsterdam</w:t>
            </w:r>
          </w:p>
          <w:p w14:paraId="26BF67EF" w14:textId="03DCB83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Cím: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="009F219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Postbus 115</w:t>
            </w:r>
          </w:p>
          <w:p w14:paraId="180314B1" w14:textId="7777777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Részleg:</w:t>
            </w:r>
          </w:p>
          <w:p w14:paraId="493D8E1C" w14:textId="7777777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  <w:t>Central Authority for EAWs</w:t>
            </w:r>
          </w:p>
          <w:p w14:paraId="5981B0C5" w14:textId="7777777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Város: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  <w:t>Amsterdam</w:t>
            </w:r>
          </w:p>
          <w:p w14:paraId="5F676548" w14:textId="4593BB12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Irányítószám:</w:t>
            </w: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1000AC</w:t>
            </w:r>
          </w:p>
          <w:p w14:paraId="1CA574B1" w14:textId="7777777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Telefonszám: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  <w:t>+31 88 6991270</w:t>
            </w:r>
          </w:p>
          <w:p w14:paraId="127A759B" w14:textId="7777777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Mobil szám: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  <w:t>+316 53332848</w:t>
            </w:r>
          </w:p>
          <w:p w14:paraId="7EFE83D6" w14:textId="77777777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Fax szám:</w:t>
            </w:r>
          </w:p>
          <w:p w14:paraId="0514A25B" w14:textId="54605358" w:rsidR="00936BBA" w:rsidRPr="00A3477C" w:rsidRDefault="00936BBA" w:rsidP="001E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  <w:t>Email cím: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ab/>
            </w:r>
            <w:r w:rsidR="009F219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eab.amsterdam@om.nl</w:t>
            </w:r>
          </w:p>
        </w:tc>
      </w:tr>
    </w:tbl>
    <w:p w14:paraId="7224565F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Megjegyzés a trénereknek: kicserélhető a végrehajtó tagállam olyanra, ahol az EEP-csal kapcsolatos feladatok nem centralizáltak. Ebben az esetben be kell azonosítani Dr. Drion tartózkodási helyét a tagállamon belül.</w:t>
      </w:r>
    </w:p>
    <w:p w14:paraId="7712705F" w14:textId="6F6BA3A8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7.</w:t>
      </w:r>
      <w:r w:rsidR="009F219A"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ab/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>Milyen eljárást folytat le Hollandia, és mennyi időt vesz igénybe?</w:t>
      </w:r>
    </w:p>
    <w:p w14:paraId="196DE214" w14:textId="040841B5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Az eljárást az Amsterdami Kerületi Bíróság folytatja le, a Kerethatározat és a nemzeti végrehajtási aktus szabályai szerint. Ajánlatos ellenőrizni a 17. cikkben előírt határidőket, melyek alapján a döntés meghozatalára 10 napon belül kell sor kerüljön – a keresett személy beleegyezése esetén. (Megjegyzés: ha az idő engedi, jó gyakorló feladat lehet feltenni a kérdést, hogy hogyan zajlik a beleegyezési eljárás és m</w:t>
      </w:r>
      <w:r w:rsidR="009B60C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elyek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a következményei.) Egyéb esetekben a döntésre </w:t>
      </w:r>
      <w:r w:rsidR="009B60C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rendelkezésre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álló </w:t>
      </w:r>
      <w:r w:rsidR="009B60C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időtartam</w:t>
      </w:r>
      <w:r w:rsidR="009B60CE"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60 nap, mely határidő 90 napra hosszabbítható – a késedelem okainak közlése mellett. Általában elmondható, hogy a tagállamoknak gyakorta okoz nehézséget a határidő betartása. Ld. e körben a holland statisztikai jelentés 9. és 10. oldalát. (</w:t>
      </w:r>
      <w:hyperlink r:id="rId13" w:history="1">
        <w:r w:rsidRPr="009F219A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link</w:t>
        </w:r>
      </w:hyperlink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) A kerethatározat nem tartalmaz szankciót a határidő elmulasztása esetére, ugyanakkor ezeket az eseteket jelenteni kell a Eurojust felé a 17. cikk (7) bekezdése alapján. </w:t>
      </w:r>
    </w:p>
    <w:p w14:paraId="2786CC98" w14:textId="77777777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</w:p>
    <w:p w14:paraId="7963A6F3" w14:textId="663E355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8.</w:t>
      </w:r>
      <w:r w:rsidR="009F219A"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ab/>
        <w:t>Milyen szerepe van a görög hatóságoknak az átadási eljárással kapcsolatban?</w:t>
      </w:r>
    </w:p>
    <w:p w14:paraId="7F08C045" w14:textId="77777777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Rendelkezésre állási kötelezettségük van annak érdekében, hogy bármely felmerülő kérdést tisztázzanak. Egyébként más dolguk nincs. </w:t>
      </w:r>
    </w:p>
    <w:p w14:paraId="0DC50AFC" w14:textId="323EA69F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9.</w:t>
      </w:r>
      <w:r w:rsidR="009F219A"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 xml:space="preserve"> Mikor és hogy történik meg az átadás?</w:t>
      </w:r>
    </w:p>
    <w:p w14:paraId="5B431905" w14:textId="24AD69B8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Az átadásnak a lehető leghamarabb, a hatóságok megegyezése szerinti időpontban kell megtörténnie (23. cikk (1) bekezdés). A 10. cikk (2) bekezdés alapján ez az időpont nem lehet későbbi, mint a</w:t>
      </w:r>
      <w:r w:rsidR="009F219A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z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</w:t>
      </w:r>
      <w:r w:rsidR="000B0DE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átadást 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elrendelő határozat meghozatalát követő 10. nap. Figyelemmel kell ugyanakkor lenni arra, hogy a határidő meghosszabbítható, illetve a 23. cikk (4) bekezdése lehetőséget biztosít az átadás ideiglenes felfüggesztésére is - emberiességi okokból, például betegségre hivatkozással. A kerethatározat nem írja elő, hogy konkrétan milyen módon kerül sor az átadásra, a gyakorlatban ezt is az érintett hatóságok határozzák meg. </w:t>
      </w:r>
      <w:r w:rsidR="000B0DE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Ennek a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leg</w:t>
      </w:r>
      <w:r w:rsidR="000B0DE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elterjedtebb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</w:t>
      </w:r>
      <w:r w:rsidR="000B0DE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gyakorlata</w:t>
      </w:r>
      <w:r w:rsidR="000B0DEC"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két tagállam közötti menetrendszerinti repülőjárat igénybevétele, kísérő rendőr társaságában. Szomszédos országok között sor kerülhet a határon történő átadásra is. </w:t>
      </w:r>
    </w:p>
    <w:p w14:paraId="3823CCDA" w14:textId="04F86B03" w:rsidR="00936BBA" w:rsidRPr="00A3477C" w:rsidRDefault="00936BBA" w:rsidP="00936BBA">
      <w:pPr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10.</w:t>
      </w:r>
      <w:r w:rsidR="009F219A" w:rsidRPr="009F219A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ab/>
        <w:t>Tegyük fel, hogy sikeres az átadás. Milyen feltételekkel vádolhatja meg a görög ügyészség Driont további bűncselekmény, bolti lopás elkövetésével?</w:t>
      </w:r>
    </w:p>
    <w:p w14:paraId="5076A096" w14:textId="77777777" w:rsidR="00936BBA" w:rsidRPr="00A3477C" w:rsidRDefault="00936BBA" w:rsidP="00936BBA">
      <w:pPr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</w:p>
    <w:p w14:paraId="71FB68B7" w14:textId="492DF694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A kérdés a special</w:t>
      </w:r>
      <w:r w:rsidR="00A165D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i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tás szabályának elemzését teszi szükségessé. Ez a szabály védi a keresett személyt az olyan cselekmény miatti eljárástól, amely tekintetében nem kérelmezték az átadást, </w:t>
      </w:r>
      <w:r w:rsidRPr="009F219A">
        <w:rPr>
          <w:rStyle w:val="Kiemels2"/>
          <w:rFonts w:ascii="Times New Roman" w:hAnsi="Times New Roman" w:cs="Times New Roman"/>
          <w:sz w:val="28"/>
          <w:szCs w:val="28"/>
          <w:lang w:val="hu-HU"/>
        </w:rPr>
        <w:t>vagy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kérelmezték ugyan, de az elutasításra került.</w:t>
      </w:r>
    </w:p>
    <w:p w14:paraId="54ED2698" w14:textId="77777777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</w:p>
    <w:p w14:paraId="28EE87A3" w14:textId="77777777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Az átadást követően további cselekmények tekintetében újabb beleegyezés szükséges, ennek eljárási szabályait a 27. cikk (4) bekezdése tartalmazza. Az adott esetben a következők szerint alakul az értékelés:</w:t>
      </w:r>
    </w:p>
    <w:p w14:paraId="61D639B3" w14:textId="10873372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bolti lopás nem minősül “listázott” bűncselekménynek, így a 2. cikk (4) bekezdése alkalmazandó, és ellenőrizni kell a kettős büntethetőséget. A kibocsátó hatóságnak rendelkezésre kell bocsátania az alkalmazandó jogszabályokat, ellenőriznie kell, hogy teljesül-e a minimum 12 hónapos szabadságvesztés, mint a kiszabható szabadságvesztés felső határa, és megfelelő leírással kell szolgálnia a körülményekről is. A végrehajtó hatóság megerősíti, hogy a cselekmény a holland jog alapján is büntetendő-e. A bolti lopás feltehetően meg fog felelni a követelményeknek, és így a kiegészítő hozzájárulást meg fogják adni. </w:t>
      </w:r>
    </w:p>
    <w:p w14:paraId="72707EC9" w14:textId="77777777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</w:p>
    <w:p w14:paraId="60BCE166" w14:textId="77777777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kibocsátó állam bíróságának vagy ügyészségének – az EEP kibocsátása előtt – vizsgálnia kell, hogy van-e egyéb bűncselekmény, amely miatt szükséges lehet a keresett személy átadása. Ha van, akkor e cselekmény tekintetében is el kell végezni az értékelést, hogy eldönthető legyen, szükséges-e ezt is feltüntetni az EEP-n. Ez azzal az előnnyel jár, hogy minden cselekménnyel egy eljárásban lehet foglalkozni, és megelőzhető vele, hogy további kérelmeket kelljen kiadni. </w:t>
      </w:r>
    </w:p>
    <w:p w14:paraId="491FF3F9" w14:textId="77777777" w:rsidR="00936BBA" w:rsidRPr="00A3477C" w:rsidRDefault="00936BBA" w:rsidP="00936BBA">
      <w:pPr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</w:p>
    <w:p w14:paraId="69DF8334" w14:textId="62FB93DD" w:rsidR="00936BBA" w:rsidRPr="00A3477C" w:rsidRDefault="00936BBA" w:rsidP="00936BBA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kibocsátó állam azon bíróságának, ahol a büntetőeljárás az átadást követően lefolytatásra kerül, tisztában kell lennie a 27. cikk (2) bekezdés szerinti specialitás szabályával, ugyanis további vádemelésre nem kerülhet sor. Megjegyzés: a 27. cikk (1) bekezdés lehetőséget ad e korlátozás elvetésére, de csak azoknak a tagállamoknak, akik tettek ilyen nyilatkozatot. A résztvevők végezhetnek egy olyan gyakorlatot, amiben megvizsgálják, hogy a kérdéses tagállamok tettek-e ilyen nyilatkozatot (saját államaikkal kapcsolatban ezt tudniuk kell a résztvevőknek). A válasz az, hogy sem Görögország, sem Hollandia nem tett ilyet, és elég kevés tagállam tett. Megjegyzés: abban az esetben, amikor a Kerethatározat valamilyen nyilatkozatra utal, észben kell tartani, hogy a bejelentések felülvizsgálatra kerülhetnek. Más szóval: szükséges mindig újra ellenőrizni az EJN oldalát, ld pl. </w:t>
      </w:r>
      <w:r w:rsidR="00977ADF" w:rsidRPr="00977ADF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Románia 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nemrégiben felülvizsgált </w:t>
      </w:r>
      <w:hyperlink r:id="rId14" w:history="1">
        <w:r w:rsidRPr="00A3477C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 xml:space="preserve">2020 március 13-ai nyilatkozata </w:t>
        </w:r>
      </w:hyperlink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.</w:t>
      </w:r>
    </w:p>
    <w:p w14:paraId="3EB9435F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 xml:space="preserve"> A. II. Feladatok:</w:t>
      </w:r>
    </w:p>
    <w:p w14:paraId="645A796A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Találja meg a hatáskörrel és illetékességgel bíró végrehajtó hatóságot, és a Tanúsítvány nyelvét:</w:t>
      </w:r>
    </w:p>
    <w:p w14:paraId="78016078" w14:textId="732937EB" w:rsidR="006F61BB" w:rsidRPr="00A3477C" w:rsidRDefault="00936BBA" w:rsidP="009F219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Az eljáró hatóság megtalálásához az EJN honlapján </w:t>
      </w:r>
      <w:r w:rsidRPr="00A3477C">
        <w:rPr>
          <w:rFonts w:ascii="Times New Roman" w:hAnsi="Times New Roman"/>
          <w:sz w:val="28"/>
          <w:szCs w:val="28"/>
          <w:lang w:val="hu-HU"/>
        </w:rPr>
        <w:t>(</w:t>
      </w:r>
      <w:hyperlink r:id="rId15" w:history="1">
        <w:r w:rsidRPr="00A3477C">
          <w:rPr>
            <w:rStyle w:val="Hiperhivatkozs"/>
            <w:rFonts w:ascii="Times New Roman" w:hAnsi="Times New Roman"/>
            <w:sz w:val="28"/>
            <w:szCs w:val="28"/>
            <w:lang w:val="hu-HU"/>
          </w:rPr>
          <w:t>www.ejn-crimjust.europa.eu</w:t>
        </w:r>
      </w:hyperlink>
      <w:r w:rsidRPr="00A3477C">
        <w:rPr>
          <w:rFonts w:ascii="Times New Roman" w:hAnsi="Times New Roman"/>
          <w:color w:val="0563C1"/>
          <w:sz w:val="28"/>
          <w:szCs w:val="28"/>
          <w:u w:val="single"/>
          <w:lang w:val="hu-HU"/>
        </w:rPr>
        <w:t xml:space="preserve">) 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található </w:t>
      </w:r>
      <w:hyperlink r:id="rId16" w:history="1">
        <w:r w:rsidRPr="00A3477C">
          <w:rPr>
            <w:rStyle w:val="Hiperhivatkozs"/>
            <w:rFonts w:ascii="Times New Roman" w:hAnsi="Times New Roman" w:cs="Times New Roman"/>
            <w:b/>
            <w:bCs/>
            <w:i/>
            <w:iCs/>
            <w:sz w:val="28"/>
            <w:szCs w:val="28"/>
            <w:lang w:val="hu-HU"/>
          </w:rPr>
          <w:t>Atlas</w:t>
        </w:r>
      </w:hyperlink>
      <w:r w:rsidRPr="00A3477C">
        <w:rPr>
          <w:rStyle w:val="Hiperhivatkozs"/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z-t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 használhatják. Válassza ki a végrehajtó tagállamot, majd a következőt: </w:t>
      </w:r>
      <w:r w:rsidRPr="00A3477C">
        <w:rPr>
          <w:rFonts w:ascii="Times New Roman" w:hAnsi="Times New Roman" w:cs="Times New Roman"/>
          <w:i/>
          <w:iCs/>
          <w:sz w:val="28"/>
          <w:szCs w:val="28"/>
          <w:lang w:val="hu-HU"/>
        </w:rPr>
        <w:t>901. European Arrest Warrant.</w:t>
      </w:r>
    </w:p>
    <w:p w14:paraId="0F53241E" w14:textId="039D3C30" w:rsidR="00936BBA" w:rsidRPr="00A3477C" w:rsidRDefault="00936BBA" w:rsidP="00936BBA">
      <w:pPr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</w:p>
    <w:p w14:paraId="157D6D1F" w14:textId="6907F6B4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Az alkalmazandó nyelvvel kapcsolatban a “Notification” – Notification from the Member States fület használjuk, </w:t>
      </w:r>
      <w:hyperlink r:id="rId17" w:history="1">
        <w:r w:rsidRPr="00A3477C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elérhető</w:t>
        </w:r>
      </w:hyperlink>
      <w:r w:rsidRPr="00A3477C">
        <w:rPr>
          <w:rStyle w:val="Hiperhivatkozs"/>
          <w:rFonts w:ascii="Times New Roman" w:hAnsi="Times New Roman" w:cs="Times New Roman"/>
          <w:sz w:val="28"/>
          <w:szCs w:val="28"/>
          <w:lang w:val="hu-HU"/>
        </w:rPr>
        <w:t xml:space="preserve"> itt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07CFFFE7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>Ha a tagállam nem tett egyéb tartalmú nyilatkozatot a 8. cikk (2) bekezdése alapján, akkor a tagállam hivatalos nyelve(i) alkalmazandó(k).</w:t>
      </w:r>
    </w:p>
    <w:p w14:paraId="5198F8E3" w14:textId="77777777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>A válaszok így a következők lesznek:</w:t>
      </w:r>
    </w:p>
    <w:p w14:paraId="7491109A" w14:textId="6FE9A60B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1. Egy portugál ügyész Brag</w:t>
      </w:r>
      <w:r w:rsidR="00977ADF">
        <w:rPr>
          <w:rFonts w:ascii="Times New Roman" w:hAnsi="Times New Roman" w:cs="Times New Roman"/>
          <w:i/>
          <w:sz w:val="28"/>
          <w:szCs w:val="28"/>
          <w:lang w:val="hu-HU"/>
        </w:rPr>
        <w:t>á</w:t>
      </w: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ban kezdeményezi a német állampolgár Dieter Miller büntetőeljárás lefolytatása érdekében való átadását, aki jelenleg a finnországi Turkuban tartózkodik.</w:t>
      </w:r>
    </w:p>
    <w:p w14:paraId="7C36D29C" w14:textId="7193D4CD" w:rsidR="00936BBA" w:rsidRPr="00A3477C" w:rsidRDefault="00936BBA" w:rsidP="00936BB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>Az eljáró portugál hatóság Guimaraes-ban található – ld. EJN honlap.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2B1F50" w:rsidRPr="00733C8C" w14:paraId="09407C89" w14:textId="77777777" w:rsidTr="006E732B">
        <w:trPr>
          <w:trHeight w:val="276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07E5" w14:textId="62CEEA28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Név:</w:t>
            </w:r>
            <w:r w:rsidRPr="00A3477C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val="hu-HU" w:eastAsia="nl-NL"/>
              </w:rPr>
              <w:t xml:space="preserve"> </w:t>
            </w:r>
            <w:r w:rsidR="001E3745">
              <w:rPr>
                <w:rFonts w:eastAsia="Times New Roman"/>
                <w:color w:val="808080" w:themeColor="background1" w:themeShade="80"/>
                <w:lang w:eastAsia="nl-NL"/>
              </w:rPr>
              <w:t xml:space="preserve"> 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Tribunal da Relação de Guimarães</w:t>
            </w:r>
          </w:p>
          <w:p w14:paraId="3AE8A087" w14:textId="7CDEAE42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Cím: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Largo João Franco 248</w:t>
            </w:r>
          </w:p>
          <w:p w14:paraId="096327B3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Részleg:</w:t>
            </w:r>
          </w:p>
          <w:p w14:paraId="3BF6AA89" w14:textId="78150CB2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Város:</w:t>
            </w:r>
            <w:r w:rsidRPr="00A3477C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Guimarães.</w:t>
            </w:r>
          </w:p>
          <w:p w14:paraId="00F91F91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Irányítószám:</w:t>
            </w: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4810-269</w:t>
            </w:r>
          </w:p>
          <w:p w14:paraId="703CB053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Telefonszám:</w:t>
            </w:r>
          </w:p>
          <w:p w14:paraId="63455843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Mobil szám:</w:t>
            </w:r>
          </w:p>
          <w:p w14:paraId="7657EE4F" w14:textId="77777777" w:rsidR="002B1F50" w:rsidRPr="00A3477C" w:rsidRDefault="002B1F50" w:rsidP="006E732B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Fax szám:</w:t>
            </w:r>
          </w:p>
          <w:p w14:paraId="265E4316" w14:textId="77777777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Email cím:</w:t>
            </w:r>
          </w:p>
        </w:tc>
      </w:tr>
    </w:tbl>
    <w:p w14:paraId="09F64992" w14:textId="77777777" w:rsidR="002B1F50" w:rsidRPr="00A3477C" w:rsidRDefault="002B1F50" w:rsidP="00290C1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</w:pPr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>Egy központi hatóság jár el az egész ország tekintetében. Nyilatkozata szerint Finnország finn, svéd és angol nyelven fogad be EEP-t. Megjegyzés: 2020. májusban észleltük, hogy az EJN oldalára feltöltött, megnevezése szerint a nyilatkozat angol fordítását tartalmazó dokumentum finn nyelven van.</w:t>
      </w:r>
    </w:p>
    <w:p w14:paraId="4871298D" w14:textId="77777777" w:rsidR="002B1F50" w:rsidRPr="00A3477C" w:rsidRDefault="002B1F50" w:rsidP="00290C1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</w:pPr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>(Megjegyzés az oktatók számára: hasznos lenne a keresést kivetítőn véghezvinni a csoportok közös megbeszélése során. Az EJN weboldalán kell lefolytatni a keresést. Többféleképpen lehet megtalálni a választ. Az a fontos, hogy a résztvevők kiismerjék magukat a weboldalon.)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2B1F50" w:rsidRPr="00733C8C" w14:paraId="76741B75" w14:textId="77777777" w:rsidTr="001E3745">
        <w:trPr>
          <w:trHeight w:val="2871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D2F3" w14:textId="540C6815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Név: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 xml:space="preserve">Dél-finnországi Kerületi Ügyészség (Etelä-Suomen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ab/>
              <w:t>syyttäjäalue)</w:t>
            </w:r>
          </w:p>
          <w:p w14:paraId="02D08E1F" w14:textId="042BCBB1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Cím: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Porkkalankatu 13</w:t>
            </w:r>
          </w:p>
          <w:p w14:paraId="15E8E693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Részleg:</w:t>
            </w:r>
          </w:p>
          <w:p w14:paraId="22E2486F" w14:textId="1F31EDD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Város:</w:t>
            </w: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Helsinki</w:t>
            </w:r>
          </w:p>
          <w:p w14:paraId="5E018930" w14:textId="597E0ED8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Irányítószám:</w:t>
            </w: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00180</w:t>
            </w:r>
          </w:p>
          <w:p w14:paraId="7BF8DF7C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Telefonszám: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+358 29 562 2100</w:t>
            </w:r>
          </w:p>
          <w:p w14:paraId="15A28B37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Mobilszám:</w:t>
            </w:r>
          </w:p>
          <w:p w14:paraId="17C37781" w14:textId="66033229" w:rsidR="002B1F50" w:rsidRPr="00A3477C" w:rsidRDefault="002B1F50" w:rsidP="006E7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Fax szám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+358 29 562 2203</w:t>
            </w:r>
          </w:p>
          <w:p w14:paraId="40CC3E05" w14:textId="0F913588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Email cím: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etela-suomi.syyttaja@oikeus.fi</w:t>
            </w:r>
          </w:p>
        </w:tc>
      </w:tr>
    </w:tbl>
    <w:p w14:paraId="5F4E48F2" w14:textId="77777777" w:rsidR="002B1F50" w:rsidRPr="00A3477C" w:rsidRDefault="002B1F50" w:rsidP="00290C1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</w:pPr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 xml:space="preserve">(Ha az idő engedi, feltehető a kérdés, hogy szükséges-e biztosítani az EEP német nyelvű fordítását – tekintettel a keresett személy állampolgárságára. Ez az Európai Parlament és a Tanács a büntetőeljárás során igénybe vehető tolmácsoláshoz és fordításhoz való jogról szóló 2010/64/EU irányelvének alkalmazását teszi szükségessé. A gyakorlatban ez akkor merülhet fel, amikor a keresett személy bevonásra kerül az eljárásba, a válasz pedig attól függ, hogy érti-e az EEP nyelvét.) </w:t>
      </w:r>
    </w:p>
    <w:p w14:paraId="5951460D" w14:textId="77777777" w:rsidR="002B1F50" w:rsidRPr="00A3477C" w:rsidRDefault="002B1F50" w:rsidP="00290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808080"/>
          <w:sz w:val="17"/>
          <w:lang w:val="hu-HU" w:eastAsia="nl-NL"/>
        </w:rPr>
      </w:pPr>
    </w:p>
    <w:p w14:paraId="1DF94E45" w14:textId="77777777" w:rsidR="002B1F50" w:rsidRPr="00A3477C" w:rsidRDefault="002B1F50" w:rsidP="00290C19">
      <w:pP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2. Az ír ügyészségi szerv kézhez veszi a francia állampolgárságú Leon Laselle-lel szemben, távollétében hozott ítélet végrehajtásával kapcsolatos EEP-t, amelyet a franciaországi Tribunal de Grande Instance de Bordeaux hozott.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2B1F50" w:rsidRPr="00733C8C" w14:paraId="7389F80F" w14:textId="77777777" w:rsidTr="006E732B">
        <w:trPr>
          <w:trHeight w:val="240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75FA" w14:textId="55AB1604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Név: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</w:t>
            </w:r>
            <w:r w:rsidRPr="00A3477C"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  <w:t>Cour d'Appel de Bordeaux</w:t>
            </w:r>
          </w:p>
          <w:p w14:paraId="2A86A12F" w14:textId="7D9BDC0A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Cím: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</w:t>
            </w:r>
            <w:r w:rsidRPr="00A3477C"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  <w:t>Place de la République</w:t>
            </w:r>
          </w:p>
          <w:p w14:paraId="09E245BF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Részleg:</w:t>
            </w:r>
          </w:p>
          <w:p w14:paraId="489A5EB1" w14:textId="5F556B89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Város:</w:t>
            </w: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  <w:t>BORDEAUX CEDEX</w:t>
            </w:r>
          </w:p>
          <w:p w14:paraId="652F8FE1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Irányítószám:</w:t>
            </w:r>
            <w:r w:rsidRPr="00A3477C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  <w:t>33077</w:t>
            </w:r>
          </w:p>
          <w:p w14:paraId="6CAF93EF" w14:textId="578EC18E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 xml:space="preserve">Telefonszám: </w:t>
            </w:r>
            <w:r w:rsidR="001E3745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 xml:space="preserve">      </w:t>
            </w:r>
            <w:r w:rsidRPr="00A3477C"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  <w:t>(+33) 556013400</w:t>
            </w:r>
          </w:p>
          <w:p w14:paraId="26CB38ED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Mobilszám:</w:t>
            </w:r>
          </w:p>
          <w:p w14:paraId="5D53B4BD" w14:textId="1F236341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Fax szám: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  <w:t>(+33) 556442830</w:t>
            </w:r>
          </w:p>
          <w:p w14:paraId="6F498BED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Email cím:</w:t>
            </w:r>
          </w:p>
        </w:tc>
      </w:tr>
      <w:tr w:rsidR="002B1F50" w:rsidRPr="00733C8C" w14:paraId="063B47C7" w14:textId="77777777" w:rsidTr="006E732B">
        <w:trPr>
          <w:trHeight w:val="240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461F" w14:textId="77A32821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Név: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Central Authority for EAW</w:t>
            </w:r>
          </w:p>
          <w:p w14:paraId="4BD4D1AD" w14:textId="01C77E36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Cím: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Department of Justice and Law Reform 51 St Stephens</w:t>
            </w:r>
            <w:r w:rsidR="001E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 xml:space="preserve">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Green</w:t>
            </w:r>
          </w:p>
          <w:p w14:paraId="3E7CBF73" w14:textId="031063BC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Részleg:</w:t>
            </w:r>
            <w:r w:rsidRPr="00A3477C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Dublin 2</w:t>
            </w:r>
          </w:p>
          <w:p w14:paraId="52C9844E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Város:</w:t>
            </w:r>
          </w:p>
          <w:p w14:paraId="17E582E6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Irányítószám:</w:t>
            </w:r>
          </w:p>
          <w:p w14:paraId="5ADB6DDF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Telefonszám: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ab/>
              <w:t>00 353 1 408 6100</w:t>
            </w:r>
          </w:p>
          <w:p w14:paraId="2F12E652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Mobilszám:</w:t>
            </w:r>
          </w:p>
          <w:p w14:paraId="031A9742" w14:textId="0747EB09" w:rsidR="002B1F50" w:rsidRPr="00A3477C" w:rsidRDefault="002B1F50" w:rsidP="006E73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Fax szám: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00 353 1 408 6117</w:t>
            </w:r>
          </w:p>
          <w:p w14:paraId="2E296CAF" w14:textId="11ADC67B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Email cím: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warrantsmail@justice.ie</w:t>
            </w:r>
          </w:p>
        </w:tc>
      </w:tr>
    </w:tbl>
    <w:p w14:paraId="2B3D4B60" w14:textId="77777777" w:rsidR="002B1F50" w:rsidRPr="00A3477C" w:rsidRDefault="002B1F50" w:rsidP="00290C1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</w:pPr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>Egy központi hatóság jár el az egész országban. Nyilatkozata szerint Írország ír és angol nyelven fogadja be az EEP-t.</w:t>
      </w:r>
    </w:p>
    <w:p w14:paraId="6981708C" w14:textId="77777777" w:rsidR="002B1F50" w:rsidRPr="00A3477C" w:rsidRDefault="002B1F50" w:rsidP="00290C19">
      <w:pP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>3. A hatáskörrel és illetékességgel bíró spanyol hatóság Málaga-ban az orosz állampolgárságú Michail Lebedenski átadását kéri, akinek a tartózkodási helye Nicosia, Ciprus.</w:t>
      </w:r>
    </w:p>
    <w:p w14:paraId="25C7A06C" w14:textId="77777777" w:rsidR="002B1F50" w:rsidRPr="00A3477C" w:rsidRDefault="002B1F50" w:rsidP="00290C19">
      <w:pPr>
        <w:spacing w:after="160"/>
        <w:jc w:val="both"/>
        <w:rPr>
          <w:rFonts w:ascii="Times New Roman" w:hAnsi="Times New Roman" w:cs="Times New Roman"/>
          <w:bCs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Cs/>
          <w:sz w:val="28"/>
          <w:szCs w:val="28"/>
          <w:lang w:val="hu-HU"/>
        </w:rPr>
        <w:t>Az egész országra kiterjedő illetékességgel eljáró spanyol hatóság: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2B1F50" w:rsidRPr="00733C8C" w14:paraId="700FE227" w14:textId="77777777" w:rsidTr="006E732B">
        <w:trPr>
          <w:trHeight w:val="240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28D8" w14:textId="163081C1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Név: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 xml:space="preserve">Servicio Común de Registro, (Para el reparto entre los 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Juzgados Centrales de Instrucción)</w:t>
            </w:r>
          </w:p>
          <w:p w14:paraId="2EC5EFF7" w14:textId="4CD0C18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Cím:</w:t>
            </w:r>
            <w:r w:rsidRPr="00A3477C"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Goya 14</w:t>
            </w:r>
          </w:p>
          <w:p w14:paraId="7A939631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Részleg:</w:t>
            </w:r>
          </w:p>
          <w:p w14:paraId="0AF5D03D" w14:textId="52A4230A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Város:</w:t>
            </w:r>
            <w:r w:rsidRPr="00A3477C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Madrid</w:t>
            </w:r>
          </w:p>
          <w:p w14:paraId="13426025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Irányítószám:</w:t>
            </w: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28071</w:t>
            </w:r>
          </w:p>
          <w:p w14:paraId="746F36D1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Teefonszám: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(+34) 91.400.62.13/26/25</w:t>
            </w:r>
          </w:p>
          <w:p w14:paraId="6996E5C9" w14:textId="77777777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Mobilszám:</w:t>
            </w:r>
          </w:p>
          <w:p w14:paraId="5CFA4595" w14:textId="635C229B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Fax szám: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(+34) 91.400.72.34/35</w:t>
            </w:r>
          </w:p>
          <w:p w14:paraId="084C3EBF" w14:textId="462C3813" w:rsidR="002B1F50" w:rsidRPr="00A3477C" w:rsidRDefault="002B1F50" w:rsidP="006E73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Email cím: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 w:eastAsia="nl-NL"/>
              </w:rPr>
              <w:t>audiencianacional.scrrda@justicia.es</w:t>
            </w:r>
          </w:p>
        </w:tc>
      </w:tr>
    </w:tbl>
    <w:p w14:paraId="2C63D7EC" w14:textId="77777777" w:rsidR="002B1F50" w:rsidRPr="00A3477C" w:rsidRDefault="002B1F50" w:rsidP="00290C19">
      <w:pPr>
        <w:spacing w:after="16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14:paraId="0D5F45FD" w14:textId="77777777" w:rsidR="002B1F50" w:rsidRPr="00A3477C" w:rsidRDefault="002B1F50" w:rsidP="00290C19">
      <w:pPr>
        <w:spacing w:after="160"/>
        <w:jc w:val="both"/>
        <w:rPr>
          <w:rFonts w:ascii="Times New Roman" w:hAnsi="Times New Roman" w:cs="Times New Roman"/>
          <w:bCs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Cs/>
          <w:sz w:val="28"/>
          <w:szCs w:val="28"/>
          <w:lang w:val="hu-HU"/>
        </w:rPr>
        <w:t>A Cipruson hatáskörrel és illetékességgel rendelkező hatóság: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2B1F50" w:rsidRPr="00733C8C" w14:paraId="43F7D7B5" w14:textId="77777777" w:rsidTr="006E732B">
        <w:trPr>
          <w:trHeight w:val="3203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B8CE" w14:textId="6B276DEE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Név:</w:t>
            </w:r>
            <w:r w:rsidRPr="00A3477C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Ministry of Justice and Public Order</w:t>
            </w:r>
          </w:p>
          <w:p w14:paraId="521A6BA9" w14:textId="3E20CAD5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Cím:</w:t>
            </w: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125 Athalassas Avenue</w:t>
            </w:r>
          </w:p>
          <w:p w14:paraId="5AA10E68" w14:textId="77777777" w:rsidR="002B1F50" w:rsidRPr="00A3477C" w:rsidRDefault="002B1F50" w:rsidP="006E732B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Részleg:</w:t>
            </w:r>
          </w:p>
          <w:p w14:paraId="6FB287B7" w14:textId="77777777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Város:</w:t>
            </w:r>
            <w:r w:rsidRPr="00A3477C"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Nicosia</w:t>
            </w:r>
          </w:p>
          <w:p w14:paraId="2F0D72D0" w14:textId="77777777" w:rsidR="002B1F50" w:rsidRPr="00A3477C" w:rsidRDefault="002B1F50" w:rsidP="006E732B">
            <w:pPr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Irányítószám:</w:t>
            </w: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1461</w:t>
            </w:r>
          </w:p>
          <w:p w14:paraId="31FA6ECE" w14:textId="77777777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Telefonszám: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+357 22805928; +357 22805950/951</w:t>
            </w:r>
          </w:p>
          <w:p w14:paraId="6F79951F" w14:textId="77777777" w:rsidR="002B1F50" w:rsidRPr="00A3477C" w:rsidRDefault="002B1F50" w:rsidP="006E732B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Mobilszám:</w:t>
            </w:r>
          </w:p>
          <w:p w14:paraId="265AC09F" w14:textId="336EACA2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Fax szám: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+357 22518328; +357 22518356; </w:t>
            </w:r>
          </w:p>
          <w:p w14:paraId="029C5F12" w14:textId="35689A98" w:rsidR="002B1F50" w:rsidRPr="00A3477C" w:rsidRDefault="002B1F50" w:rsidP="006E7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A3477C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8"/>
                <w:szCs w:val="28"/>
                <w:lang w:val="hu-HU" w:eastAsia="nl-NL"/>
              </w:rPr>
              <w:t>Email cím:</w:t>
            </w:r>
            <w:r w:rsidRPr="00A3477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ab/>
            </w:r>
            <w:r w:rsidR="001E374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hu-HU" w:eastAsia="nl-NL"/>
              </w:rPr>
              <w:t xml:space="preserve">           </w:t>
            </w:r>
            <w:r w:rsidRPr="00A3477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akyriakides@papd.gov.cy</w:t>
            </w:r>
          </w:p>
        </w:tc>
      </w:tr>
    </w:tbl>
    <w:p w14:paraId="161B0E01" w14:textId="77777777" w:rsidR="002B1F50" w:rsidRPr="00A3477C" w:rsidRDefault="002B1F50" w:rsidP="00290C1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</w:pPr>
    </w:p>
    <w:p w14:paraId="26F4FF47" w14:textId="77777777" w:rsidR="002B1F50" w:rsidRPr="00A3477C" w:rsidRDefault="002B1F50" w:rsidP="00290C1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</w:pPr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 xml:space="preserve">Egy központi hatóság jár el az egész országban. Az </w:t>
      </w:r>
      <w:hyperlink r:id="rId18" w:history="1">
        <w:r w:rsidRPr="00A3477C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 w:eastAsia="nl-NL"/>
          </w:rPr>
          <w:t>EJN-honlapon</w:t>
        </w:r>
      </w:hyperlink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 xml:space="preserve"> található nyilatkozat szerint:</w:t>
      </w:r>
    </w:p>
    <w:p w14:paraId="1FF20223" w14:textId="77777777" w:rsidR="002B1F50" w:rsidRPr="00A3477C" w:rsidRDefault="002B1F50" w:rsidP="00290C1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</w:pPr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>Ciprus az EEP-okat a saját hivatalos nyelvein, és angolul fogadja be. Megjegyzés: ez a nyilatkozat szükségessé teszi, hogy a kibocsátó hatóság – ha nem angolul állítja ki az EEP-t – tisztában legyen Ciprus hivatalos nyelveivel.</w:t>
      </w:r>
    </w:p>
    <w:p w14:paraId="2248CD29" w14:textId="078E79CA" w:rsidR="002B1F50" w:rsidRPr="00A3477C" w:rsidRDefault="002B1F50" w:rsidP="00290C1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</w:pPr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>(Ha az idő engedi, feltehető a kérdés, hogyan történik az EEP lefordítása. Az alapvető kérdés az, hogy a fordítónak az egész dokumentumot kell-e megküldeni, melyet ő teljes egészében lefordít, vagy tájékoztatjuk arról, hogy az EEP formanyomtatvány az EU összes hivatalos nyelvén elérhető. Ha nem látjuk el a szükséges információkkal, fennáll a veszélye, hogy a fordítónk mindent le fog fordítani, ami azt eredményezheti, hogy a f</w:t>
      </w:r>
      <w:r w:rsidR="001E3745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>or</w:t>
      </w:r>
      <w:r w:rsidRPr="00A3477C">
        <w:rPr>
          <w:rFonts w:ascii="Times New Roman" w:eastAsia="Times New Roman" w:hAnsi="Times New Roman" w:cs="Times New Roman"/>
          <w:sz w:val="28"/>
          <w:szCs w:val="28"/>
          <w:lang w:val="hu-HU" w:eastAsia="nl-NL"/>
        </w:rPr>
        <w:t xml:space="preserve">manyomtatvány kifejezései más jelentést kapnak, mint ami az eredeti volt. Ez félreértésekhez vezethet, melyek tisztázása késedelmet okozhat. A fordítóknak a formanyomtatványt magát nem szükséges lefordítaniuk, csak a kitöltött részeket. </w:t>
      </w:r>
      <w:hyperlink r:id="rId19" w:history="1">
        <w:r w:rsidRPr="00A3477C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 w:eastAsia="nl-NL"/>
          </w:rPr>
          <w:t>A hivatalos dokumentumok itt tölthetők le.</w:t>
        </w:r>
      </w:hyperlink>
      <w:r w:rsidRPr="00A3477C">
        <w:rPr>
          <w:rFonts w:ascii="Times New Roman" w:hAnsi="Times New Roman" w:cs="Times New Roman"/>
          <w:lang w:val="hu-HU"/>
        </w:rPr>
        <w:t xml:space="preserve"> 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Ez a megjegyzés releváns azok számára is, akik a jogeseteket és az instrukciókat fordítják.)</w:t>
      </w:r>
    </w:p>
    <w:p w14:paraId="5DF36C91" w14:textId="77777777" w:rsidR="002B1F50" w:rsidRPr="00A3477C" w:rsidRDefault="002B1F50" w:rsidP="002B1F5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hu-HU"/>
        </w:rPr>
        <w:t>III. 2. sz. jogeset, 1. sz. jogeset folytatása:</w:t>
      </w:r>
    </w:p>
    <w:p w14:paraId="5E98EC3D" w14:textId="72169FCD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Ez a kérdés egy újkeletű, az Európai Bíróság gyakorlatában az EEP végrehajtásával kapcsolatban felmerült problémára hívja fel a figyelmet (ld. 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2016. április 5-i döntés a </w:t>
      </w:r>
      <w:hyperlink r:id="rId20" w:history="1">
        <w:r w:rsidRPr="00A3477C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C‑404/15 and C‑659/15 PPU</w:t>
        </w:r>
      </w:hyperlink>
      <w:r w:rsidRPr="00A3477C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Pr="00A3477C">
        <w:rPr>
          <w:rFonts w:ascii="Times New Roman" w:hAnsi="Times New Roman" w:cs="Times New Roman"/>
          <w:i/>
          <w:sz w:val="28"/>
          <w:szCs w:val="28"/>
          <w:lang w:val="hu-HU"/>
        </w:rPr>
        <w:t xml:space="preserve">Pál Aranyosi (C‑404/15) és Robert Căldăraru (C‑659/15 PPU) </w:t>
      </w:r>
      <w:r w:rsidRPr="00A3477C">
        <w:rPr>
          <w:rFonts w:ascii="Times New Roman" w:hAnsi="Times New Roman" w:cs="Times New Roman"/>
          <w:sz w:val="28"/>
          <w:szCs w:val="28"/>
          <w:lang w:val="hu-HU"/>
        </w:rPr>
        <w:t>egyesített ügyekben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). </w:t>
      </w: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br/>
        <w:t xml:space="preserve">Megmutatkozik, hogy a kölcsönös elismerés elve nem teljeskörű, és hogy az EEP végrehajtására irányuló kötelezettség bizonyos korlátok között érvényesül. A Bíróság előírásai mind a végrehajtó, mind a kibocsátó hatóságra kötelezettséget rónak. Az előbbi köteles információt kérni a keresett személyre váró börtönviszonyokról, az utóbbi pedig köteles a kérdéseket megválaszolni, és adott esetben biztosítania kell, hogy a keresett személyt konkrétan meghatározott börtönbe szállítják, és ott is tartják majd fogva. </w:t>
      </w:r>
    </w:p>
    <w:p w14:paraId="2BABB9C7" w14:textId="19032AD1" w:rsidR="002B1F50" w:rsidRPr="00A3477C" w:rsidRDefault="002B1F50" w:rsidP="00290C19">
      <w:pPr>
        <w:spacing w:after="160"/>
        <w:jc w:val="both"/>
        <w:rPr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</w:pPr>
      <w:r w:rsidRPr="001E3745">
        <w:rPr>
          <w:rStyle w:val="Kiemels2"/>
          <w:rFonts w:ascii="Times New Roman" w:hAnsi="Times New Roman" w:cs="Times New Roman"/>
          <w:bCs w:val="0"/>
          <w:i/>
          <w:color w:val="2F5496" w:themeColor="accent1" w:themeShade="BF"/>
          <w:sz w:val="28"/>
          <w:szCs w:val="28"/>
          <w:lang w:val="hu-HU"/>
        </w:rPr>
        <w:t>1.</w:t>
      </w:r>
      <w:r w:rsidR="001E3745" w:rsidRPr="001E3745">
        <w:rPr>
          <w:rStyle w:val="Kiemels2"/>
          <w:rFonts w:ascii="Times New Roman" w:hAnsi="Times New Roman" w:cs="Times New Roman"/>
          <w:bCs w:val="0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</w:t>
      </w:r>
      <w:r w:rsidRPr="00A3477C">
        <w:rPr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Köteles-e érdemben foglalkozni a fentiekkel a végrehajtó hatóság?</w:t>
      </w:r>
    </w:p>
    <w:p w14:paraId="7602C40F" w14:textId="77777777" w:rsidR="002B1F50" w:rsidRPr="00A3477C" w:rsidRDefault="002B1F50" w:rsidP="00290C19">
      <w:pPr>
        <w:spacing w:after="1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3477C">
        <w:rPr>
          <w:rFonts w:ascii="Times New Roman" w:hAnsi="Times New Roman" w:cs="Times New Roman"/>
          <w:sz w:val="28"/>
          <w:szCs w:val="28"/>
          <w:lang w:val="hu-HU"/>
        </w:rPr>
        <w:t>Igen. A védelem a kibocsátó államban esetlegesen megvalósuló alapjogi jogsértésre utalt. A Bíróság kimondta, hogy a keresett személynek az ilyen kockázattal szemben minden esetben védelmet kell biztosítani.</w:t>
      </w:r>
    </w:p>
    <w:p w14:paraId="63285933" w14:textId="2C5A3C8B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1E3745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2.</w:t>
      </w:r>
      <w:r w:rsidR="001E3745" w:rsidRPr="001E3745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 xml:space="preserve"> Ha igen, hogyan?</w:t>
      </w:r>
    </w:p>
    <w:p w14:paraId="1DF2ED25" w14:textId="77777777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Bíróság joggyakorlatából következően a kibocsátó tagállamnak meg kell neveznie egy olyan fogadó börtönt (ahol ténylegesen fogva kívánják tartani a keresett személyt) ahol nem merül fel aggály a tartási körülményekkel kapcsolatban. A hangsúly a rövid távon előrelátható következményeken van. A konkrét esetben ez annyit tesz, hogy ha az Amsterdami Kerületi Bíróság megítélése szerint annak a börtönnek a körülményei, ahova Driont szállítanák, nem felelnek meg a Charta 4. cikkében foglaltaknak, a görög hatóságnak egy másik börtönt kell megjelölniük, amely átmegy a teszten. Megjegyzés: A Bíróság kimondta, hogy mindez főszabályként csak felfüggesztéshez vezethet, végleges megtagadáshoz nem. </w:t>
      </w:r>
    </w:p>
    <w:p w14:paraId="0B806256" w14:textId="77777777" w:rsidR="002B1F50" w:rsidRPr="00A3477C" w:rsidRDefault="002B1F50" w:rsidP="00290C19">
      <w:pPr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br w:type="page"/>
      </w:r>
    </w:p>
    <w:p w14:paraId="57493211" w14:textId="03278BC3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B51997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3.</w:t>
      </w:r>
      <w:r w:rsidR="00B51997" w:rsidRPr="00B51997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ab/>
        <w:t>Van-e szerepe e körben a kibocsátó hatóságnak?</w:t>
      </w:r>
    </w:p>
    <w:p w14:paraId="2E129230" w14:textId="77777777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Igen, van. Konkrét információkkal kell szolgálnia a keresett személyre váró börtönviszonyokról, olyan részletekbe menően, mint pl. az egy személyre jutó négyzetméter, a cellán kívül tölthető idő mennyisége, egyéb felszereltségek.  </w:t>
      </w:r>
    </w:p>
    <w:p w14:paraId="197F1761" w14:textId="1CD17A56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Például a </w:t>
      </w:r>
      <w:hyperlink r:id="rId21" w:history="1">
        <w:r w:rsidRPr="00A3477C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Dorobantu-ügyben (C-128/18)</w:t>
        </w:r>
      </w:hyperlink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 a kibocsátó hatóság tájékoztatta a végrehajtó hatóságot, hogy “Mr. Dorobantu egy négy személyes, 12,30 nm-es, 12,67 nm-es, vagy 13,50 nm-es cellában, vagy pedig egy 10 személyes 36,25 nm-es cellában tartózkodna az őrizet alatt. Ha pedig szabadságvesztésre ítélik, eleinte egy olyan büntetésvégrehajtási intézetben lenne, ahol minden fogvatartottra 3 nm-nyi terület esik, később, ha zárt bv intézetbe kerül, ugyanilyen körülmények között, ha pedig nyitott vagy félig nyitott bv-be, akkor olyan cellába, ahol 2 nm esik egy személyre.</w:t>
      </w:r>
      <w:r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>”</w:t>
      </w:r>
    </w:p>
    <w:p w14:paraId="3BB092D8" w14:textId="09CCCCEC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</w:pPr>
      <w:r w:rsidRPr="00B51997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>4.</w:t>
      </w:r>
      <w:r w:rsidR="00B51997" w:rsidRPr="00B51997">
        <w:rPr>
          <w:rStyle w:val="Kiemels2"/>
          <w:rFonts w:ascii="Times New Roman" w:hAnsi="Times New Roman" w:cs="Times New Roman"/>
          <w:i/>
          <w:color w:val="2F5496" w:themeColor="accent1" w:themeShade="BF"/>
          <w:sz w:val="28"/>
          <w:szCs w:val="28"/>
          <w:lang w:val="hu-HU"/>
        </w:rPr>
        <w:t xml:space="preserve"> kérdés:</w:t>
      </w:r>
      <w:r w:rsidRPr="00A3477C">
        <w:rPr>
          <w:rStyle w:val="Kiemels2"/>
          <w:rFonts w:ascii="Times New Roman" w:hAnsi="Times New Roman" w:cs="Times New Roman"/>
          <w:b w:val="0"/>
          <w:bCs w:val="0"/>
          <w:i/>
          <w:color w:val="2F5496" w:themeColor="accent1" w:themeShade="BF"/>
          <w:sz w:val="28"/>
          <w:szCs w:val="28"/>
          <w:lang w:val="hu-HU"/>
        </w:rPr>
        <w:tab/>
        <w:t>Elhalaszthatja, vagy megtagadhatja-e a végrehajtó hatóság az EEP végrehajtását?</w:t>
      </w:r>
    </w:p>
    <w:p w14:paraId="7FFE418E" w14:textId="77777777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Igen. Ahogy korábban említettük, főszabályként a végeredmény az EEP végrehajtása kell, hogy legyen, azonban a Bíróság az utóbbi időben felismerte, hogy néhány kivételes esetben és körülmények között ez mégsem valósulhat meg. </w:t>
      </w:r>
    </w:p>
    <w:p w14:paraId="5825E3AA" w14:textId="77777777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Cs w:val="0"/>
          <w:color w:val="2F5496" w:themeColor="accent1" w:themeShade="BF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Cs w:val="0"/>
          <w:color w:val="2F5496" w:themeColor="accent1" w:themeShade="BF"/>
          <w:sz w:val="28"/>
          <w:szCs w:val="28"/>
          <w:lang w:val="hu-HU"/>
        </w:rPr>
        <w:t>A. IV. A norvég ügy</w:t>
      </w:r>
    </w:p>
    <w:p w14:paraId="409BCCFF" w14:textId="68FD7381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  <w:r w:rsidRPr="00A3477C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  <w:t xml:space="preserve">A 2006-os Megállapodás az Európai Unió, valamint az Izlandi Köztársaság és a Norvég Királyság között az Európai Unió tagállamai, valamint Izland és Norvégia közötti átadási eljárásról 2019. november 1-jén lépett hatályba. Szembetűnőek az EEP-vel való hasonlóságok, de Norvégia és Izland felé, illetve részükről nem EEP-t, hanem Elfogatóparancsot kell kibocsátani. A Megállapodás 3. cikke az átadáshoz az EEP Kerethatározat 2. cikkével azonos feltételeket határoz meg. Vegyék figyelembe, hogy az 1957-es Európa Tanácsi kiadatási egyezmény már nem alkalmazandó Norvégia és Izland vonatkozásában (ld. Megállapodás 34. cikke). Valószínűsíthető, hogy Norvégia ugyancsak engedélyezné az átadást mind a három bűncselekmény tekintetében. </w:t>
      </w:r>
    </w:p>
    <w:p w14:paraId="34141D1E" w14:textId="77777777" w:rsidR="002B1F50" w:rsidRPr="00A3477C" w:rsidRDefault="002B1F50" w:rsidP="00290C19">
      <w:pPr>
        <w:spacing w:after="1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lang w:val="hu-HU"/>
        </w:rPr>
      </w:pPr>
    </w:p>
    <w:p w14:paraId="02ADD082" w14:textId="77777777" w:rsidR="002B1F50" w:rsidRDefault="002B1F50"/>
    <w:p w14:paraId="421AB423" w14:textId="77777777" w:rsidR="00936BBA" w:rsidRPr="00A3477C" w:rsidRDefault="00936BBA" w:rsidP="00936BBA">
      <w:pPr>
        <w:rPr>
          <w:lang w:val="hu-HU"/>
        </w:rPr>
      </w:pPr>
    </w:p>
    <w:sectPr w:rsidR="00936BBA" w:rsidRPr="00A3477C" w:rsidSect="00A3477C">
      <w:footerReference w:type="defaul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4280" w14:textId="77777777" w:rsidR="00A3477C" w:rsidRDefault="00A3477C" w:rsidP="00A3477C">
      <w:pPr>
        <w:spacing w:line="240" w:lineRule="auto"/>
      </w:pPr>
      <w:r>
        <w:separator/>
      </w:r>
    </w:p>
  </w:endnote>
  <w:endnote w:type="continuationSeparator" w:id="0">
    <w:p w14:paraId="00399ED3" w14:textId="77777777" w:rsidR="00A3477C" w:rsidRDefault="00A3477C" w:rsidP="00A34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71890"/>
      <w:docPartObj>
        <w:docPartGallery w:val="Page Numbers (Bottom of Page)"/>
        <w:docPartUnique/>
      </w:docPartObj>
    </w:sdtPr>
    <w:sdtContent>
      <w:p w14:paraId="52E19E65" w14:textId="265BA098" w:rsidR="00A3477C" w:rsidRDefault="00A347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426DA12" w14:textId="77777777" w:rsidR="00A3477C" w:rsidRDefault="00A347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D3F7" w14:textId="77777777" w:rsidR="00A3477C" w:rsidRDefault="00A3477C" w:rsidP="00A3477C">
      <w:pPr>
        <w:spacing w:line="240" w:lineRule="auto"/>
      </w:pPr>
      <w:r>
        <w:separator/>
      </w:r>
    </w:p>
  </w:footnote>
  <w:footnote w:type="continuationSeparator" w:id="0">
    <w:p w14:paraId="16450FBA" w14:textId="77777777" w:rsidR="00A3477C" w:rsidRDefault="00A3477C" w:rsidP="00A347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5443"/>
    <w:multiLevelType w:val="hybridMultilevel"/>
    <w:tmpl w:val="1E785294"/>
    <w:lvl w:ilvl="0" w:tplc="5A5AC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239CE"/>
    <w:multiLevelType w:val="hybridMultilevel"/>
    <w:tmpl w:val="60D89248"/>
    <w:lvl w:ilvl="0" w:tplc="E2DCB9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051D"/>
    <w:multiLevelType w:val="hybridMultilevel"/>
    <w:tmpl w:val="DAA237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4391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A0D59"/>
    <w:multiLevelType w:val="hybridMultilevel"/>
    <w:tmpl w:val="A09E7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7B31"/>
    <w:multiLevelType w:val="hybridMultilevel"/>
    <w:tmpl w:val="CAE06F0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5C11"/>
    <w:multiLevelType w:val="multilevel"/>
    <w:tmpl w:val="727205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6BCF"/>
    <w:multiLevelType w:val="multilevel"/>
    <w:tmpl w:val="FEFCA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BA"/>
    <w:rsid w:val="0000461A"/>
    <w:rsid w:val="000B0DEC"/>
    <w:rsid w:val="00136D88"/>
    <w:rsid w:val="001A0C01"/>
    <w:rsid w:val="001E3745"/>
    <w:rsid w:val="001F1D0E"/>
    <w:rsid w:val="001F7B2A"/>
    <w:rsid w:val="002823D0"/>
    <w:rsid w:val="002B1F50"/>
    <w:rsid w:val="003172BE"/>
    <w:rsid w:val="0032039D"/>
    <w:rsid w:val="0039132E"/>
    <w:rsid w:val="004408B6"/>
    <w:rsid w:val="004514BE"/>
    <w:rsid w:val="005A6B33"/>
    <w:rsid w:val="006F4A3D"/>
    <w:rsid w:val="006F61BB"/>
    <w:rsid w:val="00726E51"/>
    <w:rsid w:val="00835524"/>
    <w:rsid w:val="00846970"/>
    <w:rsid w:val="00936BBA"/>
    <w:rsid w:val="00977ADF"/>
    <w:rsid w:val="009B60CE"/>
    <w:rsid w:val="009E7744"/>
    <w:rsid w:val="009F219A"/>
    <w:rsid w:val="00A165DD"/>
    <w:rsid w:val="00A2315E"/>
    <w:rsid w:val="00A3477C"/>
    <w:rsid w:val="00AC7E9A"/>
    <w:rsid w:val="00AE4AF7"/>
    <w:rsid w:val="00B51997"/>
    <w:rsid w:val="00B66522"/>
    <w:rsid w:val="00BE0DCE"/>
    <w:rsid w:val="00C030E9"/>
    <w:rsid w:val="00CB62C1"/>
    <w:rsid w:val="00D8788A"/>
    <w:rsid w:val="00EE6BF4"/>
    <w:rsid w:val="00FA5D9F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46C0"/>
  <w15:chartTrackingRefBased/>
  <w15:docId w15:val="{C88100C4-F044-43A7-94C1-BEDC602E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6522"/>
    <w:pPr>
      <w:spacing w:after="0" w:line="276" w:lineRule="auto"/>
    </w:pPr>
    <w:rPr>
      <w:sz w:val="24"/>
      <w:szCs w:val="24"/>
      <w:lang w:val="nl-N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BA"/>
    <w:rPr>
      <w:b/>
      <w:bCs/>
    </w:rPr>
  </w:style>
  <w:style w:type="paragraph" w:styleId="Listaszerbekezds">
    <w:name w:val="List Paragraph"/>
    <w:basedOn w:val="Norml"/>
    <w:qFormat/>
    <w:rsid w:val="00936BB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hivatkozs">
    <w:name w:val="Hyperlink"/>
    <w:basedOn w:val="Bekezdsalapbettpusa"/>
    <w:uiPriority w:val="99"/>
    <w:unhideWhenUsed/>
    <w:rsid w:val="00936BBA"/>
    <w:rPr>
      <w:color w:val="0563C1" w:themeColor="hyperlink"/>
      <w:u w:val="single"/>
    </w:rPr>
  </w:style>
  <w:style w:type="paragraph" w:customStyle="1" w:styleId="Test">
    <w:name w:val="Test!"/>
    <w:basedOn w:val="Norml"/>
    <w:rsid w:val="00936BBA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/>
    </w:pPr>
    <w:rPr>
      <w:rFonts w:ascii="Frutiger LT 55 Roman" w:eastAsia="Times New Roman" w:hAnsi="Frutiger LT 55 Roman" w:cs="Times New Roman"/>
      <w:b/>
      <w:color w:val="323E4F"/>
      <w:spacing w:val="5"/>
      <w:kern w:val="3"/>
      <w:lang w:val="en-GB"/>
    </w:rPr>
  </w:style>
  <w:style w:type="paragraph" w:styleId="Vltozat">
    <w:name w:val="Revision"/>
    <w:hidden/>
    <w:uiPriority w:val="99"/>
    <w:semiHidden/>
    <w:rsid w:val="0039132E"/>
    <w:pPr>
      <w:spacing w:after="0" w:line="240" w:lineRule="auto"/>
    </w:pPr>
    <w:rPr>
      <w:sz w:val="24"/>
      <w:szCs w:val="24"/>
      <w:lang w:val="nl-NL"/>
    </w:rPr>
  </w:style>
  <w:style w:type="character" w:styleId="Jegyzethivatkozs">
    <w:name w:val="annotation reference"/>
    <w:basedOn w:val="Bekezdsalapbettpusa"/>
    <w:uiPriority w:val="99"/>
    <w:semiHidden/>
    <w:unhideWhenUsed/>
    <w:rsid w:val="00A165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5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5DD"/>
    <w:rPr>
      <w:sz w:val="20"/>
      <w:szCs w:val="20"/>
      <w:lang w:val="nl-N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5DD"/>
    <w:rPr>
      <w:b/>
      <w:bCs/>
      <w:sz w:val="20"/>
      <w:szCs w:val="20"/>
      <w:lang w:val="nl-NL"/>
    </w:rPr>
  </w:style>
  <w:style w:type="paragraph" w:styleId="lfej">
    <w:name w:val="header"/>
    <w:basedOn w:val="Norml"/>
    <w:link w:val="lfejChar"/>
    <w:uiPriority w:val="99"/>
    <w:unhideWhenUsed/>
    <w:rsid w:val="00A3477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77C"/>
    <w:rPr>
      <w:sz w:val="24"/>
      <w:szCs w:val="24"/>
      <w:lang w:val="nl-NL"/>
    </w:rPr>
  </w:style>
  <w:style w:type="paragraph" w:styleId="llb">
    <w:name w:val="footer"/>
    <w:basedOn w:val="Norml"/>
    <w:link w:val="llbChar"/>
    <w:uiPriority w:val="99"/>
    <w:unhideWhenUsed/>
    <w:rsid w:val="00A3477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77C"/>
    <w:rPr>
      <w:sz w:val="24"/>
      <w:szCs w:val="24"/>
      <w:lang w:val="nl-NL"/>
    </w:rPr>
  </w:style>
  <w:style w:type="character" w:styleId="Feloldatlanmegemlts">
    <w:name w:val="Unresolved Mention"/>
    <w:basedOn w:val="Bekezdsalapbettpusa"/>
    <w:uiPriority w:val="99"/>
    <w:semiHidden/>
    <w:unhideWhenUsed/>
    <w:rsid w:val="001F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ia.europa.eu/juris/liste.jsf?language=en&amp;num=C-452/16%20PPU" TargetMode="External"/><Relationship Id="rId13" Type="http://schemas.openxmlformats.org/officeDocument/2006/relationships/hyperlink" Target="https://www.inabsentieaw.eu/wp-content/uploads/2020/02/InAbsentiEAW-Research-Report-1.pdf" TargetMode="External"/><Relationship Id="rId18" Type="http://schemas.openxmlformats.org/officeDocument/2006/relationships/hyperlink" Target="https://www.ejn-crimjust.europa.eu/ejn/AtlasAuthorityData/EN/258/9/901/54/118/2/0/1699/126/1/1/807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uria.europa.eu/juris/liste.jsf?oqp=&amp;for=&amp;mat=or&amp;lgrec=nl&amp;jge=&amp;td=%3BALL&amp;jur=C%2CT%2CF&amp;num=C-128%252F18&amp;page=1&amp;dates=&amp;pcs=Oor&amp;lg=&amp;pro=&amp;nat=or&amp;cit=none%252CC%252CCJ%252CR%252C2008E%252C%252C%252C%252C%252C%252C%252C%252C%252C%252Ctrue%252Cfalse%252Cfalse&amp;language=en&amp;avg=&amp;cid=2272827" TargetMode="External"/><Relationship Id="rId7" Type="http://schemas.openxmlformats.org/officeDocument/2006/relationships/hyperlink" Target="https://curia.europa.eu/juris/liste.jsf?language=en&amp;num=C-452/16%20PPU" TargetMode="External"/><Relationship Id="rId12" Type="http://schemas.openxmlformats.org/officeDocument/2006/relationships/hyperlink" Target="http://curia.europa.eu/juris/liste.jsf?language=en&amp;td=ALL&amp;num=C-237/15%20PPU" TargetMode="External"/><Relationship Id="rId17" Type="http://schemas.openxmlformats.org/officeDocument/2006/relationships/hyperlink" Target="https://www.ejn-crimjust.europa.eu/ejn/libcategories/EN/265/-1/-1/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jn-crimjust.europa.eu/ejn/AtlasChooseCountry/EN" TargetMode="External"/><Relationship Id="rId20" Type="http://schemas.openxmlformats.org/officeDocument/2006/relationships/hyperlink" Target="http://curia.europa.eu/juris/liste.jsf?num=C-404/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jn-crimjust.europa.eu/ejn/libcategories/EN/14/-1/-1/-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jn-crimjust.europa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ria.europa.eu/juris/liste.jsf?language=en&amp;num=C-241/15" TargetMode="External"/><Relationship Id="rId19" Type="http://schemas.openxmlformats.org/officeDocument/2006/relationships/hyperlink" Target="https://www.ejn-crimjust.europa.eu/ejn/libdocumentproperties/EN/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ia.europa.eu/juris/liste.jsf?language=en&amp;num=C-452/16%20PPU" TargetMode="External"/><Relationship Id="rId14" Type="http://schemas.openxmlformats.org/officeDocument/2006/relationships/hyperlink" Target="https://www.ejn-crimjust.europa.eu/ejn/libdocumentproperties/EN/317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17</Pages>
  <Words>4119</Words>
  <Characters>28428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Zita Katalin dr. [Fővárosi Törvényszék]</dc:creator>
  <cp:keywords/>
  <dc:description/>
  <cp:lastModifiedBy>NKO gyakornok [OBH]</cp:lastModifiedBy>
  <cp:revision>13</cp:revision>
  <dcterms:created xsi:type="dcterms:W3CDTF">2021-09-30T09:04:00Z</dcterms:created>
  <dcterms:modified xsi:type="dcterms:W3CDTF">2021-12-09T09:05:00Z</dcterms:modified>
</cp:coreProperties>
</file>