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B5" w:rsidRDefault="00FE75B5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FE75B5" w:rsidRDefault="00FE75B5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E75B5" w:rsidRDefault="005C2807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Biztosítási intézkedés és elkobzás</w:t>
      </w:r>
    </w:p>
    <w:p w:rsidR="00FE75B5" w:rsidRDefault="00FE75B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Textbody"/>
        <w:spacing w:line="276" w:lineRule="auto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A Tanács 2003/577/IB kerethatározata (2003. július 22.) a vagyonnal vagy bizonyítékkal kapcsolatos biztosítási intézkedést elrendelő </w:t>
      </w:r>
      <w:r>
        <w:rPr>
          <w:rStyle w:val="StrongEmphasis"/>
          <w:rFonts w:ascii="Times New Roman" w:hAnsi="Times New Roman"/>
        </w:rPr>
        <w:t>határozatoknak az Európai Unióban történő végrehajtásáról</w:t>
      </w:r>
    </w:p>
    <w:p w:rsidR="00FE75B5" w:rsidRDefault="005C2807">
      <w:pPr>
        <w:pStyle w:val="Textbody"/>
        <w:spacing w:after="160" w:line="276" w:lineRule="auto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>A Tanács 2006/783/IB kerethatározata (2006. október 6.) a kölcsönös elismerés elvének az elkobzási végzésekre történő alkalmazásáról</w:t>
      </w:r>
    </w:p>
    <w:p w:rsidR="00FE75B5" w:rsidRDefault="005C2807">
      <w:pPr>
        <w:pStyle w:val="Textbody"/>
        <w:spacing w:after="160" w:line="276" w:lineRule="auto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Az Európai Parlament és a Tanács (EU) 2018/1805 rendelete (2018. </w:t>
      </w:r>
      <w:r>
        <w:rPr>
          <w:rStyle w:val="StrongEmphasis"/>
          <w:rFonts w:ascii="Times New Roman" w:hAnsi="Times New Roman"/>
        </w:rPr>
        <w:t>november 14.) a befagyasztást és az elkobzást elrendelő határozatok kölcsönös elismeréséről</w:t>
      </w:r>
    </w:p>
    <w:p w:rsidR="00FE75B5" w:rsidRDefault="005C2807">
      <w:pPr>
        <w:pStyle w:val="Textbody"/>
        <w:spacing w:after="160" w:line="276" w:lineRule="auto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Jogesetek gyűjteménye – Útmutató oktatóknak</w:t>
      </w:r>
    </w:p>
    <w:p w:rsidR="00FE75B5" w:rsidRDefault="00FE75B5">
      <w:pPr>
        <w:pStyle w:val="Textbody"/>
        <w:spacing w:after="160" w:line="276" w:lineRule="auto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Textbody"/>
        <w:spacing w:after="0"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32"/>
          <w:szCs w:val="32"/>
        </w:rPr>
        <w:t>Írta:</w:t>
      </w:r>
    </w:p>
    <w:p w:rsidR="00FE75B5" w:rsidRDefault="005C2807">
      <w:pPr>
        <w:pStyle w:val="Textbody"/>
        <w:spacing w:after="0"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color w:val="000000"/>
          <w:sz w:val="28"/>
          <w:szCs w:val="28"/>
        </w:rPr>
        <w:t>Prof. André Klip</w:t>
      </w:r>
    </w:p>
    <w:p w:rsidR="00FE75B5" w:rsidRDefault="005C2807">
      <w:pPr>
        <w:pStyle w:val="Textbody"/>
        <w:spacing w:after="0"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color w:val="000000"/>
          <w:sz w:val="28"/>
          <w:szCs w:val="28"/>
        </w:rPr>
        <w:t>Maastrichti Egyetem,</w:t>
      </w:r>
    </w:p>
    <w:p w:rsidR="00FE75B5" w:rsidRDefault="005C2807">
      <w:pPr>
        <w:pStyle w:val="Textbody"/>
        <w:spacing w:after="0"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color w:val="000000"/>
          <w:sz w:val="28"/>
          <w:szCs w:val="28"/>
        </w:rPr>
        <w:t>tiszteletbeli bíró –</w:t>
      </w:r>
      <w:r>
        <w:rPr>
          <w:rStyle w:val="Bekezdsalapbettpusa"/>
          <w:rFonts w:ascii="Times New Roman" w:hAnsi="Times New Roman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  <w:i/>
          <w:color w:val="000000"/>
          <w:sz w:val="28"/>
          <w:szCs w:val="28"/>
        </w:rPr>
        <w:t>s'-Hertogenbosch Fellebbviteli Bíróság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hint="eastAsia"/>
        </w:rPr>
      </w:pPr>
      <w:r>
        <w:rPr>
          <w:rStyle w:val="Kiemels2"/>
          <w:rFonts w:ascii="Times New Roman" w:hAnsi="Times New Roman" w:cs="Times New Roman"/>
          <w:i/>
          <w:color w:val="000000"/>
          <w:sz w:val="32"/>
          <w:szCs w:val="28"/>
        </w:rPr>
        <w:t>Tartalomjegyzék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hint="eastAsi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 xml:space="preserve">A. 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  <w:t>Jogesetek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I.  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1. jogeset; kérdések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II. 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Feladatok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2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III. 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2. jogeset; kérdések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3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B.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sz w:val="28"/>
          <w:szCs w:val="28"/>
        </w:rPr>
        <w:t>Jegyzetek a jogesetekhez oktatók számára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C.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sz w:val="28"/>
          <w:szCs w:val="28"/>
        </w:rPr>
        <w:t>Módszertani útmutató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I.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Alapötlet és főbb témakörök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4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II.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Csoportmunka és a szeminárium felépítése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5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III.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Kiegészítő anyagok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7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IV.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legújabb fejlemények</w:t>
      </w:r>
      <w:r>
        <w:rPr>
          <w:rStyle w:val="Kiemels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8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center" w:leader="dot" w:pos="8647"/>
        </w:tabs>
        <w:spacing w:line="276" w:lineRule="auto"/>
        <w:rPr>
          <w:rFonts w:hint="eastAsia"/>
        </w:rPr>
      </w:pP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 xml:space="preserve">D. 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StrongEmphasis"/>
          <w:rFonts w:ascii="Times New Roman" w:hAnsi="Times New Roman"/>
          <w:sz w:val="28"/>
          <w:szCs w:val="28"/>
        </w:rPr>
        <w:t>Megoldások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ab/>
        <w:t>9</w:t>
      </w:r>
    </w:p>
    <w:p w:rsidR="00FE75B5" w:rsidRPr="004E4364" w:rsidRDefault="005C2807">
      <w:pPr>
        <w:pStyle w:val="Test"/>
        <w:pageBreakBefore/>
        <w:shd w:val="clear" w:color="auto" w:fill="DED888"/>
        <w:spacing w:after="160"/>
        <w:jc w:val="center"/>
        <w:rPr>
          <w:lang w:val="hu-HU"/>
        </w:rPr>
      </w:pPr>
      <w:r>
        <w:rPr>
          <w:rStyle w:val="Kiemels2"/>
          <w:rFonts w:ascii="Times New Roman" w:hAnsi="Times New Roman"/>
          <w:b/>
          <w:bCs w:val="0"/>
          <w:color w:val="2F5496"/>
          <w:sz w:val="32"/>
          <w:szCs w:val="32"/>
          <w:lang w:val="hu-HU"/>
        </w:rPr>
        <w:lastRenderedPageBreak/>
        <w:t>Biztosítási intézkedés és elkobzás</w:t>
      </w:r>
    </w:p>
    <w:p w:rsidR="00FE75B5" w:rsidRDefault="00FE75B5">
      <w:pPr>
        <w:spacing w:line="276" w:lineRule="auto"/>
        <w:rPr>
          <w:rFonts w:ascii="Times New Roman" w:hAnsi="Times New Roman"/>
          <w:color w:val="4472C4"/>
          <w:sz w:val="28"/>
          <w:szCs w:val="28"/>
        </w:rPr>
      </w:pPr>
    </w:p>
    <w:p w:rsidR="00FE75B5" w:rsidRDefault="005C2807">
      <w:pPr>
        <w:spacing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 xml:space="preserve">A. </w:t>
      </w:r>
      <w:r>
        <w:rPr>
          <w:rStyle w:val="StrongEmphasis"/>
          <w:rFonts w:ascii="Times New Roman" w:hAnsi="Times New Roman"/>
          <w:color w:val="4472C4"/>
          <w:sz w:val="28"/>
          <w:szCs w:val="28"/>
        </w:rPr>
        <w:tab/>
        <w:t>I. 1. jogeset:</w:t>
      </w:r>
    </w:p>
    <w:p w:rsidR="00FE75B5" w:rsidRDefault="00FE75B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A prágai ügyész nyomozást rendelt el egy nőkkel és kiskorú lányokkal való kereskedelemre specializálódott bűnszervezet ellen. A nők </w:t>
      </w: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és lányok főként a Cseh Köztársaságból és Szlovákiából származnak, akiket exkluzív ciprusi bordélyházakba szállítanak. A nyomozás feltárja, hogy a fenti üzlet már egy évtizede zajlik igen sikeresen anélkül, hogy a hivatalos szervek észlelték volna. Nők szá</w:t>
      </w: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zai estek áldozatául, akiket szexuális rabszolgaságra kényszerítettek. A cseh illetőségű A, a ciprusi B és az orosz C alkotta bűnszervezet euro-milliós jövedelemre tett szert ebből az illegális tevékenységből. A ciprusi hatóságokkal folytatott információcs</w:t>
      </w: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ere során a cseh hatóságok tudomására jut, hogy A-nak Páfoszban több ingatlan áll a tulajdonában, B kaszinót üzemeltet Larnacában, C-nek pedig van egy yachtja Limassolban. Ezen felül feltehetőleg mindhárman nagyobb összegű készpénzt is rejtegetnek lakóhely</w:t>
      </w: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ükön.</w:t>
      </w:r>
    </w:p>
    <w:p w:rsidR="00FE75B5" w:rsidRDefault="005C2807">
      <w:pPr>
        <w:pStyle w:val="Norml"/>
        <w:suppressAutoHyphens w:val="0"/>
        <w:spacing w:after="160" w:line="276" w:lineRule="auto"/>
        <w:textAlignment w:val="auto"/>
        <w:rPr>
          <w:rFonts w:hint="eastAsia"/>
        </w:rPr>
      </w:pPr>
      <w:r>
        <w:rPr>
          <w:rStyle w:val="Kiemels2"/>
          <w:rFonts w:ascii="Times New Roman" w:eastAsia="Calibri" w:hAnsi="Times New Roman" w:cs="Times New Roman"/>
          <w:color w:val="2F5496"/>
          <w:kern w:val="0"/>
          <w:sz w:val="26"/>
          <w:szCs w:val="28"/>
          <w:lang w:eastAsia="en-US" w:bidi="ar-SA"/>
        </w:rPr>
        <w:t>Kérdések: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Az Ön jogrendszere milyen biztosítási intézkedésre biztosít lehetőséget, illetve hogyan szabályozza az elkobzást?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Mielőtt a cseh nyomozóhatóság intézkedne az őrizetbe vételük iránt és figyelmeztetné az elkövetőket arra, hogy tartózkodási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helyük ismert, a későbbi vagyonelkobzás biztosítása céljából zár alá kívánja venni a bűncselekményből származó jövedelmet. Mit tehet a cseh nyomozóhatóság?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Mely jogintézmény alkalmazásának van helye?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Milyen módon és kinek küldendő a jogsegélykérelem?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Hogyan veszik zár alá a ciprusi hatóságok a vagyontárgyakat?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Mi a követendő eljárás, ha az orosz honosságú C azt állítja, hogy a lefoglalt yacht nem az ő, hanem fivére tulajdonát képezi?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Tegyük fel, hogy a vagyonra és javakra elrendelt biztosítási intézked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és óta eltelt két esztendő, és A-t és B-t a bíróság bűnszervezetben elkövetett emberkereskedelem bűntette miatt 15 év szabadságvesztésre ítélték. A prágai bíróság vagyonelkobzást rendelt el a bűncselekményből származó jövedelemre. C-t felmentették. Mit fog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kérni a cseh hatóság?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lastRenderedPageBreak/>
        <w:t>Hogyan reagál majd a ciprusi hatóság?</w:t>
      </w:r>
    </w:p>
    <w:p w:rsidR="00FE75B5" w:rsidRDefault="005C2807">
      <w:pPr>
        <w:pStyle w:val="Listaszerbekezds"/>
        <w:numPr>
          <w:ilvl w:val="0"/>
          <w:numId w:val="1"/>
        </w:numPr>
        <w:suppressAutoHyphens w:val="0"/>
        <w:spacing w:after="160" w:line="276" w:lineRule="auto"/>
        <w:ind w:left="72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Hogyan válaszolná meg a fenti kérdéseket, amennyiben 2020. december 19. napján vagy azt követően kelne a jogsegélykérelem?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>A. II. Feladatok: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>Határozza meg a hatáskörrel és illetékességgel rend</w:t>
      </w:r>
      <w:r>
        <w:rPr>
          <w:rStyle w:val="StrongEmphasis"/>
          <w:rFonts w:ascii="Times New Roman" w:hAnsi="Times New Roman"/>
          <w:color w:val="4472C4"/>
          <w:sz w:val="28"/>
          <w:szCs w:val="28"/>
        </w:rPr>
        <w:t>elkező végrehajtó szervet és a tanúsítvány kiállításánál alkalmazandó nyelvet az alábbi esetekben:</w:t>
      </w: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 Az olaszországi Bolognában működő ügyész bűnügyi zárlatot kíván elrendelni a belgiumi Liège-ben is tevékenykedő maffiaszervezet tulajdonában lévő néhány F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errarira.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Hatáskörrel és illetékességgel rendelkező végrehajtó szerv: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Alkalmazandó nyelv: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 Az ír hatóságokhoz pénzmosásból származó, Corkban befektetett bevétel elkobzása iránti jogsegélykérelem érkezik Luxemburgból.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 xml:space="preserve">Hatáskörrel és illetékességgel 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rendelkező végrehajtó szerv: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Alkalmazandó nyelv: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 Egy spanyol ügyész sikeresen vádat emelt egy hamisító csoport ellen, majd tudomására jut, hogy több millió eurót helyeztek el egy koppenhágai bankban.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 xml:space="preserve">Hatáskörrel és illetékességgel rendelkező 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végrehajtó szerv: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Alkalmazandó nyelv: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 Mely esetben válaszolna eltérően 2020. december 19. napját követően?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Hatáskörrel és illetékességgel rendelkező végrehajtó szerv:</w:t>
      </w:r>
    </w:p>
    <w:p w:rsidR="00FE75B5" w:rsidRDefault="00FE75B5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Alkalmazandó nyelv: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>A. III. 2. jogeset: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A hatáskörrel és illetékességgel </w:t>
      </w: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rendelkező máltai, valettai hatósághoz jogsegélykérelem érkezik Svédországból a svéd állampolgárságú Halvarson máltai vagyontárgyainak elkobzása iránt. Halvarsont a svéd bíróság nemrégiben kábítószer előállítása és azzal való kereskedés miatt hét év szabad</w:t>
      </w:r>
      <w:r>
        <w:rPr>
          <w:rStyle w:val="Bekezdsalapbettpusa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ságvesztésre ítélte, egyúttal vagyonelkobzást rendelt el a bűncselekményből eredő, mintegy 10 millió svéd koronára becsült vagyonra. A svéd fél kideríti, hogy Halvarson egy kb. 38 millió eurót érő, birzebbugai luxusüdülő társtulajdonosa.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>Kérdések: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Listaszerbekezds"/>
        <w:numPr>
          <w:ilvl w:val="0"/>
          <w:numId w:val="2"/>
        </w:numP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Mi a j</w:t>
      </w: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ogsegélykérelem alapja?</w:t>
      </w:r>
    </w:p>
    <w:p w:rsidR="00FE75B5" w:rsidRDefault="005C2807">
      <w:pPr>
        <w:pStyle w:val="Listaszerbekezds"/>
        <w:numPr>
          <w:ilvl w:val="0"/>
          <w:numId w:val="2"/>
        </w:numP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Mely hatóságok érintettek mindkét oldalon?</w:t>
      </w:r>
    </w:p>
    <w:p w:rsidR="00FE75B5" w:rsidRDefault="005C2807">
      <w:pPr>
        <w:pStyle w:val="Listaszerbekezds"/>
        <w:numPr>
          <w:ilvl w:val="0"/>
          <w:numId w:val="2"/>
        </w:numP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Mit koboz el a máltai hatóság?</w:t>
      </w:r>
    </w:p>
    <w:p w:rsidR="00FE75B5" w:rsidRDefault="005C2807">
      <w:pPr>
        <w:pStyle w:val="Listaszerbekezds"/>
        <w:numPr>
          <w:ilvl w:val="0"/>
          <w:numId w:val="2"/>
        </w:numP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Halvarson kifogást emelne az elkobzás ellen. Kinél és hogyan teheti ezt meg?</w:t>
      </w:r>
    </w:p>
    <w:p w:rsidR="00FE75B5" w:rsidRDefault="005C2807">
      <w:pPr>
        <w:pStyle w:val="Listaszerbekezds"/>
        <w:numPr>
          <w:ilvl w:val="0"/>
          <w:numId w:val="2"/>
        </w:numP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 xml:space="preserve">A luxusüdülő másik társtulajdonosa, Ártatlan Márk feddhetetlen előélettel </w:t>
      </w: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rendelkezik. Soha nem került összetűzésbe a törvénnyel, határidőben megfizette az adót, a bűnügyi nyilvántartásban pedig nem szerepel. Ártatlan úr nem örül tulajdona elvesztésének, és az ellen jogi lépéseket kíván tenni. Mit tehet?</w:t>
      </w:r>
    </w:p>
    <w:p w:rsidR="00FE75B5" w:rsidRDefault="005C2807">
      <w:pPr>
        <w:pStyle w:val="Listaszerbekezds"/>
        <w:numPr>
          <w:ilvl w:val="0"/>
          <w:numId w:val="2"/>
        </w:numPr>
        <w:suppressAutoHyphens w:val="0"/>
        <w:spacing w:after="160" w:line="276" w:lineRule="auto"/>
        <w:jc w:val="both"/>
        <w:textAlignment w:val="auto"/>
        <w:rPr>
          <w:rFonts w:hint="eastAsia"/>
        </w:rPr>
      </w:pP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 xml:space="preserve">Hogyan válaszolná meg a </w:t>
      </w:r>
      <w:r>
        <w:rPr>
          <w:rStyle w:val="Bekezdsalapbettpusa"/>
          <w:rFonts w:ascii="Times New Roman" w:eastAsia="Calibri" w:hAnsi="Times New Roman" w:cs="Times New Roman"/>
          <w:i/>
          <w:kern w:val="0"/>
          <w:sz w:val="28"/>
          <w:szCs w:val="24"/>
          <w:lang w:eastAsia="en-US" w:bidi="ar-SA"/>
        </w:rPr>
        <w:t>fenti kérdéseket, amennyiben 2020. december 19. napján vagy azt követően kelne a jogsegélykérelem?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Pr="004E4364" w:rsidRDefault="005C2807">
      <w:pPr>
        <w:pStyle w:val="Test"/>
        <w:pageBreakBefore/>
        <w:shd w:val="clear" w:color="auto" w:fill="DED888"/>
        <w:spacing w:after="160"/>
        <w:jc w:val="center"/>
        <w:rPr>
          <w:lang w:val="hu-HU"/>
        </w:rPr>
      </w:pPr>
      <w:r>
        <w:rPr>
          <w:rStyle w:val="Kiemels2"/>
          <w:rFonts w:ascii="Times New Roman" w:hAnsi="Times New Roman"/>
          <w:b/>
          <w:bCs w:val="0"/>
          <w:color w:val="2F5496"/>
          <w:sz w:val="32"/>
          <w:szCs w:val="32"/>
          <w:lang w:val="hu-HU"/>
        </w:rPr>
        <w:lastRenderedPageBreak/>
        <w:t>B.  További megjegyzések a témához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2014/42. számú irányelv, amely részben felváltotta elődjét, a 2005/212.  kerethatározatot, nem használható a képzés so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rán. A képzés során A biztosítási intézkedésekről szóló 2003/577. számú kerethatározatot és az elkobzási határozatokról szóló 2006/783. kerethatározatot kell alapul venni. Ez azonban még nem minden. A jogi környezet 2020. december 19-én megváltozott, amiko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r is az Európai Parlament és a Tanács (EU) 2018/1805 rendelete (2018. november 14.) a befagyasztást és az elkobzást elrendelő határozatok kölcsönös elismeréséről felváltotta a 2003/577. és a 2006/783. kerethatározatot az új szabályozás hatálya alá eső tagá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llamok vonatkozásában.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  <w:vertAlign w:val="superscript"/>
        </w:rPr>
        <w:footnoteReference w:id="1"/>
      </w:r>
    </w:p>
    <w:p w:rsidR="00FE75B5" w:rsidRPr="004E4364" w:rsidRDefault="005C2807">
      <w:pPr>
        <w:pStyle w:val="Test"/>
        <w:shd w:val="clear" w:color="auto" w:fill="DED888"/>
        <w:spacing w:after="160"/>
        <w:jc w:val="center"/>
        <w:rPr>
          <w:lang w:val="hu-HU"/>
        </w:rPr>
      </w:pPr>
      <w:r>
        <w:rPr>
          <w:rStyle w:val="Kiemels2"/>
          <w:rFonts w:ascii="Times New Roman" w:hAnsi="Times New Roman"/>
          <w:b/>
          <w:bCs w:val="0"/>
          <w:color w:val="2F5496"/>
          <w:sz w:val="32"/>
          <w:szCs w:val="32"/>
          <w:lang w:val="hu-HU"/>
        </w:rPr>
        <w:t>C. Módszertani útmutató</w:t>
      </w:r>
    </w:p>
    <w:p w:rsidR="00FE75B5" w:rsidRDefault="005C2807">
      <w:pPr>
        <w:spacing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 xml:space="preserve">I. </w:t>
      </w:r>
      <w:r>
        <w:rPr>
          <w:rStyle w:val="Bekezdsalapbettpusa"/>
          <w:rFonts w:ascii="Times New Roman" w:hAnsi="Times New Roman"/>
          <w:color w:val="4472C4"/>
          <w:sz w:val="28"/>
          <w:szCs w:val="28"/>
        </w:rPr>
        <w:t xml:space="preserve"> </w:t>
      </w:r>
      <w:r>
        <w:rPr>
          <w:rStyle w:val="Bekezdsalapbettpusa"/>
          <w:rFonts w:ascii="Times New Roman" w:hAnsi="Times New Roman"/>
          <w:color w:val="4472C4"/>
          <w:sz w:val="28"/>
          <w:szCs w:val="28"/>
        </w:rPr>
        <w:tab/>
      </w:r>
      <w:r>
        <w:rPr>
          <w:rStyle w:val="StrongEmphasis"/>
          <w:rFonts w:ascii="Times New Roman" w:hAnsi="Times New Roman"/>
          <w:color w:val="4472C4"/>
          <w:sz w:val="28"/>
          <w:szCs w:val="28"/>
        </w:rPr>
        <w:t xml:space="preserve">Alapötlet és főbb témakörök </w:t>
      </w:r>
    </w:p>
    <w:p w:rsidR="00FE75B5" w:rsidRDefault="00FE75B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Ezen feladatok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lényege, hogy rávilágítson: az együttműködés eszköztára még jelenleg is átalakulóban van, a hatályos jogi szabályozás pedig szerteszórt. Mindez arra vezethető vissza, hogy az egyes tagállamokban ugyancsak eltérő szabályokat találhatunk a biztonsági intézke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dések és az elkobzás körében. Ennek eredményeként a jogalkalmazónak a különböző jogi eszközök sűrűjéből kell megtalálnia a kivezető utat. Ez egyrészt azt jelenti, hogy sok esetben több jogi eszköz is szolgálhat az adott intézkedés alapjául. Példának okáért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akár már korábban is sor kerülhet számos olyan vagyontárgy bizonyítási eszközként történő lefoglalására a 2000. évi EU Egyezmény vagy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európai nyomozási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határozat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alapján, amely a későbbiekben vagyonelkobzás vagy biztosítási intézkedés tárgyát képezheti.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Másrészt előfordulhat olyan eset is, amikor ilyesfajta jogi alapról egyáltalán nem beszélhetünk. E téren 2020. december 19-ével állt be változás, amikor hatályba lépett 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a 2018/1805. rendelet. Az új jogszabály nem csupán felváltotta a korábbi kerethatározat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okat, hanem jogszabályi összhangot is teremtett, hiszen a rendelet közvetlenül alkalmazandó valamennyi nemzeti jogrendszerben, függetlenül attól, hogy törvénybe iktatták-e.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Az igazságügyi alkalmazottaknak lényegesen több időt kell fordítaniuk a jogsegélyk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érelmek előkészítésére, miután rendkívül összetett helyzetek is adódhatnak, és a változó jogi környezet kihívásaival is szembe kell nézniük. Mindez késleltetheti vagy egyenesen gátolhatja a bűnügyi együttműködést. Kiváltképp a befagyasztás 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jellegű biztosít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ási intézkedések esetében, amely gyakran gyors és haladéktalan intézkedést igényelne.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A jogeseteket úgy állították össze, hogy az oktatók és a képzés résztvevői megvitassák az alábbi témákat: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 xml:space="preserve">A kölcsönös elismerés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szerkezete és alapvető vélelme a jogi es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zköztárban és a büntetőeljárásban az Európai Unión belül, a jelenleg hatályos kerethatározatok alapján, általánosságban, illetve a biztosítási intézkedések és az elkobzás</w:t>
      </w:r>
      <w:r>
        <w:rPr>
          <w:rStyle w:val="Bekezdsalapbettpusa"/>
          <w:rFonts w:ascii="Times New Roman" w:hAnsi="Times New Roman"/>
          <w:sz w:val="28"/>
          <w:szCs w:val="28"/>
        </w:rPr>
        <w:t xml:space="preserve"> specifikus vonatkozásában;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 xml:space="preserve">a kölcsönös elismerés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szerkezete és alapvető vélelme a jog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i eszköztárban és a büntetőeljárásban az Európai Unión belül, a 2018/1805. rendelet alapján, általánosságban, illetve a biztosítási intézkedések és az elkobzás</w:t>
      </w:r>
      <w:r>
        <w:rPr>
          <w:rStyle w:val="Bekezdsalapbettpusa"/>
          <w:rFonts w:ascii="Times New Roman" w:hAnsi="Times New Roman"/>
          <w:sz w:val="28"/>
          <w:szCs w:val="28"/>
        </w:rPr>
        <w:t xml:space="preserve"> specifikus vonatkozásában;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>a megfelelő hatóság kiválasztása mindkét oldalon;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feladatmegoldási </w:t>
      </w:r>
      <w:r>
        <w:rPr>
          <w:rFonts w:ascii="Times New Roman" w:hAnsi="Times New Roman" w:cs="Times New Roman"/>
          <w:sz w:val="28"/>
          <w:szCs w:val="28"/>
        </w:rPr>
        <w:t>folyamatok elsajátítása;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oszlanak meg a feladatok a megkeresést kibocsátó és az azt végrehajtó hatóság között;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történik a hatóságok közötti kapcsolatfelvétel, és mely adatokat szükséges a másik féllel megosztani;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későbbi következmények</w:t>
      </w:r>
      <w:r>
        <w:rPr>
          <w:rFonts w:ascii="Times New Roman" w:hAnsi="Times New Roman" w:cs="Times New Roman"/>
          <w:sz w:val="28"/>
          <w:szCs w:val="28"/>
        </w:rPr>
        <w:t>kel jár a biztosítási intézkedés a végrehajtó tagállamban foganatosítandó elkobzásra nézve;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védelem lehetséges szerepe a biztonsági intézkedés feloldása és/vagy az elkobzás meghiúsítása érdekében;</w:t>
      </w:r>
    </w:p>
    <w:p w:rsidR="00FE75B5" w:rsidRDefault="005C2807">
      <w:pPr>
        <w:numPr>
          <w:ilvl w:val="0"/>
          <w:numId w:val="3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harmadik személy lehetséges szerepe a biztonsági intézk</w:t>
      </w:r>
      <w:r>
        <w:rPr>
          <w:rFonts w:ascii="Times New Roman" w:hAnsi="Times New Roman" w:cs="Times New Roman"/>
          <w:sz w:val="28"/>
          <w:szCs w:val="28"/>
        </w:rPr>
        <w:t>edés feloldása és/vagy az elkobzás meghiúsítása érdekében.</w:t>
      </w:r>
    </w:p>
    <w:p w:rsidR="00FE75B5" w:rsidRDefault="00FE75B5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>II. Csoportmunka és a szeminárium felépítése</w:t>
      </w:r>
    </w:p>
    <w:p w:rsidR="00FE75B5" w:rsidRDefault="00FE75B5">
      <w:pPr>
        <w:pStyle w:val="Norml"/>
        <w:spacing w:line="276" w:lineRule="auto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szeminárium során az oktató egyoldalas kérdőívet küld ki a résztvevőknek, hogy feltárja a kerethatározatok terén szerzett tapasztalataikat és gyakor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latukat. A kérdések között szerepel, mik az elvárásaik, illetve, hogy mely kérdésekre szeretnének választ kapni. Az így gyűjtött adatok nemcsak felhasználhatóak az előadások során, hanem befolyásolják a megoldandó feladatok jellegének és szintjének, az ese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tleges további kérdéseknek a megválasztását is. Fontos az így nyert információ, hiszen a résztvevők szakmai tapasztalata, nyelvi képességei és munkakörükből adódó napi feladatai igen eltérőek lehetnek. Feltehetően nem sokan rendelkeznek a résztvevők közül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tapasztalattal az ilyen fajta bűnügyi együttműködés terén. Ez esetben a bonyolultabb kérdések ki is hagyhatók.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Az oktató rö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vid előadást (Power Point) tart a résztvevőknek, kiemelve abban a Tanács vagyonnal vagy bizonyítékkal kapcsolatos biztosítási 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intézkedést elrendelő határozatoknak az Európai Unióban történő végrehajtásáról szóló 2003/577/IB (2003. július 22.) kerethatározatának és a kölcsönös elismerés elvének az elkobzási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végzésekre történő alkalmazásáról szóló 2006/783/IB (2006. október 6.) ker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ethatározatának súlypontjait. Több időt szentel az Európai Parlament és a Tanács (EU) befagyasztást és elkobzást elrendelő határozatok kölcsönös elismeréséről szóló 2018/1805 (2018. november 14.) rendeletének, továbbá mindhárom jogszabály vonatkozásában me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gvitatásra kerülnek a jogalkotói célok, a definíciók, a biztonsági intézkedés és az elkobzás fogalma, a meghatározott vagyontárgy, illetőleg érték elkobzása, a hatáskörrel és illetékességgel rendelkező hatóság kérdésköre, a visszautasítás okai, a határidők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, az alkalmazandó jog, valamint a szükséges további döntések témaköre </w:t>
      </w:r>
      <w:r>
        <w:rPr>
          <w:rStyle w:val="StrongEmphasis"/>
          <w:rFonts w:ascii="Times New Roman" w:hAnsi="Times New Roman"/>
          <w:sz w:val="28"/>
          <w:szCs w:val="28"/>
        </w:rPr>
        <w:t>(körülbelül 15-20 percben)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sz w:val="28"/>
          <w:szCs w:val="28"/>
        </w:rPr>
        <w:t>Megjegyzés oktatóknak: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A képzés időpontjától függően: </w:t>
      </w:r>
      <w:r>
        <w:rPr>
          <w:rStyle w:val="StrongEmphasis"/>
          <w:rFonts w:ascii="Times New Roman" w:hAnsi="Times New Roman"/>
          <w:sz w:val="28"/>
          <w:szCs w:val="28"/>
        </w:rPr>
        <w:t>2020. december 19. napját követően az időpont meghatározó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a lényegi kérdésekre nézve. A hangsúlyt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ugyanis ekkortól kezdődően a Rendeletre kell fektetni. A fenti időponttól a kerethatározatok ugyanis már csupán Dánia és Írország vonatkozásában bírnak jelentőséggel.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b/>
          <w:bCs/>
          <w:i/>
          <w:iCs/>
          <w:sz w:val="28"/>
          <w:szCs w:val="28"/>
        </w:rPr>
        <w:t>Az 1. jogeset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lehetőséget kínál a legalapvetőbb fogalmak megtárgyalására, de a lehetsége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s problémák mélyreható elemzésére is. A résztvevők 4-5 fős csoportokban dolgoznak, és egy internetkapcsolattal rendelkező laptop segítségével oldják meg a kérdéseket. Különösen az </w:t>
      </w:r>
      <w:r>
        <w:rPr>
          <w:rStyle w:val="Bekezdsalapbettpusa"/>
          <w:rFonts w:ascii="Times New Roman" w:hAnsi="Times New Roman" w:cs="Times New Roman"/>
          <w:sz w:val="28"/>
          <w:szCs w:val="28"/>
          <w:shd w:val="clear" w:color="auto" w:fill="FFFFFF"/>
        </w:rPr>
        <w:t>Európai Igazságügyi Hálózat (EIH)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, az Eurlex és a Bíróság honlapjainak haszn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álata ajánlott. Cél, hogy a résztvevők elsajátítsák a felsorolt internetes oldalak használatát annak érdekében, hogy a szükséges információt megszerezhessék és azt felhasználhassák a feladatok megoldásához. Az 1. jogeset megoldása és a kapcsolódó kérdések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megválaszolása 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 xml:space="preserve">hozzávetőleg 1 óra 40 percet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vehet igénybe. A csoportok kialakításánál szempont, hogy hasonló tudásszintű résztvevők dolgozzanak együtt.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jelen szakaszban ajánlatos tíz perc szünetet tartani.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Az A. II fejezet 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>kérdéseinek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megválaszolására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körülbelül 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>10 perc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fordítandó, mivel itt a résztvevők a hatáskörrel és illetékességgel rendelkező hatóság és a tanúsítvány nyelvének helyes megválasztásának mechanizmusát gyakorolhatják. Az </w:t>
      </w:r>
      <w:r>
        <w:rPr>
          <w:rStyle w:val="Bekezdsalapbettpusa"/>
          <w:rFonts w:ascii="Times New Roman" w:hAnsi="Times New Roman" w:cs="Times New Roman"/>
          <w:sz w:val="28"/>
          <w:szCs w:val="28"/>
          <w:shd w:val="clear" w:color="auto" w:fill="FFFFFF"/>
        </w:rPr>
        <w:t>Európai Igazságügyi Hálózat honlapjának tanulmányozását követően e</w:t>
      </w:r>
      <w:r>
        <w:rPr>
          <w:rStyle w:val="Bekezdsalapbettpusa"/>
          <w:rFonts w:ascii="Times New Roman" w:hAnsi="Times New Roman" w:cs="Times New Roman"/>
          <w:sz w:val="28"/>
          <w:szCs w:val="28"/>
          <w:shd w:val="clear" w:color="auto" w:fill="FFFFFF"/>
        </w:rPr>
        <w:t>z a feladat ellenőrző feladatként is szolgálhat. Amennyiben az 1. jogeset megoldása a vártnál több időt venne igénybe, a feladat átugorható és kiadható házi feladatként.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A 2. jogeset</w:t>
      </w:r>
      <w:r>
        <w:rPr>
          <w:rStyle w:val="Bekezdsalapbettpusa"/>
          <w:rFonts w:ascii="Times New Roman" w:hAnsi="Times New Roman" w:cs="Times New Roman"/>
          <w:sz w:val="28"/>
          <w:szCs w:val="28"/>
          <w:shd w:val="clear" w:color="auto" w:fill="FFFFFF"/>
        </w:rPr>
        <w:t xml:space="preserve"> révén a résztvevők olyan kérdésekkel kénytelenek foglalkozni, amelyek ne</w:t>
      </w:r>
      <w:r>
        <w:rPr>
          <w:rStyle w:val="Bekezdsalapbettpusa"/>
          <w:rFonts w:ascii="Times New Roman" w:hAnsi="Times New Roman" w:cs="Times New Roman"/>
          <w:sz w:val="28"/>
          <w:szCs w:val="28"/>
          <w:shd w:val="clear" w:color="auto" w:fill="FFFFFF"/>
        </w:rPr>
        <w:t xml:space="preserve">m találhatóak meg az adott kerethatározat szövegében, ugyanakkor annak gyakorlatára vonatkoznak és azonnali választ igényelnek.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A résztvevők 4-5 fős csoportokban dolgoznak, és egy internetkapcsolattal rendelkező laptop segítségével oldják meg a kérdéseket.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A 2. jogeset megoldása 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>mintegy 40-45 percet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vehet igénybe.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sz w:val="28"/>
          <w:szCs w:val="28"/>
        </w:rPr>
        <w:t>Az esetleges fennmaradó kérdések a szeminárium végén tárgyalhatók meg (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>kb. 5-10 perc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alatt).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Pr="004E4364" w:rsidRDefault="005C2807">
      <w:pPr>
        <w:pStyle w:val="Norml"/>
        <w:spacing w:after="160"/>
        <w:jc w:val="both"/>
        <w:rPr>
          <w:rFonts w:ascii="Times New Roman" w:eastAsia="Calibri" w:hAnsi="Times New Roman" w:cs="Times New Roman"/>
          <w:b/>
          <w:bCs/>
          <w:color w:val="2F5496"/>
          <w:kern w:val="0"/>
          <w:sz w:val="28"/>
          <w:szCs w:val="28"/>
          <w:lang w:eastAsia="en-US" w:bidi="ar-SA"/>
        </w:rPr>
      </w:pPr>
      <w:r w:rsidRPr="004E4364">
        <w:rPr>
          <w:rFonts w:ascii="Times New Roman" w:eastAsia="Calibri" w:hAnsi="Times New Roman" w:cs="Times New Roman"/>
          <w:b/>
          <w:bCs/>
          <w:color w:val="2F5496"/>
          <w:kern w:val="0"/>
          <w:sz w:val="28"/>
          <w:szCs w:val="28"/>
          <w:lang w:eastAsia="en-US" w:bidi="ar-SA"/>
        </w:rPr>
        <w:t>III. Kiegészítő anyagok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Minden résztvevő 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>hozzon magával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 egy példányt az alábbiakból: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Textbody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Tanács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2003/577/IB kerethatározata (2003. július 22.) a vagyonnal vagy bizonyítékkal kapcsolatos biztosítási intézkedést elrendelő határozatoknak az Európai Unióban történő végrehajtásáról</w:t>
      </w:r>
    </w:p>
    <w:p w:rsidR="00FE75B5" w:rsidRDefault="005C2807">
      <w:pPr>
        <w:pStyle w:val="Textbody"/>
        <w:numPr>
          <w:ilvl w:val="0"/>
          <w:numId w:val="4"/>
        </w:numPr>
        <w:spacing w:after="160"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Tanács 2006/783/IB kerethatározata (2006. október 6.) a kölcsönös elisme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rés elvének az elkobzási végzésekre történő alkalmazásáról</w:t>
      </w:r>
    </w:p>
    <w:p w:rsidR="00FE75B5" w:rsidRDefault="005C2807">
      <w:pPr>
        <w:pStyle w:val="Textbody"/>
        <w:numPr>
          <w:ilvl w:val="0"/>
          <w:numId w:val="4"/>
        </w:numPr>
        <w:spacing w:after="160"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Az Európai Parlament és a Tanács (EU) 2018/1805 rendelete (2018. november 14.) a befagyasztást és az elkobzást elrendelő határozatok kölcsönös elismeréséről</w:t>
      </w:r>
    </w:p>
    <w:p w:rsidR="00FE75B5" w:rsidRDefault="005C2807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Mindhárom tartalmazza a mellékleteikben </w:t>
      </w:r>
      <w:r>
        <w:rPr>
          <w:rFonts w:ascii="Times New Roman" w:hAnsi="Times New Roman" w:cs="Times New Roman"/>
          <w:sz w:val="28"/>
          <w:szCs w:val="28"/>
        </w:rPr>
        <w:t>található nyomtatványokat! A résztvevők szintén rendelkezzenek a kerethatározatokat becikkelyező nemzeti jogszabályokkal, illetve a Rendelet végrehajtásával kapcsolatos jogszabályokkal, illetve az azokhoz való hozzáféréssel.</w:t>
      </w:r>
    </w:p>
    <w:p w:rsidR="00FE75B5" w:rsidRDefault="00FE75B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 xml:space="preserve">(Megjegyzés oktatóknak: </w:t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 xml:space="preserve">Érdekes lesz látni, illetve ellenőrizni, vajon sikeresen beszerezték-e a résztvevők mindhárom releváns jogszabályt. Amennyiben az idő engedi, ennél a pontnál rávezethetők az Eurlex és a </w:t>
      </w:r>
      <w:r>
        <w:fldChar w:fldCharType="begin"/>
      </w:r>
      <w:r>
        <w:instrText xml:space="preserve"> HYPERLINK  "https://eur-lex.europa.eu/collection/eu-law/consleg.htm</w:instrText>
      </w:r>
      <w:r>
        <w:instrText xml:space="preserve">l" </w:instrText>
      </w:r>
      <w:r>
        <w:rPr>
          <w:rFonts w:hint="eastAsia"/>
        </w:rPr>
        <w:fldChar w:fldCharType="separate"/>
      </w:r>
      <w:r>
        <w:rPr>
          <w:rStyle w:val="Hiperhivatkozs"/>
          <w:rFonts w:ascii="Times New Roman" w:hAnsi="Times New Roman" w:cs="Times New Roman"/>
          <w:b/>
          <w:bCs/>
          <w:sz w:val="28"/>
          <w:szCs w:val="28"/>
        </w:rPr>
        <w:t>joganyagok hi</w:t>
      </w:r>
      <w:bookmarkStart w:id="1" w:name="_Hlt89757465"/>
      <w:bookmarkStart w:id="2" w:name="_Hlt89757466"/>
      <w:r>
        <w:rPr>
          <w:rStyle w:val="Hiperhivatkozs"/>
          <w:rFonts w:ascii="Times New Roman" w:hAnsi="Times New Roman" w:cs="Times New Roman"/>
          <w:b/>
          <w:bCs/>
          <w:sz w:val="28"/>
          <w:szCs w:val="28"/>
        </w:rPr>
        <w:t>v</w:t>
      </w:r>
      <w:bookmarkEnd w:id="1"/>
      <w:bookmarkEnd w:id="2"/>
      <w:r>
        <w:rPr>
          <w:rStyle w:val="Hiperhivatkozs"/>
          <w:rFonts w:ascii="Times New Roman" w:hAnsi="Times New Roman" w:cs="Times New Roman"/>
          <w:b/>
          <w:bCs/>
          <w:sz w:val="28"/>
          <w:szCs w:val="28"/>
        </w:rPr>
        <w:t>atalos fordításának</w:t>
      </w:r>
      <w:r>
        <w:rPr>
          <w:rStyle w:val="Hiperhivatkozs"/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</w:rPr>
        <w:t xml:space="preserve"> használatára.)</w:t>
      </w:r>
    </w:p>
    <w:p w:rsidR="00FE75B5" w:rsidRDefault="00FE75B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>Feltétlenül szorgalmazandó az online eszközök használata!</w:t>
      </w:r>
    </w:p>
    <w:p w:rsidR="00FE75B5" w:rsidRDefault="00FE75B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uppressAutoHyphens w:val="0"/>
        <w:spacing w:after="160" w:line="276" w:lineRule="auto"/>
        <w:jc w:val="both"/>
        <w:textAlignment w:val="auto"/>
        <w:rPr>
          <w:rFonts w:hint="eastAsia"/>
        </w:rPr>
      </w:pPr>
      <w:r w:rsidRPr="004E4364">
        <w:rPr>
          <w:rStyle w:val="Kiemels2"/>
          <w:rFonts w:ascii="Times New Roman" w:eastAsia="Calibri" w:hAnsi="Times New Roman" w:cs="Times New Roman"/>
          <w:color w:val="2F5496"/>
          <w:kern w:val="0"/>
          <w:sz w:val="28"/>
          <w:szCs w:val="32"/>
          <w:lang w:eastAsia="en-US" w:bidi="ar-SA"/>
        </w:rPr>
        <w:t>IV. A legújabb fejlemények</w:t>
      </w:r>
    </w:p>
    <w:p w:rsidR="00FE75B5" w:rsidRDefault="00FE75B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Kérjük, ellenőrizze, hogy az elmúlt három hónapban indult-e újabb eljárás, illetve folyamodtak-e előzetes </w:t>
      </w:r>
      <w:r>
        <w:rPr>
          <w:rFonts w:ascii="Times New Roman" w:hAnsi="Times New Roman" w:cs="Times New Roman"/>
          <w:sz w:val="28"/>
          <w:szCs w:val="28"/>
        </w:rPr>
        <w:t>döntéshozatalért az Európai Unió Bíróságához. Amennyiben nincs ilyen, kérdésként tehető fel a résztvevőknek, vajon mi ennek az oka.</w:t>
      </w:r>
    </w:p>
    <w:p w:rsidR="00FE75B5" w:rsidRDefault="00FE75B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válasz a következő: az ilyen tárgyú eljárások aligha teremtenek olyan helyzeteket, amelyek kapcsán indokolt volna a Bírós</w:t>
      </w:r>
      <w:r>
        <w:rPr>
          <w:rFonts w:ascii="Times New Roman" w:hAnsi="Times New Roman" w:cs="Times New Roman"/>
          <w:sz w:val="28"/>
          <w:szCs w:val="28"/>
        </w:rPr>
        <w:t>ághoz fordulni. A Rendelet alapján a magyarázat egyszerű. A jogszabály annyira friss, hogy nem alakulhattak még ki jogviták az értelmezése körül.</w:t>
      </w:r>
    </w:p>
    <w:p w:rsidR="00FE75B5" w:rsidRDefault="00FE75B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Test"/>
        <w:pageBreakBefore/>
        <w:shd w:val="clear" w:color="auto" w:fill="DED888"/>
        <w:spacing w:after="160"/>
        <w:jc w:val="center"/>
        <w:rPr>
          <w:rFonts w:ascii="Times New Roman" w:hAnsi="Times New Roman"/>
          <w:bCs/>
          <w:color w:val="2F5496"/>
          <w:sz w:val="32"/>
          <w:szCs w:val="28"/>
          <w:lang w:val="fr-FR"/>
        </w:rPr>
      </w:pPr>
      <w:r>
        <w:rPr>
          <w:rFonts w:ascii="Times New Roman" w:hAnsi="Times New Roman"/>
          <w:bCs/>
          <w:color w:val="2F5496"/>
          <w:sz w:val="32"/>
          <w:szCs w:val="28"/>
          <w:lang w:val="fr-FR"/>
        </w:rPr>
        <w:t xml:space="preserve">D. </w:t>
      </w:r>
      <w:proofErr w:type="spellStart"/>
      <w:r>
        <w:rPr>
          <w:rFonts w:ascii="Times New Roman" w:hAnsi="Times New Roman"/>
          <w:bCs/>
          <w:color w:val="2F5496"/>
          <w:sz w:val="32"/>
          <w:szCs w:val="28"/>
          <w:lang w:val="fr-FR"/>
        </w:rPr>
        <w:t>Megoldások</w:t>
      </w:r>
      <w:proofErr w:type="spellEnd"/>
    </w:p>
    <w:p w:rsidR="00FE75B5" w:rsidRDefault="005C2807">
      <w:pPr>
        <w:pStyle w:val="Norml"/>
        <w:suppressAutoHyphens w:val="0"/>
        <w:spacing w:after="160" w:line="276" w:lineRule="auto"/>
        <w:textAlignment w:val="auto"/>
        <w:rPr>
          <w:rFonts w:hint="eastAsia"/>
        </w:rPr>
      </w:pPr>
      <w:r>
        <w:rPr>
          <w:rStyle w:val="Kiemels2"/>
          <w:rFonts w:ascii="Times New Roman" w:eastAsia="Calibri" w:hAnsi="Times New Roman" w:cs="Times New Roman"/>
          <w:color w:val="2F5496"/>
          <w:kern w:val="0"/>
          <w:sz w:val="28"/>
          <w:szCs w:val="28"/>
          <w:lang w:val="fr-FR" w:eastAsia="en-US" w:bidi="ar-SA"/>
        </w:rPr>
        <w:t>A.</w:t>
      </w:r>
      <w:r>
        <w:rPr>
          <w:rStyle w:val="Kiemels2"/>
          <w:rFonts w:ascii="Times New Roman" w:eastAsia="Calibri" w:hAnsi="Times New Roman" w:cs="Times New Roman"/>
          <w:color w:val="2F5496"/>
          <w:kern w:val="0"/>
          <w:sz w:val="28"/>
          <w:szCs w:val="28"/>
          <w:lang w:val="fr-FR" w:eastAsia="en-US" w:bidi="ar-SA"/>
        </w:rPr>
        <w:tab/>
        <w:t xml:space="preserve">I. 1. </w:t>
      </w:r>
      <w:proofErr w:type="spellStart"/>
      <w:r>
        <w:rPr>
          <w:rStyle w:val="Kiemels2"/>
          <w:rFonts w:ascii="Times New Roman" w:eastAsia="Calibri" w:hAnsi="Times New Roman" w:cs="Times New Roman"/>
          <w:color w:val="2F5496"/>
          <w:kern w:val="0"/>
          <w:sz w:val="28"/>
          <w:szCs w:val="28"/>
          <w:lang w:val="fr-FR" w:eastAsia="en-US" w:bidi="ar-SA"/>
        </w:rPr>
        <w:t>jogeset</w:t>
      </w:r>
      <w:proofErr w:type="spellEnd"/>
    </w:p>
    <w:p w:rsidR="00FE75B5" w:rsidRDefault="005C2807">
      <w:pPr>
        <w:pStyle w:val="Norml"/>
        <w:suppressAutoHyphens w:val="0"/>
        <w:spacing w:after="160" w:line="276" w:lineRule="auto"/>
        <w:textAlignment w:val="auto"/>
        <w:rPr>
          <w:rFonts w:hint="eastAsia"/>
        </w:rPr>
      </w:pPr>
      <w:proofErr w:type="spellStart"/>
      <w:r>
        <w:rPr>
          <w:rStyle w:val="Kiemels2"/>
          <w:rFonts w:ascii="Times New Roman" w:eastAsia="Calibri" w:hAnsi="Times New Roman" w:cs="Times New Roman"/>
          <w:color w:val="2F5496"/>
          <w:kern w:val="0"/>
          <w:sz w:val="28"/>
          <w:szCs w:val="28"/>
          <w:lang w:val="fr-FR" w:eastAsia="en-US" w:bidi="ar-SA"/>
        </w:rPr>
        <w:t>Kérdések</w:t>
      </w:r>
      <w:proofErr w:type="spellEnd"/>
      <w:r>
        <w:rPr>
          <w:rStyle w:val="Kiemels2"/>
          <w:rFonts w:ascii="Times New Roman" w:eastAsia="Calibri" w:hAnsi="Times New Roman" w:cs="Times New Roman"/>
          <w:color w:val="2F5496"/>
          <w:kern w:val="0"/>
          <w:sz w:val="28"/>
          <w:szCs w:val="28"/>
          <w:lang w:val="fr-FR" w:eastAsia="en-US" w:bidi="ar-SA"/>
        </w:rPr>
        <w:t>:</w:t>
      </w: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1.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Az Ön jogrendszere milyen biztosítási intézkedésre biztos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>ít lehetőséget, illetve hogyan szabályozza az elkobzást?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kérdés lényegében a nemzeti büntetőeljárási jogra vonatkozik. Célja, hogy ráirányítsa a résztvevők figyelmét a biztonsági intézkedésekre és az elkobzásra vonatkozó nemzeti jogi szabályozásukra. A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jogeset ezen felül azt is szemlélteti, mennyire eltérő még mindig e területen az egyes tagállamok belső szabályozása. E téren a közvetlen hatályú Rendelet hoz változást.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2.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Mielőtt a cseh nyomozóhatóság őrizetbe vétel iránt intézkedne és 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>figyelmeztetné az elkövetőket arra, hogy tartózkodási helyük ismert, zár alá kívánja venni a bűncselekményből származó bevételt a későbbi vagyonelkobzás biztosítása céljából. Mit tehet a cseh nyomozóhatóság?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Mielőtt az adott hatóság biztosítási intézkedés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t rendelne el, ismernie kell a lefoglalható vagyon helyét. Általánosságban az Európai Unió területére nem adható ki ilyen tárgyú határozat. A cseh hatóságoknak először tisztázniuk kell, vajon fellelhetők-e Cipruson vagyontárgyak. Ezt adatszolgáltatás vagy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bizonyítás lefolytatása iránti jogsegélykérelem útján tehetik meg a kölcsönös jogsegélyről született 2000. évi EU egyezmény alapján vagy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európai nyomozási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határozattal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. Sajnos nem létezik olyan jogi eszköz, amelynek alapján a vagyontárgyak fellelhetőségére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vonatkozó adatok közvetlenül beszerezhetőek lennének.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3.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Mely jogintézmény alkalmazásának van helye?</w:t>
      </w:r>
    </w:p>
    <w:p w:rsidR="00FE75B5" w:rsidRDefault="00FE75B5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2020. december 19. napját megelőzően a 2003/577. kerethatározat alkalmazandó. Azt követően a 2018/1805. rendelet.</w:t>
      </w:r>
    </w:p>
    <w:p w:rsidR="00FE75B5" w:rsidRDefault="00FE75B5">
      <w:pPr>
        <w:pStyle w:val="Norml"/>
        <w:spacing w:line="276" w:lineRule="auto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2002/577. kerethatározat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egyik jogalkotói célja, hogy a későbbi elkobzás biztosítása érdekében zár alá lehessen venni vagyontárgyakat. A prágai ügyész szándékában pontosan ez áll (Kerethatározat 2. cikk). Az eljárás tárgyát képező cselekmények emberkereskedelemnek, gyermekek sérel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mére elkövetett szexuális kizsákmányolásnak és bűnszervezetben való részvételnek minősülnek. Mindhárom szerepel a Kerethatározat 3. cikke (2) bekezdésének felsorolásában, amelyek esetében nem vizsgálandó a kettős büntethetőség kérdése.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KH 2. és 3. cikke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voltaképpen ugyanazt a rendelkezést tartalmazza eltérő megfogalmazásban.</w:t>
      </w:r>
    </w:p>
    <w:p w:rsidR="00FE75B5" w:rsidRDefault="00FE75B5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4.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Milyen módon és kinek küldendő a jogsegélykérelem?</w:t>
      </w:r>
    </w:p>
    <w:p w:rsidR="00FE75B5" w:rsidRDefault="00FE75B5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KH 4. cikke értelmében a biztosítási intézkedést elrendelő határozatot (a tanúsítvány alkalmazásával) közvetlenül kü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ldi meg a kibocsátó hatóság a hatáskörrel és illetékességgel rendelkező végrehajtó hatóság részére. A 4. cikk leszögezi: a megkeresett kizárólag igazságügyi hatóság lehet. A bírói felügyelet meglététől függően (lásd az európai elfogatóparancsról szóló rész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ben hivatkozott Bob-Dogi ügyet) a prágai ügyészség megküldheti a határozatot Ciprusnak.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Kinek küldendő a jogsegélykérelem? Az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Európai Igazságügyi Hálózat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Hiperhivatkozs"/>
            <w:rFonts w:ascii="Times New Roman" w:hAnsi="Times New Roman"/>
            <w:sz w:val="28"/>
            <w:szCs w:val="28"/>
            <w:shd w:val="clear" w:color="auto" w:fill="FFFFFF"/>
          </w:rPr>
          <w:t>Igazság</w:t>
        </w:r>
        <w:bookmarkStart w:id="3" w:name="_Hlt89757958"/>
        <w:bookmarkStart w:id="4" w:name="_Hlt89757959"/>
        <w:r>
          <w:rPr>
            <w:rStyle w:val="Hiperhivatkozs"/>
            <w:rFonts w:ascii="Times New Roman" w:hAnsi="Times New Roman"/>
            <w:sz w:val="28"/>
            <w:szCs w:val="28"/>
            <w:shd w:val="clear" w:color="auto" w:fill="FFFFFF"/>
          </w:rPr>
          <w:t>ü</w:t>
        </w:r>
        <w:bookmarkEnd w:id="3"/>
        <w:bookmarkEnd w:id="4"/>
        <w:r>
          <w:rPr>
            <w:rStyle w:val="Hiperhivatkozs"/>
            <w:rFonts w:ascii="Times New Roman" w:hAnsi="Times New Roman"/>
            <w:sz w:val="28"/>
            <w:szCs w:val="28"/>
            <w:shd w:val="clear" w:color="auto" w:fill="FFFFFF"/>
          </w:rPr>
          <w:t>gyi atlas</w:t>
        </w:r>
        <w:r>
          <w:rPr>
            <w:rStyle w:val="Hiperhivatkozs"/>
            <w:rFonts w:ascii="Times New Roman" w:hAnsi="Times New Roman"/>
            <w:sz w:val="28"/>
            <w:szCs w:val="28"/>
            <w:shd w:val="clear" w:color="auto" w:fill="FFFFFF"/>
          </w:rPr>
          <w:t>zának</w:t>
        </w:r>
      </w:hyperlink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három kategóriája közül választhatunk:</w:t>
      </w:r>
    </w:p>
    <w:p w:rsidR="00FE75B5" w:rsidRDefault="005C2807">
      <w:pPr>
        <w:pStyle w:val="Norml"/>
        <w:spacing w:line="225" w:lineRule="atLeast"/>
        <w:jc w:val="both"/>
        <w:rPr>
          <w:rFonts w:hint="eastAsia"/>
        </w:rPr>
      </w:pP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val="en-GB" w:eastAsia="nl-NL"/>
        </w:rPr>
        <w:t xml:space="preserve">501. Sequestration of assets </w:t>
      </w: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(Vagyontárgyak elkobzása)</w:t>
      </w:r>
    </w:p>
    <w:p w:rsidR="00FE75B5" w:rsidRDefault="005C2807">
      <w:pPr>
        <w:pStyle w:val="Norml"/>
        <w:jc w:val="both"/>
        <w:rPr>
          <w:rFonts w:hint="eastAsia"/>
        </w:rPr>
      </w:pPr>
      <w:r>
        <w:rPr>
          <w:rStyle w:val="Bekezdsalapbettpusa"/>
          <w:rFonts w:ascii="Times New Roman" w:eastAsia="Times New Roman" w:hAnsi="Times New Roman" w:cs="Times New Roman"/>
          <w:noProof/>
          <w:color w:val="0000FF"/>
          <w:sz w:val="20"/>
          <w:szCs w:val="20"/>
          <w:lang w:val="en-GB" w:eastAsia="nl-NL"/>
        </w:rPr>
        <w:drawing>
          <wp:inline distT="0" distB="0" distL="0" distR="0">
            <wp:extent cx="103500" cy="103500"/>
            <wp:effectExtent l="0" t="0" r="0" b="0"/>
            <wp:docPr id="1" name="Afbeelding 1" descr="Click to view con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0" cy="103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75B5" w:rsidRDefault="005C2807">
      <w:pPr>
        <w:pStyle w:val="Norml"/>
        <w:spacing w:line="225" w:lineRule="atLeast"/>
        <w:jc w:val="both"/>
        <w:rPr>
          <w:rFonts w:hint="eastAsia"/>
        </w:rPr>
      </w:pP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val="en-GB" w:eastAsia="nl-NL"/>
        </w:rPr>
        <w:t>502. Freezing of bank accounts (</w:t>
      </w: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Bankszámla befagyasztása)</w:t>
      </w:r>
    </w:p>
    <w:p w:rsidR="00FE75B5" w:rsidRDefault="005C2807">
      <w:pPr>
        <w:pStyle w:val="Norml"/>
        <w:jc w:val="both"/>
        <w:rPr>
          <w:rFonts w:hint="eastAsia"/>
        </w:rPr>
      </w:pPr>
      <w:r>
        <w:rPr>
          <w:rStyle w:val="Bekezdsalapbettpusa"/>
          <w:rFonts w:ascii="Times New Roman" w:eastAsia="Times New Roman" w:hAnsi="Times New Roman" w:cs="Times New Roman"/>
          <w:noProof/>
          <w:color w:val="0000FF"/>
          <w:sz w:val="20"/>
          <w:szCs w:val="20"/>
          <w:lang w:val="en-GB" w:eastAsia="nl-NL"/>
        </w:rPr>
        <w:drawing>
          <wp:inline distT="0" distB="0" distL="0" distR="0">
            <wp:extent cx="103500" cy="103500"/>
            <wp:effectExtent l="0" t="0" r="0" b="0"/>
            <wp:docPr id="2" name="Afbeelding 3" descr="Click to view con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0" cy="103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75B5" w:rsidRDefault="005C2807">
      <w:pPr>
        <w:pStyle w:val="Norml"/>
        <w:spacing w:line="225" w:lineRule="atLeast"/>
        <w:jc w:val="both"/>
        <w:rPr>
          <w:rFonts w:hint="eastAsia"/>
        </w:rPr>
      </w:pP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val="en-GB" w:eastAsia="nl-NL"/>
        </w:rPr>
        <w:t xml:space="preserve">504. Interim measures in view of confiscation </w:t>
      </w: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(Ideiglenes intézkedés az elkobzás </w:t>
      </w:r>
      <w:r>
        <w:rPr>
          <w:rStyle w:val="Bekezdsalapbettpusa"/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biztosítására)</w:t>
      </w:r>
    </w:p>
    <w:p w:rsidR="00FE75B5" w:rsidRDefault="005C2807">
      <w:pPr>
        <w:pStyle w:val="Norml"/>
        <w:spacing w:after="160"/>
        <w:jc w:val="both"/>
        <w:rPr>
          <w:rFonts w:hint="eastAsia"/>
        </w:rPr>
      </w:pPr>
      <w:r>
        <w:rPr>
          <w:rStyle w:val="Bekezdsalapbettpusa"/>
          <w:rFonts w:ascii="Times New Roman" w:eastAsia="Times New Roman" w:hAnsi="Times New Roman" w:cs="Times New Roman"/>
          <w:noProof/>
          <w:color w:val="0000FF"/>
          <w:sz w:val="20"/>
          <w:szCs w:val="20"/>
          <w:lang w:val="en-GB" w:eastAsia="nl-NL"/>
        </w:rPr>
        <w:drawing>
          <wp:inline distT="0" distB="0" distL="0" distR="0">
            <wp:extent cx="103500" cy="103500"/>
            <wp:effectExtent l="0" t="0" r="0" b="0"/>
            <wp:docPr id="3" name="Afbeelding 4" descr="Click to view con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0" cy="103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Mindhárom kategória szóba jöhet, tehát valamennyit célszerű megvizsgálni, és majd meglátjuk, azonos hatósághoz jutunk-e a különböző kategóriákban. Ez esetben a helyes megoldás: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FE75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Név:               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Pénzmosás elleni küzdelem osztálya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 xml:space="preserve"> (Unit for Combating      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Money Laundering) (MOKAS)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Cím:              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Law Office of the Republic, P.O.Box 23768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>Fősztály: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Település:     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Nicosia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Irányítószám: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1686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Telefonszám: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+357 22446018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>Mobiltelefonszám: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Faxszám:      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+357 22317063</w:t>
            </w:r>
          </w:p>
          <w:p w:rsidR="00FE75B5" w:rsidRDefault="005C2807">
            <w:pPr>
              <w:pStyle w:val="Norml"/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E-mail cím:  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mokas@mokas.law.gov.cy</w:t>
            </w:r>
          </w:p>
        </w:tc>
      </w:tr>
    </w:tbl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A 2018/1805. rendelet 4. cikke alapján a tanúsítványt közvetlenül a végrehajtó hatóság részére kell megküldeni. Még nem tudhatjuk (2020. május 31-én), vajo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n Ciprus bocsátott-e ki a Rendelet 24. cikkének (2) bekezdése szerinti nyilatkozatot, de az sem, hogy az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Európai Igazságügyi Hálózat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honlapján található-e már anyag a Rendelettel kapcsolatban. Ezen rendelkezés értelmében a tagállamok hatáskörrel és illeték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ességgel rendelkező központi hatóságot jelölhetnek ki.</w:t>
      </w:r>
    </w:p>
    <w:p w:rsidR="00FE75B5" w:rsidRDefault="00FE75B5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5.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Hogyan veszik zár alá a ciprusi hatóságok a vagyontárgyakat?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KH 5. cikke alapján Ciprusnak nemzeti jogszabályán alapuló bármely, további formális megkötés nélkül el kell ismernie a bizto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sítási intézkedést elrendelő határozatot, hacsak nincs helye a jogsegélykérelem visszautasításának. A jogesetleírásból nem következik visszautasítási ok. Hasonló rendelkezést tartalmaz a Rendelet 7. és 23. cikke a biztosítási intézkedések vonatkozásában.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6.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Mi a követendő eljárás, ha az orosz honosságú C azt állítja, hogy a lefoglalt yacht nem az ő, hanem fivére tulajdonát képezi?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2003/577. KH 11. cikkének értelmében a tagállamokbeli biztosítási intézkedéssel szemben jogorvoslati lehetőséget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kell biztosítani a jóhiszemű harmadik személynek. A harmadik személy választása szerint fordulhat akár a kibocsátó, akár a végrehajtó tagállamhoz. Az elrendelés jogalapja azonban kizárólag a cseh bíróság előtt támadható, a jogvita eldöntésekor pedig a Cseh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Köztársaság joga az irányadó (11. cikk (3) bekezdés). C fivére a ciprusi bírósághoz is fordulhat keresettel. Ebben az esetben erről értesíteni kell a kibocsátó hatóságot (11. cikk (3) bekezdés).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 Rendelet 33. cikke a biztosítási intézkedés elleni jogorv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oslat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lehetőségét a végrehajtó tagállamban biztosítja. A rendelkezés jogalapja azonban a végrehajtó tagállamban nem támadható (33. cikk (2) bekezdés). A Rendelet 33. cikkének (4) bekezdése egyértelművé teszi, hogy a bűncselekmény elkövetési eszközeinek és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az abból származó jövedelemnek az Európai Unión belüli befagyasztásáról és elkobzásáról szóló 2014/42. irányelv 8. cikke nyomán a kibocsátó tagállamban rendelkezésre álló jogorvoslati lehetőségek az irányadók.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7.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Tegyük fel, hogy a vagyontárgyakra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és javakra elrendelt biztosítási intézkedés óta eltelt két esztendő, és A-t és B-t a bíróság bűnszervezetben elkövetett emberkereskedelem bűntette miatt 15 év szabadságvesztésre ítélték. A prágai bíróság vagyonelkobzást rendelt el arra a bűncselekményből 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>eredő vagyonra, amelyet az elkövetők a bűncselekmény elkövetése során vagy azzal összefüggésben szereztek. C-t felmentették. Mit kér majd a cseh hatóság?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Újabb fejezethez érkeztünk. A büntetőeljárás már ügydöntő határozattal befejeződött. A-t és B-t bűnös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nek mondták ki, C-t felmentették. Ez azt jelenti, hogy A-ra és B-re nézve az ideiglenes intézkedést felválthatja az elkobzás. C vonatkozásban a kibocsátó cseh hatóságok a zár alá vétel feloldásáról tájékoztatják majd a ciprusi hatóságokat (KH 6. cikk (3) b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ekezdés). Ennek következményeképpen a ciprusi hatóságok mielőbb intézkednek a feloldás iránt.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és B esetében elkobzás iránti jogsegélykérelemnek van helye a 2006/783. KH alapján. Az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Európai Igazságügyi Hálózat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honlapján elérhető Atlasz útmutatása alapján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láthatjuk, hogy az elkobzás iránti jogsegélykérelmet is ugyanannak a hatóságnak kell megküldeni. A cseh hatóságok ehhez a KH szerinti tanúsítványt használják.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jc w:val="both"/>
        <w:rPr>
          <w:rFonts w:hint="eastAsia"/>
        </w:rPr>
      </w:pP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A 2018/1805.rendelet 14. cikke akként rendelkezik, hogy a tanúsítványt közvetlenül a végrehajtó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hatóság részére kell megküldeni. Még nem tudhatjuk (2020. május 31-én), hogy Ciprus kibocsájtott-e a Rendelet 24. cikkének (2) bekezdése szerinti nyilatkozatot, de azt sem, vajon az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Európai Igazságügyi Hálózat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honlapján található-e már anyag a Rendelettel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kapcsolatban. Ezen rendelkezés értelmében a tagállamok hatáskörrel és illetékességgel rendelkező központi hatóságot jelölhetnek ki.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8.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Hogyan reagál majd a ciprusi hatóság?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Amint lehetséges, végrehajtják a határozatot a 2006/783. KH 7. cikkének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megfelelően. Az azonban saját döntésükön múlik, hogy meghatározott vagyontárgyra vagy más, hasonló értéket képviselő vagyontárgyra hajtják-e végre az elkobzást (7. cikk (2) bekezdés). A Rendelet 18. cikke ugyanezeket a szabályokat tartja fenn.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Megjegyzés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oktatóknak: Érdekes volna megkérdezni a résztvevőket, az ő hazájukban melyik lehetőséggel élnének. Az alapvető kérdés az, hogy vagyontárgy- vagy érték-alapú vagyonelkobzást alkalmaznak-e.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9.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Hogyan válaszolná meg a fenti kérdéseket, amennyiben 202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>0. december 19. napján vagy azt követően kelne a jogsegélykérelem?</w:t>
      </w:r>
    </w:p>
    <w:p w:rsidR="00FE75B5" w:rsidRDefault="00FE75B5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pStyle w:val="Nor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kibocsátó és a végrehajtó tagállamban egyaránt a Rendelet alkalmazandó. A kérdést a Rendelet alapján már fentebb megválaszoltuk.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bCs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color w:val="4472C4"/>
          <w:sz w:val="28"/>
          <w:szCs w:val="28"/>
        </w:rPr>
        <w:t>II. Feladatok:</w:t>
      </w:r>
    </w:p>
    <w:p w:rsidR="00FE75B5" w:rsidRDefault="00FE75B5">
      <w:pPr>
        <w:pStyle w:val="Norml"/>
        <w:spacing w:line="276" w:lineRule="auto"/>
        <w:jc w:val="both"/>
        <w:rPr>
          <w:rFonts w:ascii="Times New Roman" w:hAnsi="Times New Roman"/>
          <w:b/>
          <w:bCs/>
          <w:color w:val="4472C4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4472C4"/>
          <w:sz w:val="28"/>
          <w:szCs w:val="28"/>
        </w:rPr>
        <w:t xml:space="preserve">Határozza meg a hatáskörrel és </w:t>
      </w:r>
      <w:r>
        <w:rPr>
          <w:rStyle w:val="StrongEmphasis"/>
          <w:rFonts w:ascii="Times New Roman" w:hAnsi="Times New Roman"/>
          <w:color w:val="4472C4"/>
          <w:sz w:val="28"/>
          <w:szCs w:val="28"/>
        </w:rPr>
        <w:t>illetékességgel rendelkező végrehajtó szervet és a tanúsítvány kiállításánál alkalmazandó nyelvet az alábbi esetekben: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iCs/>
          <w:sz w:val="28"/>
          <w:szCs w:val="28"/>
        </w:rPr>
        <w:t>1. Az olaszországi Bolognában működő ügyész zár alá vételt kíván elrendelni a belgiumi Liège-ben is tevékenykedő maffiaszervezet tulajdo</w:t>
      </w:r>
      <w:r>
        <w:rPr>
          <w:rStyle w:val="StrongEmphasis"/>
          <w:rFonts w:ascii="Times New Roman" w:hAnsi="Times New Roman"/>
          <w:b w:val="0"/>
          <w:bCs w:val="0"/>
          <w:i/>
          <w:iCs/>
          <w:sz w:val="28"/>
          <w:szCs w:val="28"/>
        </w:rPr>
        <w:t>nában lévő néhány Ferrarira.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olaszországi kibocsátó hatóság a következő: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FE75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 w:rsidRPr="004E4364"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 xml:space="preserve">Név:                           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 xml:space="preserve">A bolognai elsőfokú bíróság mellett működő ügyészség </w:t>
            </w: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(Office of the Public Prosecutor attached to the Court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first instance of Bologna)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Cím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 xml:space="preserve">               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Via Garibaldi 6</w:t>
            </w:r>
          </w:p>
          <w:p w:rsidR="00FE75B5" w:rsidRPr="004E4364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</w:pPr>
            <w:r w:rsidRPr="004E4364"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>Főosztály: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 w:rsidRPr="004E4364"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>Település:</w:t>
            </w:r>
            <w:r w:rsidRPr="004E4364">
              <w:rPr>
                <w:rStyle w:val="Bekezdsalapbettpusa"/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4364"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Bologna</w:t>
            </w:r>
          </w:p>
          <w:p w:rsidR="00FE75B5" w:rsidRPr="004E4364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</w:pPr>
            <w:r w:rsidRPr="004E4364">
              <w:rPr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>Irányítószám: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 w:rsidRPr="004E4364"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</w:rPr>
              <w:t>Telefonszám:</w:t>
            </w:r>
            <w:r w:rsidRPr="004E4364"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ab/>
              <w:t xml:space="preserve">      051201111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 w:rsidRPr="004E4364"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de-DE"/>
              </w:rPr>
              <w:t>Mobiltelefonszám:</w:t>
            </w:r>
          </w:p>
          <w:p w:rsidR="00FE75B5" w:rsidRPr="004E4364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de-DE"/>
              </w:rPr>
            </w:pPr>
            <w:r w:rsidRPr="004E4364"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de-DE"/>
              </w:rPr>
              <w:t>Faxszám: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 w:rsidRPr="004E4364"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de-DE"/>
              </w:rPr>
              <w:t xml:space="preserve">E-mail cím: </w:t>
            </w:r>
            <w:r w:rsidRPr="004E4364"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 xml:space="preserve">     procura.bologna@giustizia.it</w:t>
            </w:r>
          </w:p>
        </w:tc>
      </w:tr>
    </w:tbl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határozatot a következőnek küldi: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FE75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 w:rsidRPr="004E4364"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de-DE"/>
              </w:rPr>
              <w:t>Név:</w:t>
            </w:r>
            <w:r w:rsidRPr="004E4364"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  <w:r w:rsidRPr="004E4364"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de-DE"/>
              </w:rPr>
              <w:tab/>
              <w:t xml:space="preserve">            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Parquet de procureur du Roi de Liège division LIEGE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Cím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 xml:space="preserve">            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Palais de Justice – Annexe Nord Rue de Bruxelles 2/0004</w:t>
            </w:r>
          </w:p>
          <w:p w:rsidR="00FE75B5" w:rsidRDefault="00FE75B5">
            <w:pPr>
              <w:pStyle w:val="Norml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Főosztály</w:t>
            </w:r>
            <w:proofErr w:type="spellEnd"/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Település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:</w:t>
            </w:r>
            <w:r>
              <w:rPr>
                <w:rStyle w:val="Bekezdsalapbettpusa"/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 xml:space="preserve"> 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Liège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Irányítószám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 xml:space="preserve">: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3000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Telefonszám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 xml:space="preserve">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+32(0)4.222.78.22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Mobiltelefonszám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Faxszám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 xml:space="preserve">:               </w:t>
            </w:r>
            <w:r>
              <w:rPr>
                <w:rStyle w:val="Bekezdsalapbettpusa"/>
                <w:rFonts w:ascii="Times New Roman" w:hAnsi="Times New Roman" w:cs="Times New Roman"/>
                <w:bCs/>
                <w:sz w:val="28"/>
                <w:szCs w:val="28"/>
              </w:rPr>
              <w:t>+32(0)4.222.72.47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 xml:space="preserve">E-mail </w:t>
            </w:r>
            <w:proofErr w:type="spellStart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cím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 xml:space="preserve">: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</w:p>
        </w:tc>
      </w:tr>
    </w:tbl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>Ismerjük a Ferrarik li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ège-i feltalálási helyét, így bejelölhetjük a megfelelő rovatot az EIH honlapján. Szintén a honlapon olvashatjuk, hogy a belga hatóságok el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őírják: </w:t>
      </w:r>
      <w:hyperlink r:id="rId9" w:history="1">
        <w:r>
          <w:rPr>
            <w:rStyle w:val="Hiperhivatkozs"/>
            <w:rFonts w:ascii="Times New Roman" w:hAnsi="Times New Roman"/>
            <w:sz w:val="28"/>
            <w:szCs w:val="28"/>
            <w:shd w:val="clear" w:color="auto" w:fill="FFFFFF"/>
          </w:rPr>
          <w:t>„A tanúsítványt holland, francia, német vagy angol nyelven kell kiállítani, vagy ilyen nyelvű fordítással ellátva megküldeni.”</w:t>
        </w:r>
      </w:hyperlink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2. Az ír hatóságokhoz pénzmosásból </w:t>
      </w:r>
      <w:r>
        <w:rPr>
          <w:rStyle w:val="StrongEmphasis"/>
          <w:rFonts w:ascii="Times New Roman" w:hAnsi="Times New Roman"/>
          <w:b w:val="0"/>
          <w:bCs w:val="0"/>
          <w:i/>
          <w:iCs/>
          <w:sz w:val="28"/>
          <w:szCs w:val="28"/>
        </w:rPr>
        <w:t>származó, Corkban befektetett bevétel elkobzása iránti jogsegélykérelem érkezik Luxemburgból.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Nem ismert, melyik luxemburgi hatóság a jogsegélykérelem kibocsátója. Ez lehet akár a Diekirch-i, de a Luxembourgi Városi Bíróság is.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 xml:space="preserve">Nem világos, melyik ír </w:t>
      </w:r>
      <w:r>
        <w:rPr>
          <w:rStyle w:val="Bekezdsalapbettpusa"/>
          <w:rFonts w:ascii="Times New Roman" w:hAnsi="Times New Roman"/>
          <w:sz w:val="28"/>
          <w:szCs w:val="28"/>
        </w:rPr>
        <w:t xml:space="preserve">hatóságnak küldendő meg az elkobzást elrendelő határozat, mivel az EIH honlap tájékoztatása szerint a 2006/783. KH átültetése még mindig folyamatban van. Lásd a </w:t>
      </w:r>
      <w:r>
        <w:fldChar w:fldCharType="begin"/>
      </w:r>
      <w:r>
        <w:instrText xml:space="preserve"> HYPERLINK  "https://www.ejn-crimjust.europa.eu/ejn/EJN_Library_StatusOfImpByCat.aspx?l=EN&amp;Ca</w:instrText>
      </w:r>
      <w:r>
        <w:instrText xml:space="preserve">tegoryId=34" </w:instrText>
      </w:r>
      <w:r>
        <w:rPr>
          <w:rFonts w:hint="eastAsia"/>
        </w:rPr>
        <w:fldChar w:fldCharType="separate"/>
      </w:r>
      <w:r>
        <w:rPr>
          <w:rStyle w:val="Hiperhivatkozs"/>
          <w:rFonts w:ascii="Times New Roman" w:hAnsi="Times New Roman"/>
          <w:sz w:val="28"/>
          <w:szCs w:val="28"/>
        </w:rPr>
        <w:t>KH átültetésének jelenlegi státuszát</w:t>
      </w:r>
      <w:r>
        <w:rPr>
          <w:rStyle w:val="Hiperhivatkozs"/>
          <w:rFonts w:ascii="Times New Roman" w:hAnsi="Times New Roman"/>
          <w:sz w:val="28"/>
          <w:szCs w:val="28"/>
        </w:rPr>
        <w:fldChar w:fldCharType="end"/>
      </w:r>
      <w:r>
        <w:rPr>
          <w:rStyle w:val="Bekezdsalapbettpusa"/>
          <w:rFonts w:ascii="Times New Roman" w:hAnsi="Times New Roman"/>
          <w:sz w:val="28"/>
          <w:szCs w:val="28"/>
        </w:rPr>
        <w:t xml:space="preserve">.  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Amikor 2020. május 31-én utánanéztem az EJN oldalon jelezték, hogy az utolsó frissítésre 2020. május 27-én került sor. Az információ tehát igazán friss!</w:t>
      </w: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 xml:space="preserve">Az alkalmazandó nyelv az </w:t>
      </w:r>
      <w:r>
        <w:fldChar w:fldCharType="begin"/>
      </w:r>
      <w:r>
        <w:instrText xml:space="preserve"> HYPERLINK  "https://</w:instrText>
      </w:r>
      <w:r>
        <w:instrText xml:space="preserve">www.ejn-crimjust.europa.eu/ejn/libdocumentproperties/EN/1811" </w:instrText>
      </w:r>
      <w:r>
        <w:rPr>
          <w:rFonts w:hint="eastAsia"/>
        </w:rPr>
        <w:fldChar w:fldCharType="separate"/>
      </w:r>
      <w:r>
        <w:rPr>
          <w:rStyle w:val="Hiperhivatkozs"/>
          <w:rFonts w:ascii="Times New Roman" w:hAnsi="Times New Roman"/>
          <w:sz w:val="28"/>
          <w:szCs w:val="28"/>
        </w:rPr>
        <w:t>ír vagy az angol</w:t>
      </w:r>
      <w:r>
        <w:rPr>
          <w:rStyle w:val="Hiperhivatkozs"/>
          <w:rFonts w:ascii="Times New Roman" w:hAnsi="Times New Roman"/>
          <w:sz w:val="28"/>
          <w:szCs w:val="28"/>
        </w:rPr>
        <w:fldChar w:fldCharType="end"/>
      </w:r>
      <w:r>
        <w:rPr>
          <w:rStyle w:val="Bekezdsalapbettpusa"/>
          <w:rFonts w:ascii="Times New Roman" w:hAnsi="Times New Roman"/>
          <w:sz w:val="28"/>
          <w:szCs w:val="28"/>
        </w:rPr>
        <w:t>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iCs/>
          <w:sz w:val="28"/>
          <w:szCs w:val="28"/>
        </w:rPr>
        <w:t>3. Egy spanyol ügyész sikeresen emelt vádat egy hamisítói csoport ellen, ezt követően jut tudomására, hogy több millió eurót helyeztek el egy koppenhágai bankban.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Nagyon val</w:t>
      </w:r>
      <w:r>
        <w:rPr>
          <w:rFonts w:ascii="Times New Roman" w:hAnsi="Times New Roman"/>
          <w:sz w:val="28"/>
          <w:szCs w:val="28"/>
        </w:rPr>
        <w:t>ószínű, hogy a spanyol ügyész célja az elkobzás. Az esetleírásban olvasható, hogy a vádemelés sikeres volt, tehát az elítélés előre borítékolható. Spanyolország azonban decentralizálta a jogsegélykérelmi odafordulási lehetőségeket. Ha tehát nem ismerjük az</w:t>
      </w:r>
      <w:r>
        <w:rPr>
          <w:rFonts w:ascii="Times New Roman" w:hAnsi="Times New Roman"/>
          <w:sz w:val="28"/>
          <w:szCs w:val="28"/>
        </w:rPr>
        <w:t xml:space="preserve"> ügyészség székhelyét, a kérdésre nem tudunk választ adni.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EIH honlapján szükségszerűen olyan rovatokat kell kipipálnunk, amelyek többféleképpen értelmezhetők. Mégis azonos eredményhez jutunk akár a 2006/783 KH, akár a 2000. évi EU Egyezmény kiválasztá</w:t>
      </w:r>
      <w:r>
        <w:rPr>
          <w:rFonts w:ascii="Times New Roman" w:hAnsi="Times New Roman"/>
          <w:sz w:val="28"/>
          <w:szCs w:val="28"/>
        </w:rPr>
        <w:t>sakor: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FE75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Name: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proofErr w:type="spellStart"/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>Igazságügyi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>Minisztérium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Ministry of Justice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Address: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proofErr w:type="spellStart"/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>Slotsholmsgade</w:t>
            </w:r>
            <w:proofErr w:type="spellEnd"/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Department (Division):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City:</w:t>
            </w: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Copenhagen K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Postal code:</w:t>
            </w: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>1216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Phone number: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0045 72 26 84 00</w:t>
            </w: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Mobile phone: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Fax number: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0045 33 93 35 10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Email Address: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jm@jm.dk</w:t>
            </w:r>
          </w:p>
        </w:tc>
      </w:tr>
    </w:tbl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/>
          <w:sz w:val="28"/>
          <w:szCs w:val="28"/>
        </w:rPr>
        <w:t xml:space="preserve">Az EIH </w:t>
      </w:r>
      <w:r>
        <w:rPr>
          <w:rStyle w:val="Bekezdsalapbettpusa"/>
          <w:rFonts w:ascii="Times New Roman" w:hAnsi="Times New Roman"/>
          <w:sz w:val="28"/>
          <w:szCs w:val="28"/>
        </w:rPr>
        <w:t xml:space="preserve">honlapjáról megtudhatjuk, hogy a dán hatóságok </w:t>
      </w:r>
      <w:hyperlink r:id="rId10" w:history="1">
        <w:r>
          <w:rPr>
            <w:rStyle w:val="Hiperhivatkozs"/>
            <w:rFonts w:ascii="Times New Roman" w:hAnsi="Times New Roman"/>
            <w:sz w:val="28"/>
            <w:szCs w:val="28"/>
          </w:rPr>
          <w:t>dán nyelven</w:t>
        </w:r>
      </w:hyperlink>
      <w:r>
        <w:rPr>
          <w:rStyle w:val="Bekezdsalapbettpusa"/>
          <w:rFonts w:ascii="Times New Roman" w:hAnsi="Times New Roman"/>
          <w:sz w:val="28"/>
          <w:szCs w:val="28"/>
        </w:rPr>
        <w:t xml:space="preserve"> kérik a jogsegélykérelmeket megküldeni.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iCs/>
          <w:sz w:val="28"/>
          <w:szCs w:val="28"/>
        </w:rPr>
        <w:t>4. Mely esetben válaszolna eltérően 2020. december 19. napját követően?</w:t>
      </w:r>
    </w:p>
    <w:p w:rsidR="00FE75B5" w:rsidRDefault="00FE7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Mint már említettük, nem tudhatjuk, milyen tartalmú nyilatkozatokat bocsátanak ki a tagállamok a 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2018/1805. rendelet 24. cikkének (2) bekezdése alapján a hatáskörrel és illetékességgel rendelkező kibocsátó és végrehajtó hatóságok tárgyában. Az azonban is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mert tény, hogy a 2018/1805. rendelet Írországban és Dániában nem alkalmazható. Következésképpen e két tagállamban változás bizonyosan nem lesz.</w:t>
      </w:r>
    </w:p>
    <w:p w:rsidR="00FE75B5" w:rsidRDefault="00FE7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eop"/>
          <w:rFonts w:ascii="Times New Roman" w:hAnsi="Times New Roman"/>
          <w:b/>
          <w:bCs/>
          <w:color w:val="4472C4"/>
          <w:sz w:val="28"/>
          <w:szCs w:val="28"/>
          <w:shd w:val="clear" w:color="auto" w:fill="FFFFFF"/>
        </w:rPr>
        <w:t>A. III. 2. jogeset, az 1. jogeset folytatása:</w:t>
      </w:r>
    </w:p>
    <w:p w:rsidR="00FE75B5" w:rsidRDefault="00FE75B5">
      <w:pPr>
        <w:spacing w:line="276" w:lineRule="auto"/>
        <w:jc w:val="both"/>
        <w:rPr>
          <w:rFonts w:ascii="Times New Roman" w:hAnsi="Times New Roman" w:cs="Times New Roman"/>
          <w:b/>
          <w:bCs/>
          <w:color w:val="4472C4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eop"/>
          <w:rFonts w:ascii="Times New Roman" w:hAnsi="Times New Roman"/>
          <w:b/>
          <w:bCs/>
          <w:color w:val="4472C4"/>
          <w:sz w:val="28"/>
          <w:szCs w:val="28"/>
          <w:shd w:val="clear" w:color="auto" w:fill="FFFFFF"/>
        </w:rPr>
        <w:t>Kérdések:</w:t>
      </w:r>
    </w:p>
    <w:p w:rsidR="00FE75B5" w:rsidRDefault="00FE7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1.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Mi a jogsegélykérelem alapja?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pStyle w:val="Textbody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Az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elkobzás iránti jogsegélykérelem alapját a 2006/783. KH képezi. A hatóságoknak az e jogszabályhoz mellékelt tanúsítványt kell használniuk.</w:t>
      </w:r>
    </w:p>
    <w:p w:rsidR="00FE75B5" w:rsidRDefault="005C2807">
      <w:pPr>
        <w:pStyle w:val="Textbody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2020. december 19. napja óta a 2018/1805. rendelet szolgáltatja a jogalapot. 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A 2018/1805. rendelet 4. cikke alapján a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tanúsítványt közvetlenül a végrehajtó hatóság részére kell megküldeni. Még nem tudhatjuk (2020. május 31-én), vajon Svédország vagy Málta bocsátott-e ki a Rendelet 24. cikkének (2) bekezdése szerinti nyilatkozatot, de az sem, vajon az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Európai Igazságügyi 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Hálózat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honlapján közzétettek-e már anyagot a Rendelettel kapcsolatban. A hivatkozott rendelkezés értelmében a tagállamok kijelölhetnek hatáskörrel és illetékességgel rendelkező központi hatóságot.</w:t>
      </w: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2.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Mely hatóságok érintettek mindkét oldalon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?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Az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esetleírás nem ad támpontot a svéd nyomozás helyszínéről. Máltával kapcsolatban azt találjuk, hogy a hatáskörrel és illetékességgel rendelkező hatóság Vallettában található. Tehát az szükségképpen az alábbi: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FE75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Name: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 xml:space="preserve">Legfőbb Ügyész Hivatala (Office of the 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</w:rPr>
              <w:t>Attorney General)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Address: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The Palace</w:t>
            </w: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Department (Division):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City:</w:t>
            </w:r>
            <w:r>
              <w:rPr>
                <w:rStyle w:val="Bekezdsalapbettpusa"/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Valletta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Postal code:</w:t>
            </w: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ab/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>CMR0002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Phone number: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+356 21 238189 / 235315 / 225401 / 225402</w:t>
            </w:r>
          </w:p>
          <w:p w:rsidR="00FE75B5" w:rsidRDefault="005C2807">
            <w:pPr>
              <w:pStyle w:val="Norml"/>
              <w:jc w:val="both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Mobile phone: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Fax number: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+356 21 240738</w:t>
            </w:r>
          </w:p>
          <w:p w:rsidR="00FE75B5" w:rsidRDefault="005C2807">
            <w:pPr>
              <w:pStyle w:val="Norml"/>
              <w:jc w:val="both"/>
              <w:rPr>
                <w:rFonts w:hint="eastAsia"/>
              </w:rPr>
            </w:pPr>
            <w:r>
              <w:rPr>
                <w:rStyle w:val="Bekezdsalapbettpusa"/>
                <w:rFonts w:ascii="Times New Roman" w:hAnsi="Times New Roman" w:cs="Times New Roman"/>
                <w:b/>
                <w:color w:val="2F5496"/>
                <w:sz w:val="28"/>
                <w:szCs w:val="28"/>
                <w:lang w:val="en-GB"/>
              </w:rPr>
              <w:t>Email Address:</w:t>
            </w:r>
            <w:r>
              <w:rPr>
                <w:rStyle w:val="Bekezdsalapbettpusa"/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ag@gov.mt</w:t>
            </w:r>
          </w:p>
        </w:tc>
      </w:tr>
    </w:tbl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Megjegyzés: Ha ezt a résztvevők e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lég gyorsan megoldják, további feladatként kiadható nekik a 2006/783. KH szerinti tanúsítvány kitöltése és az azzal kapcsolatban felmerülő kérdések megfogalmazása. Értelemszerűen 2020. december 19-ét követően a Rendelethez tartozó tanúsítvány töltendő ki.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3.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Mit koboz el a máltai hatóság?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Amint lehetséges, végrehajtják a határozatot a 2006/783. KH 7. cikkének megfelelően. Az azonban saját döntésükön múlik, hogy meghatározott vagyontárgyra vagy hasonló értéket képviselő egyéb vagyonra hajtják-e vég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re az elkobzást (7. cikk (2) bekezdés). A Rendelet 18. cikke ugyanezeket a szabályokat tartja fenn.</w:t>
      </w:r>
    </w:p>
    <w:p w:rsidR="00FE75B5" w:rsidRDefault="00FE75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sz w:val="28"/>
          <w:szCs w:val="28"/>
        </w:rPr>
        <w:t>Megjegyzés oktatóknak: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Érdekes volna megkérdezni a résztvevőket, az ő hazájukban melyik lehetőséggel élnének. Az alapvető kérdés az, hogy vagyontárgy- vagy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 érték-alapú vagyonelkobzást alkalmaznak-e.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4.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Halvarson kifogást emelne az elkobzás ellen. Kinél és hogyan teheti ezt meg?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2006/783.KH 9. cikke értelmében a tagállamokbeli biztosítási intézkedéssel szemben jogorvoslati lehetőséget kell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biztosítani a jóhiszemű harmadik személy számára. A kifogással élő személy választása szerint fordulhat akár a kibocsátó, akár a végrehajtó tagállamhoz. Az elrendelés jogalapja azonban kizárólag a svéd bíróság előtt támadható, a jogvita eldöntésekor pedig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 xml:space="preserve">a svéd jog lesz az irányadó (9. cikk (2) bekezdés). A Rendelet 33. cikke a biztosítási intézkedés elleni jogorvoslat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 xml:space="preserve">lehetőségét a végrehajtó tagállamban biztosítja. A rendelkezés jogalapja a végrehajtó tagállamban nem támadható (33. cikk (2) bekezdés). A 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Rendelet 33. cikkének (4) bekezdése egyértelművé teszi, hogy a bűncselekmény elkövetési eszközeinek és az abból származó jövedelemnek az Európai Unión belüli befagyasztásáról és elkobzásáról szóló 2014/42. irányelv 8. cikke nyomán a kibocsátó tagállamban r</w:t>
      </w:r>
      <w:r>
        <w:rPr>
          <w:rStyle w:val="Bekezdsalapbettpusa"/>
          <w:rFonts w:ascii="Times New Roman" w:hAnsi="Times New Roman" w:cs="Times New Roman"/>
          <w:sz w:val="28"/>
          <w:szCs w:val="28"/>
        </w:rPr>
        <w:t>endelkezésre álló jogorvoslati lehetőségek az irányadók.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</w:rPr>
        <w:t>5.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 xml:space="preserve"> A luxusüdülő másik társtulajdonosa, Ártatlan Márk feddhetetlen előélettel rendelkezik. Soha nem került összetűzésbe a törvénnyel, határidőben megfizette az adót, a bűnügyi nyilvántartásba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</w:rPr>
        <w:t>n pedig nem szerepel. Ártatlan úr nem örül tulajdona elvesztésének, ellene jogi lépéseket kíván tenni. Mit tehet?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Ártatlan úrnak ugyanazok az eszközök állnak a rendelkezésére, mint az elítéltnek a 4. válaszban írtak szerint.</w:t>
      </w:r>
    </w:p>
    <w:p w:rsidR="00FE75B5" w:rsidRDefault="00FE75B5">
      <w:pPr>
        <w:spacing w:line="276" w:lineRule="auto"/>
        <w:jc w:val="both"/>
        <w:rPr>
          <w:rFonts w:hint="eastAsia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i/>
          <w:iCs/>
          <w:color w:val="4472C4"/>
          <w:sz w:val="28"/>
          <w:szCs w:val="28"/>
          <w:shd w:val="clear" w:color="auto" w:fill="FFFFFF"/>
        </w:rPr>
        <w:t>6. kérdés: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  <w:shd w:val="clear" w:color="auto" w:fill="FFFFFF"/>
        </w:rPr>
        <w:t xml:space="preserve"> Hogyan válaszolná 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4472C4"/>
          <w:sz w:val="28"/>
          <w:szCs w:val="28"/>
          <w:shd w:val="clear" w:color="auto" w:fill="FFFFFF"/>
        </w:rPr>
        <w:t>meg a fenti kérdéseket, amennyiben 2020. december 19. napján vagy azt követően kelne a jogsegélykérelem?</w:t>
      </w:r>
    </w:p>
    <w:p w:rsidR="00FE75B5" w:rsidRDefault="00FE75B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B5" w:rsidRDefault="005C2807">
      <w:pPr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 kérdésre a választ már korábban megadtuk. A jogesetben nem olyan tagállam szerepel, amelyben a Rendelet ne lenne alkalmazandó (Dánia, Írország).</w:t>
      </w:r>
    </w:p>
    <w:sectPr w:rsidR="00FE75B5">
      <w:footerReference w:type="default" r:id="rId11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07" w:rsidRDefault="005C2807">
      <w:pPr>
        <w:rPr>
          <w:rFonts w:hint="eastAsia"/>
        </w:rPr>
      </w:pPr>
      <w:r>
        <w:separator/>
      </w:r>
    </w:p>
  </w:endnote>
  <w:endnote w:type="continuationSeparator" w:id="0">
    <w:p w:rsidR="005C2807" w:rsidRDefault="005C2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64" w:rsidRDefault="005C2807">
    <w:pPr>
      <w:pStyle w:val="llb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:rsidR="00FF3564" w:rsidRDefault="005C2807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07" w:rsidRDefault="005C28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2807" w:rsidRDefault="005C2807">
      <w:pPr>
        <w:rPr>
          <w:rFonts w:hint="eastAsia"/>
        </w:rPr>
      </w:pPr>
      <w:r>
        <w:continuationSeparator/>
      </w:r>
    </w:p>
  </w:footnote>
  <w:footnote w:id="1">
    <w:p w:rsidR="00FE75B5" w:rsidRDefault="005C2807">
      <w:pPr>
        <w:pStyle w:val="Footnote"/>
        <w:rPr>
          <w:rFonts w:hint="eastAsia"/>
        </w:rPr>
      </w:pPr>
      <w:r>
        <w:rPr>
          <w:rStyle w:val="Funotenzeichen"/>
        </w:rPr>
        <w:footnoteRef/>
      </w:r>
      <w:r>
        <w:rPr>
          <w:rStyle w:val="Bekezdsalapbettpusa"/>
          <w:rFonts w:ascii="Times New Roman" w:hAnsi="Times New Roman" w:cs="Times New Roman"/>
        </w:rPr>
        <w:t xml:space="preserve">Ide tartozik valamennyi tagállam Írország és Dánia kivételével. E két ország és bármely más tagállam viszonyában </w:t>
      </w:r>
    </w:p>
    <w:p w:rsidR="00FE75B5" w:rsidRDefault="005C2807">
      <w:pPr>
        <w:pStyle w:val="Footno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továbbra is a kerethatározat alkalmazandó.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DC7"/>
    <w:multiLevelType w:val="multilevel"/>
    <w:tmpl w:val="E79CC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FA8"/>
    <w:multiLevelType w:val="multilevel"/>
    <w:tmpl w:val="2E0AB0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22379"/>
    <w:multiLevelType w:val="multilevel"/>
    <w:tmpl w:val="0A34F0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C133F2"/>
    <w:multiLevelType w:val="multilevel"/>
    <w:tmpl w:val="33720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B87EB4"/>
    <w:multiLevelType w:val="multilevel"/>
    <w:tmpl w:val="48149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75B5"/>
    <w:rsid w:val="004E4364"/>
    <w:rsid w:val="005C2807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24B7-BB7E-4D97-9891-08C5E96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sor1">
    <w:name w:val="Címsor 1"/>
    <w:basedOn w:val="Heading"/>
    <w:next w:val="Textbody"/>
    <w:pPr>
      <w:outlineLvl w:val="0"/>
    </w:pPr>
    <w:rPr>
      <w:b/>
      <w:bCs/>
    </w:rPr>
  </w:style>
  <w:style w:type="paragraph" w:customStyle="1" w:styleId="Norml">
    <w:name w:val="Normál"/>
    <w:pPr>
      <w:suppressAutoHyphens/>
    </w:pPr>
  </w:style>
  <w:style w:type="character" w:customStyle="1" w:styleId="Bekezdsalapbettpusa">
    <w:name w:val="Bekezdés alapbetűtípusa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</w:style>
  <w:style w:type="paragraph" w:customStyle="1" w:styleId="Kpalrs">
    <w:name w:val="Képaláírá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istaszerbekezds">
    <w:name w:val="Listaszerű bekezdés"/>
    <w:basedOn w:val="Norml"/>
    <w:pPr>
      <w:ind w:left="720"/>
    </w:pPr>
    <w:rPr>
      <w:rFonts w:cs="Mangal"/>
      <w:szCs w:val="21"/>
    </w:rPr>
  </w:style>
  <w:style w:type="paragraph" w:customStyle="1" w:styleId="llb">
    <w:name w:val="Élőláb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bjegyzet-hivatkozs">
    <w:name w:val="Lábjegyzet-hivatkozás"/>
    <w:basedOn w:val="Bekezdsalapbettpusa"/>
    <w:rPr>
      <w:position w:val="0"/>
      <w:vertAlign w:val="superscript"/>
    </w:rPr>
  </w:style>
  <w:style w:type="character" w:customStyle="1" w:styleId="normaltextrun">
    <w:name w:val="normaltextrun"/>
    <w:basedOn w:val="Bekezdsalapbettpusa"/>
  </w:style>
  <w:style w:type="character" w:customStyle="1" w:styleId="eop">
    <w:name w:val="eop"/>
    <w:basedOn w:val="Bekezdsalapbettpusa"/>
  </w:style>
  <w:style w:type="character" w:customStyle="1" w:styleId="Jegyzethivatkozs">
    <w:name w:val="Jegyzethivatkozás"/>
    <w:basedOn w:val="Bekezdsalapbettpusa"/>
    <w:rPr>
      <w:sz w:val="16"/>
      <w:szCs w:val="16"/>
    </w:rPr>
  </w:style>
  <w:style w:type="paragraph" w:customStyle="1" w:styleId="Jegyzetszveg">
    <w:name w:val="Jegyzetszöveg"/>
    <w:basedOn w:val="Norml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paragraph" w:customStyle="1" w:styleId="Megjegyzstrgya">
    <w:name w:val="Megjegyzés tárgya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Kiemels2">
    <w:name w:val="Kiemelés 2"/>
    <w:basedOn w:val="Bekezdsalapbettpusa"/>
    <w:rPr>
      <w:b/>
      <w:bCs/>
    </w:rPr>
  </w:style>
  <w:style w:type="paragraph" w:customStyle="1" w:styleId="Test">
    <w:name w:val="Test!"/>
    <w:basedOn w:val="Norml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uppressAutoHyphens w:val="0"/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lang w:val="en-GB" w:eastAsia="en-US" w:bidi="ar-SA"/>
    </w:rPr>
  </w:style>
  <w:style w:type="paragraph" w:customStyle="1" w:styleId="Vltozat">
    <w:name w:val="Változat"/>
    <w:pPr>
      <w:textAlignment w:val="auto"/>
    </w:pPr>
    <w:rPr>
      <w:rFonts w:cs="Mangal"/>
      <w:szCs w:val="21"/>
    </w:rPr>
  </w:style>
  <w:style w:type="character" w:customStyle="1" w:styleId="Hiperhivatkozs">
    <w:name w:val="Hiperhivatkozás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Mrltotthiperhivatkozs">
    <w:name w:val="Már látott hiperhivatkozás"/>
    <w:basedOn w:val="Bekezdsalapbettpusa"/>
    <w:rPr>
      <w:color w:val="954F72"/>
      <w:u w:val="single"/>
    </w:rPr>
  </w:style>
  <w:style w:type="paragraph" w:customStyle="1" w:styleId="lfej">
    <w:name w:val="Élőfej"/>
    <w:basedOn w:val="Norm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rPr>
      <w:rFonts w:cs="Mangal"/>
      <w:szCs w:val="21"/>
    </w:rPr>
  </w:style>
  <w:style w:type="character" w:customStyle="1" w:styleId="llbChar">
    <w:name w:val="Élőláb Char"/>
    <w:basedOn w:val="Bekezdsalapbettpusa"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jn-crimjust.europa.eu/ejn/AtlasChooseMeasure/EN/0/2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jn-crimjust.europa.eu/ejn/libdocumentproperties/EN/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n-crimjust.europa.eu/ejn/libdocumentproperties/EN/7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4263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Academy of European Law</Company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Enikő dr. [OBH]</dc:creator>
  <cp:lastModifiedBy>Peschel Sven</cp:lastModifiedBy>
  <cp:revision>2</cp:revision>
  <dcterms:created xsi:type="dcterms:W3CDTF">2022-10-10T13:28:00Z</dcterms:created>
  <dcterms:modified xsi:type="dcterms:W3CDTF">2022-10-10T13:28:00Z</dcterms:modified>
</cp:coreProperties>
</file>