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D0314" w14:textId="55978EC0" w:rsidR="002A7CAA" w:rsidRPr="00815672" w:rsidRDefault="002A7CAA" w:rsidP="00637D4A">
      <w:pPr>
        <w:pStyle w:val="Bezodstpw"/>
      </w:pPr>
    </w:p>
    <w:p w14:paraId="324C2CD3" w14:textId="77777777" w:rsidR="002A7CAA" w:rsidRPr="00815672" w:rsidRDefault="002A7CAA" w:rsidP="0074607F">
      <w:pPr>
        <w:jc w:val="center"/>
        <w:rPr>
          <w:rFonts w:ascii="Times New Roman" w:hAnsi="Times New Roman" w:cs="Times New Roman"/>
          <w:b/>
          <w:bCs/>
          <w:sz w:val="32"/>
          <w:szCs w:val="32"/>
        </w:rPr>
      </w:pPr>
    </w:p>
    <w:p w14:paraId="71B5C7F3" w14:textId="248601BA" w:rsidR="007C456C" w:rsidRPr="00815672" w:rsidRDefault="007C456C" w:rsidP="0074607F">
      <w:pPr>
        <w:jc w:val="center"/>
        <w:rPr>
          <w:rFonts w:ascii="Times New Roman" w:hAnsi="Times New Roman" w:cs="Times New Roman"/>
          <w:b/>
          <w:bCs/>
          <w:sz w:val="36"/>
          <w:szCs w:val="28"/>
        </w:rPr>
      </w:pPr>
      <w:r w:rsidRPr="00815672">
        <w:rPr>
          <w:rFonts w:ascii="Times New Roman" w:hAnsi="Times New Roman"/>
          <w:b/>
          <w:sz w:val="36"/>
        </w:rPr>
        <w:t>Wzajemna pomoc prawna w sprawach karnych</w:t>
      </w:r>
    </w:p>
    <w:p w14:paraId="587BE827" w14:textId="29143721" w:rsidR="002A7CAA" w:rsidRPr="00815672" w:rsidRDefault="002A7CAA" w:rsidP="0074607F">
      <w:pPr>
        <w:jc w:val="center"/>
        <w:rPr>
          <w:rFonts w:ascii="Times New Roman" w:hAnsi="Times New Roman" w:cs="Times New Roman"/>
          <w:bCs/>
          <w:i/>
          <w:sz w:val="28"/>
          <w:szCs w:val="28"/>
        </w:rPr>
      </w:pPr>
      <w:r w:rsidRPr="00815672">
        <w:rPr>
          <w:rFonts w:ascii="Times New Roman" w:hAnsi="Times New Roman"/>
          <w:i/>
          <w:sz w:val="28"/>
        </w:rPr>
        <w:t>Zestaw studiów przypadku – przewodnik dla prowadzących szkolenie</w:t>
      </w:r>
    </w:p>
    <w:p w14:paraId="1FB5B63A" w14:textId="191C97D4" w:rsidR="002A7CAA" w:rsidRPr="00815672" w:rsidRDefault="002A7CAA" w:rsidP="0074607F">
      <w:pPr>
        <w:jc w:val="center"/>
        <w:rPr>
          <w:rFonts w:ascii="Times New Roman" w:hAnsi="Times New Roman" w:cs="Times New Roman"/>
          <w:b/>
          <w:bCs/>
          <w:sz w:val="28"/>
          <w:szCs w:val="28"/>
        </w:rPr>
      </w:pPr>
    </w:p>
    <w:p w14:paraId="78F961CD" w14:textId="1229E1BF" w:rsidR="002A7CAA" w:rsidRPr="00815672" w:rsidRDefault="002A7CAA" w:rsidP="0074607F">
      <w:pPr>
        <w:jc w:val="center"/>
        <w:rPr>
          <w:rFonts w:ascii="Times New Roman" w:hAnsi="Times New Roman" w:cs="Times New Roman"/>
          <w:b/>
          <w:bCs/>
          <w:sz w:val="28"/>
          <w:szCs w:val="28"/>
        </w:rPr>
      </w:pPr>
    </w:p>
    <w:p w14:paraId="6BC621FE" w14:textId="77777777" w:rsidR="002A7CAA" w:rsidRPr="00815672" w:rsidRDefault="002A7CAA" w:rsidP="0074607F">
      <w:pPr>
        <w:jc w:val="center"/>
        <w:rPr>
          <w:rFonts w:ascii="Times New Roman" w:hAnsi="Times New Roman" w:cs="Times New Roman"/>
          <w:b/>
          <w:bCs/>
          <w:sz w:val="28"/>
          <w:szCs w:val="28"/>
        </w:rPr>
      </w:pPr>
    </w:p>
    <w:p w14:paraId="137EA3A3" w14:textId="77777777" w:rsidR="002A7CAA" w:rsidRPr="00815672" w:rsidRDefault="002A7CAA" w:rsidP="0074607F">
      <w:pPr>
        <w:rPr>
          <w:rFonts w:ascii="Times New Roman" w:hAnsi="Times New Roman" w:cs="Times New Roman"/>
          <w:b/>
          <w:bCs/>
          <w:sz w:val="28"/>
          <w:szCs w:val="28"/>
        </w:rPr>
      </w:pPr>
    </w:p>
    <w:p w14:paraId="1DDD5A93" w14:textId="77777777" w:rsidR="002A7CAA" w:rsidRPr="00815672" w:rsidRDefault="002A7CAA" w:rsidP="0074607F">
      <w:pPr>
        <w:spacing w:after="0"/>
        <w:rPr>
          <w:rFonts w:ascii="Times New Roman" w:hAnsi="Times New Roman" w:cs="Times New Roman"/>
          <w:bCs/>
          <w:sz w:val="32"/>
          <w:szCs w:val="28"/>
        </w:rPr>
      </w:pPr>
      <w:r w:rsidRPr="00815672">
        <w:rPr>
          <w:rFonts w:ascii="Times New Roman" w:hAnsi="Times New Roman"/>
          <w:sz w:val="32"/>
        </w:rPr>
        <w:t>Autor:</w:t>
      </w:r>
    </w:p>
    <w:p w14:paraId="4FE886F4" w14:textId="77777777" w:rsidR="002A7CAA" w:rsidRPr="00815672" w:rsidRDefault="002A7CAA" w:rsidP="0074607F">
      <w:pPr>
        <w:spacing w:after="0"/>
        <w:rPr>
          <w:rFonts w:ascii="Times New Roman" w:hAnsi="Times New Roman" w:cs="Times New Roman"/>
          <w:bCs/>
          <w:i/>
          <w:sz w:val="28"/>
          <w:szCs w:val="28"/>
        </w:rPr>
      </w:pPr>
      <w:r w:rsidRPr="00815672">
        <w:rPr>
          <w:rFonts w:ascii="Times New Roman" w:hAnsi="Times New Roman"/>
          <w:i/>
          <w:sz w:val="28"/>
        </w:rPr>
        <w:t>Daniel Constantin Motoi</w:t>
      </w:r>
    </w:p>
    <w:p w14:paraId="268E1868" w14:textId="77777777" w:rsidR="002A7CAA" w:rsidRPr="00815672" w:rsidRDefault="002A7CAA" w:rsidP="0074607F">
      <w:pPr>
        <w:spacing w:after="0"/>
        <w:rPr>
          <w:rFonts w:ascii="Times New Roman" w:hAnsi="Times New Roman" w:cs="Times New Roman"/>
          <w:bCs/>
          <w:i/>
          <w:sz w:val="28"/>
          <w:szCs w:val="28"/>
        </w:rPr>
      </w:pPr>
      <w:r w:rsidRPr="00815672">
        <w:rPr>
          <w:rFonts w:ascii="Times New Roman" w:hAnsi="Times New Roman"/>
          <w:i/>
          <w:sz w:val="28"/>
        </w:rPr>
        <w:t xml:space="preserve">Sędzia, </w:t>
      </w:r>
    </w:p>
    <w:p w14:paraId="344B187C" w14:textId="77777777" w:rsidR="002A7CAA" w:rsidRPr="00815672" w:rsidRDefault="002A7CAA" w:rsidP="0074607F">
      <w:pPr>
        <w:spacing w:after="0"/>
        <w:rPr>
          <w:rFonts w:ascii="Times New Roman" w:hAnsi="Times New Roman" w:cs="Times New Roman"/>
          <w:bCs/>
          <w:i/>
          <w:sz w:val="28"/>
          <w:szCs w:val="28"/>
        </w:rPr>
      </w:pPr>
      <w:r w:rsidRPr="00815672">
        <w:rPr>
          <w:rFonts w:ascii="Times New Roman" w:hAnsi="Times New Roman"/>
          <w:i/>
          <w:sz w:val="28"/>
        </w:rPr>
        <w:t>Sąd Pierwszej Instancji, IV okręg, Bukareszt</w:t>
      </w:r>
    </w:p>
    <w:p w14:paraId="3FF72A8F" w14:textId="77777777" w:rsidR="002A7CAA" w:rsidRPr="00815672" w:rsidRDefault="002A7CAA" w:rsidP="0074607F">
      <w:pPr>
        <w:rPr>
          <w:rFonts w:ascii="Times New Roman" w:hAnsi="Times New Roman" w:cs="Times New Roman"/>
          <w:bCs/>
          <w:sz w:val="28"/>
          <w:szCs w:val="28"/>
        </w:rPr>
      </w:pPr>
    </w:p>
    <w:p w14:paraId="08287DCE" w14:textId="77777777" w:rsidR="002A7CAA" w:rsidRPr="00815672" w:rsidRDefault="002A7CAA" w:rsidP="0074607F">
      <w:pPr>
        <w:pBdr>
          <w:top w:val="single" w:sz="4" w:space="1" w:color="auto"/>
          <w:left w:val="single" w:sz="4" w:space="4" w:color="auto"/>
          <w:bottom w:val="single" w:sz="4" w:space="1" w:color="auto"/>
          <w:right w:val="single" w:sz="4" w:space="4" w:color="auto"/>
        </w:pBdr>
        <w:spacing w:after="0" w:line="276" w:lineRule="auto"/>
        <w:jc w:val="center"/>
        <w:rPr>
          <w:rStyle w:val="Pogrubienie"/>
          <w:rFonts w:ascii="Times New Roman" w:hAnsi="Times New Roman" w:cs="Times New Roman"/>
          <w:i/>
          <w:color w:val="000000"/>
          <w:sz w:val="32"/>
          <w:szCs w:val="28"/>
        </w:rPr>
      </w:pPr>
      <w:r w:rsidRPr="00815672">
        <w:rPr>
          <w:rStyle w:val="Pogrubienie"/>
          <w:rFonts w:ascii="Times New Roman" w:hAnsi="Times New Roman"/>
          <w:i/>
          <w:color w:val="000000"/>
          <w:sz w:val="32"/>
        </w:rPr>
        <w:t>Spis treści</w:t>
      </w:r>
    </w:p>
    <w:p w14:paraId="146EF0C0" w14:textId="77777777" w:rsidR="002A7CAA" w:rsidRPr="00815672" w:rsidRDefault="002A7CAA" w:rsidP="0074607F">
      <w:pPr>
        <w:pBdr>
          <w:top w:val="single" w:sz="4" w:space="1" w:color="auto"/>
          <w:left w:val="single" w:sz="4" w:space="4" w:color="auto"/>
          <w:bottom w:val="single" w:sz="4" w:space="1" w:color="auto"/>
          <w:right w:val="single" w:sz="4" w:space="4" w:color="auto"/>
        </w:pBdr>
        <w:spacing w:after="0" w:line="276" w:lineRule="auto"/>
        <w:rPr>
          <w:rStyle w:val="Pogrubienie"/>
          <w:rFonts w:ascii="Times New Roman" w:hAnsi="Times New Roman" w:cs="Times New Roman"/>
          <w:color w:val="000000"/>
          <w:sz w:val="28"/>
          <w:szCs w:val="28"/>
        </w:rPr>
      </w:pPr>
    </w:p>
    <w:p w14:paraId="7F16AFF7" w14:textId="15B161A1" w:rsidR="002A7CAA" w:rsidRPr="00815672"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rPr>
      </w:pPr>
      <w:r w:rsidRPr="00815672">
        <w:rPr>
          <w:rStyle w:val="Pogrubienie"/>
          <w:rFonts w:ascii="Times New Roman" w:hAnsi="Times New Roman"/>
          <w:color w:val="000000"/>
          <w:sz w:val="28"/>
        </w:rPr>
        <w:t xml:space="preserve">A. </w:t>
      </w:r>
      <w:r w:rsidR="0051356D">
        <w:rPr>
          <w:rStyle w:val="Pogrubienie"/>
          <w:rFonts w:ascii="Times New Roman" w:hAnsi="Times New Roman"/>
          <w:color w:val="000000"/>
          <w:sz w:val="28"/>
        </w:rPr>
        <w:tab/>
      </w:r>
      <w:r w:rsidRPr="00815672">
        <w:rPr>
          <w:rStyle w:val="Pogrubienie"/>
          <w:rFonts w:ascii="Times New Roman" w:hAnsi="Times New Roman"/>
          <w:color w:val="000000"/>
          <w:sz w:val="28"/>
        </w:rPr>
        <w:t xml:space="preserve">Scenariusze </w:t>
      </w:r>
      <w:r w:rsidR="00166EED" w:rsidRPr="00815672">
        <w:rPr>
          <w:rStyle w:val="Pogrubienie"/>
          <w:rFonts w:ascii="Times New Roman" w:hAnsi="Times New Roman"/>
          <w:color w:val="000000"/>
          <w:sz w:val="28"/>
        </w:rPr>
        <w:tab/>
      </w:r>
      <w:r w:rsidRPr="00815672">
        <w:rPr>
          <w:rStyle w:val="Pogrubienie"/>
          <w:rFonts w:ascii="Times New Roman" w:hAnsi="Times New Roman"/>
          <w:color w:val="000000"/>
          <w:sz w:val="28"/>
        </w:rPr>
        <w:t>1</w:t>
      </w:r>
    </w:p>
    <w:p w14:paraId="24699C1B" w14:textId="1C433E4A" w:rsidR="002A7CAA" w:rsidRPr="00815672"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sidRPr="00815672">
        <w:rPr>
          <w:rStyle w:val="Pogrubienie"/>
          <w:rFonts w:ascii="Times New Roman" w:hAnsi="Times New Roman"/>
          <w:color w:val="000000"/>
          <w:sz w:val="28"/>
        </w:rPr>
        <w:t xml:space="preserve">I. </w:t>
      </w:r>
      <w:r w:rsidRPr="00815672">
        <w:rPr>
          <w:rStyle w:val="Pogrubienie"/>
          <w:rFonts w:ascii="Times New Roman" w:hAnsi="Times New Roman"/>
          <w:color w:val="000000"/>
          <w:sz w:val="28"/>
        </w:rPr>
        <w:tab/>
      </w:r>
      <w:r w:rsidRPr="00815672">
        <w:rPr>
          <w:rStyle w:val="Pogrubienie"/>
          <w:rFonts w:ascii="Times New Roman" w:hAnsi="Times New Roman"/>
          <w:b w:val="0"/>
          <w:color w:val="000000"/>
          <w:sz w:val="28"/>
        </w:rPr>
        <w:t xml:space="preserve">Scenariusze wprowadzające </w:t>
      </w:r>
      <w:r w:rsidR="00166EED" w:rsidRPr="00815672">
        <w:rPr>
          <w:rStyle w:val="Pogrubienie"/>
          <w:rFonts w:ascii="Times New Roman" w:hAnsi="Times New Roman"/>
          <w:b w:val="0"/>
          <w:color w:val="000000"/>
          <w:sz w:val="28"/>
        </w:rPr>
        <w:tab/>
      </w:r>
      <w:r w:rsidRPr="00815672">
        <w:rPr>
          <w:rStyle w:val="Pogrubienie"/>
          <w:rFonts w:ascii="Times New Roman" w:hAnsi="Times New Roman"/>
          <w:b w:val="0"/>
          <w:color w:val="000000"/>
          <w:sz w:val="28"/>
        </w:rPr>
        <w:t>1</w:t>
      </w:r>
    </w:p>
    <w:p w14:paraId="61760BFB" w14:textId="15044BCD" w:rsidR="002A7CAA" w:rsidRPr="00815672"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sidRPr="00815672">
        <w:rPr>
          <w:rStyle w:val="Pogrubienie"/>
          <w:rFonts w:ascii="Times New Roman" w:hAnsi="Times New Roman"/>
          <w:b w:val="0"/>
          <w:color w:val="000000"/>
          <w:sz w:val="28"/>
        </w:rPr>
        <w:t xml:space="preserve">II. </w:t>
      </w:r>
      <w:r w:rsidRPr="00815672">
        <w:rPr>
          <w:rStyle w:val="Pogrubienie"/>
          <w:rFonts w:ascii="Times New Roman" w:hAnsi="Times New Roman"/>
          <w:b w:val="0"/>
          <w:color w:val="000000"/>
          <w:sz w:val="28"/>
        </w:rPr>
        <w:tab/>
        <w:t xml:space="preserve">Scenariusz przypadku; Pytania </w:t>
      </w:r>
      <w:r w:rsidR="00166EED" w:rsidRPr="00815672">
        <w:rPr>
          <w:rStyle w:val="Pogrubienie"/>
          <w:rFonts w:ascii="Times New Roman" w:hAnsi="Times New Roman"/>
          <w:b w:val="0"/>
          <w:color w:val="000000"/>
          <w:sz w:val="28"/>
        </w:rPr>
        <w:tab/>
      </w:r>
      <w:r w:rsidRPr="00815672">
        <w:rPr>
          <w:rStyle w:val="Pogrubienie"/>
          <w:rFonts w:ascii="Times New Roman" w:hAnsi="Times New Roman"/>
          <w:b w:val="0"/>
          <w:color w:val="000000"/>
          <w:sz w:val="28"/>
        </w:rPr>
        <w:t>2</w:t>
      </w:r>
    </w:p>
    <w:p w14:paraId="08B68444" w14:textId="77777777" w:rsidR="002A7CAA" w:rsidRPr="00815672"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p>
    <w:p w14:paraId="5CFCD448" w14:textId="4BC0BA27" w:rsidR="002A7CAA" w:rsidRPr="00815672"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rPr>
      </w:pPr>
      <w:r w:rsidRPr="00815672">
        <w:rPr>
          <w:rStyle w:val="Pogrubienie"/>
          <w:rFonts w:ascii="Times New Roman" w:hAnsi="Times New Roman"/>
          <w:color w:val="000000"/>
          <w:sz w:val="28"/>
        </w:rPr>
        <w:t xml:space="preserve">B. </w:t>
      </w:r>
      <w:r w:rsidR="0051356D">
        <w:rPr>
          <w:rStyle w:val="Pogrubienie"/>
          <w:rFonts w:ascii="Times New Roman" w:hAnsi="Times New Roman"/>
          <w:color w:val="000000"/>
          <w:sz w:val="28"/>
        </w:rPr>
        <w:tab/>
      </w:r>
      <w:r w:rsidRPr="00815672">
        <w:rPr>
          <w:rStyle w:val="Pogrubienie"/>
          <w:rFonts w:ascii="Times New Roman" w:hAnsi="Times New Roman"/>
          <w:color w:val="000000"/>
          <w:sz w:val="28"/>
        </w:rPr>
        <w:t xml:space="preserve">Dodatkowe uwagi dla prowadzących szkolenie dotyczące przypadków </w:t>
      </w:r>
      <w:r w:rsidR="0051356D">
        <w:rPr>
          <w:rStyle w:val="Pogrubienie"/>
          <w:rFonts w:ascii="Times New Roman" w:hAnsi="Times New Roman"/>
          <w:color w:val="000000"/>
          <w:sz w:val="28"/>
        </w:rPr>
        <w:tab/>
      </w:r>
      <w:bookmarkStart w:id="0" w:name="_GoBack"/>
      <w:bookmarkEnd w:id="0"/>
      <w:r w:rsidRPr="00815672">
        <w:rPr>
          <w:rStyle w:val="Pogrubienie"/>
          <w:rFonts w:ascii="Times New Roman" w:hAnsi="Times New Roman"/>
          <w:color w:val="000000"/>
          <w:sz w:val="28"/>
        </w:rPr>
        <w:t>4</w:t>
      </w:r>
    </w:p>
    <w:p w14:paraId="6A68B51B" w14:textId="77777777" w:rsidR="002A7CAA" w:rsidRPr="00815672"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p>
    <w:p w14:paraId="4DF8BCAD" w14:textId="2D1D4885" w:rsidR="002A7CAA" w:rsidRPr="00815672"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rPr>
      </w:pPr>
      <w:r w:rsidRPr="00815672">
        <w:rPr>
          <w:rStyle w:val="Pogrubienie"/>
          <w:rFonts w:ascii="Times New Roman" w:hAnsi="Times New Roman"/>
          <w:color w:val="000000"/>
          <w:sz w:val="28"/>
        </w:rPr>
        <w:t xml:space="preserve">C. </w:t>
      </w:r>
      <w:r w:rsidR="0051356D">
        <w:rPr>
          <w:rStyle w:val="Pogrubienie"/>
          <w:rFonts w:ascii="Times New Roman" w:hAnsi="Times New Roman"/>
          <w:color w:val="000000"/>
          <w:sz w:val="28"/>
        </w:rPr>
        <w:tab/>
      </w:r>
      <w:r w:rsidRPr="00815672">
        <w:rPr>
          <w:rStyle w:val="Pogrubienie"/>
          <w:rFonts w:ascii="Times New Roman" w:hAnsi="Times New Roman"/>
          <w:color w:val="000000"/>
          <w:sz w:val="28"/>
        </w:rPr>
        <w:t xml:space="preserve">Podejście metodologiczne </w:t>
      </w:r>
      <w:r w:rsidR="00166EED" w:rsidRPr="00815672">
        <w:rPr>
          <w:rStyle w:val="Pogrubienie"/>
          <w:rFonts w:ascii="Times New Roman" w:hAnsi="Times New Roman"/>
          <w:color w:val="000000"/>
          <w:sz w:val="28"/>
        </w:rPr>
        <w:tab/>
      </w:r>
      <w:r w:rsidRPr="00815672">
        <w:rPr>
          <w:rStyle w:val="Pogrubienie"/>
          <w:rFonts w:ascii="Times New Roman" w:hAnsi="Times New Roman"/>
          <w:color w:val="000000"/>
          <w:sz w:val="28"/>
        </w:rPr>
        <w:t>5</w:t>
      </w:r>
    </w:p>
    <w:p w14:paraId="5A6B19F4" w14:textId="5D222989" w:rsidR="002A7CAA" w:rsidRPr="00815672"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sidRPr="00815672">
        <w:rPr>
          <w:rStyle w:val="Pogrubienie"/>
          <w:rFonts w:ascii="Times New Roman" w:hAnsi="Times New Roman"/>
          <w:color w:val="000000"/>
          <w:sz w:val="28"/>
        </w:rPr>
        <w:t>I.</w:t>
      </w:r>
      <w:r w:rsidRPr="00815672">
        <w:rPr>
          <w:rStyle w:val="Pogrubienie"/>
          <w:rFonts w:ascii="Times New Roman" w:hAnsi="Times New Roman"/>
          <w:color w:val="000000"/>
          <w:sz w:val="28"/>
        </w:rPr>
        <w:tab/>
      </w:r>
      <w:r w:rsidRPr="00815672">
        <w:rPr>
          <w:rStyle w:val="Pogrubienie"/>
          <w:rFonts w:ascii="Times New Roman" w:hAnsi="Times New Roman"/>
          <w:b w:val="0"/>
          <w:color w:val="000000"/>
          <w:sz w:val="28"/>
        </w:rPr>
        <w:t xml:space="preserve">Ogólna idea i podstawowe tematy </w:t>
      </w:r>
      <w:r w:rsidR="00166EED" w:rsidRPr="00815672">
        <w:rPr>
          <w:rStyle w:val="Pogrubienie"/>
          <w:rFonts w:ascii="Times New Roman" w:hAnsi="Times New Roman"/>
          <w:b w:val="0"/>
          <w:color w:val="000000"/>
          <w:sz w:val="28"/>
        </w:rPr>
        <w:tab/>
      </w:r>
      <w:r w:rsidRPr="00815672">
        <w:rPr>
          <w:rStyle w:val="Pogrubienie"/>
          <w:rFonts w:ascii="Times New Roman" w:hAnsi="Times New Roman"/>
          <w:b w:val="0"/>
          <w:color w:val="000000"/>
          <w:sz w:val="28"/>
        </w:rPr>
        <w:t>5</w:t>
      </w:r>
    </w:p>
    <w:p w14:paraId="59CF8F10" w14:textId="02A0469D" w:rsidR="002A7CAA" w:rsidRPr="00815672"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sidRPr="00815672">
        <w:rPr>
          <w:rStyle w:val="Pogrubienie"/>
          <w:rFonts w:ascii="Times New Roman" w:hAnsi="Times New Roman"/>
          <w:b w:val="0"/>
          <w:color w:val="000000"/>
          <w:sz w:val="28"/>
        </w:rPr>
        <w:t>II.</w:t>
      </w:r>
      <w:r w:rsidRPr="00815672">
        <w:rPr>
          <w:rStyle w:val="Pogrubienie"/>
          <w:rFonts w:ascii="Times New Roman" w:hAnsi="Times New Roman"/>
          <w:b w:val="0"/>
          <w:color w:val="000000"/>
          <w:sz w:val="28"/>
        </w:rPr>
        <w:tab/>
        <w:t xml:space="preserve">Grupy robocze i struktura seminarium </w:t>
      </w:r>
      <w:r w:rsidR="00166EED" w:rsidRPr="00815672">
        <w:rPr>
          <w:rStyle w:val="Pogrubienie"/>
          <w:rFonts w:ascii="Times New Roman" w:hAnsi="Times New Roman"/>
          <w:b w:val="0"/>
          <w:color w:val="000000"/>
          <w:sz w:val="28"/>
        </w:rPr>
        <w:tab/>
      </w:r>
      <w:r w:rsidRPr="00815672">
        <w:rPr>
          <w:rStyle w:val="Pogrubienie"/>
          <w:rFonts w:ascii="Times New Roman" w:hAnsi="Times New Roman"/>
          <w:b w:val="0"/>
          <w:color w:val="000000"/>
          <w:sz w:val="28"/>
        </w:rPr>
        <w:t>6</w:t>
      </w:r>
    </w:p>
    <w:p w14:paraId="0AB04876" w14:textId="59C1A058" w:rsidR="002A7CAA" w:rsidRPr="00815672"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sidRPr="00815672">
        <w:rPr>
          <w:rStyle w:val="Pogrubienie"/>
          <w:rFonts w:ascii="Times New Roman" w:hAnsi="Times New Roman"/>
          <w:b w:val="0"/>
          <w:color w:val="000000"/>
          <w:sz w:val="28"/>
        </w:rPr>
        <w:t>III.</w:t>
      </w:r>
      <w:r w:rsidRPr="00815672">
        <w:rPr>
          <w:rStyle w:val="Pogrubienie"/>
          <w:rFonts w:ascii="Times New Roman" w:hAnsi="Times New Roman"/>
          <w:b w:val="0"/>
          <w:color w:val="000000"/>
          <w:sz w:val="28"/>
        </w:rPr>
        <w:tab/>
        <w:t xml:space="preserve">Materiał dodatkowy </w:t>
      </w:r>
      <w:r w:rsidR="00166EED" w:rsidRPr="00815672">
        <w:rPr>
          <w:rStyle w:val="Pogrubienie"/>
          <w:rFonts w:ascii="Times New Roman" w:hAnsi="Times New Roman"/>
          <w:b w:val="0"/>
          <w:color w:val="000000"/>
          <w:sz w:val="28"/>
        </w:rPr>
        <w:tab/>
      </w:r>
      <w:r w:rsidRPr="00815672">
        <w:rPr>
          <w:rStyle w:val="Pogrubienie"/>
          <w:rFonts w:ascii="Times New Roman" w:hAnsi="Times New Roman"/>
          <w:b w:val="0"/>
          <w:color w:val="000000"/>
          <w:sz w:val="28"/>
        </w:rPr>
        <w:t>7</w:t>
      </w:r>
    </w:p>
    <w:p w14:paraId="27D87CB5" w14:textId="77777777" w:rsidR="002A7CAA" w:rsidRPr="00815672"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p>
    <w:p w14:paraId="3734FB2E" w14:textId="7431295C" w:rsidR="002A7CAA" w:rsidRPr="00815672"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r w:rsidRPr="00815672">
        <w:rPr>
          <w:rStyle w:val="Pogrubienie"/>
          <w:rFonts w:ascii="Times New Roman" w:hAnsi="Times New Roman"/>
          <w:color w:val="000000"/>
          <w:sz w:val="28"/>
        </w:rPr>
        <w:t xml:space="preserve">D. Rozwiązania </w:t>
      </w:r>
      <w:r w:rsidR="00166EED" w:rsidRPr="00815672">
        <w:rPr>
          <w:rStyle w:val="Pogrubienie"/>
          <w:rFonts w:ascii="Times New Roman" w:hAnsi="Times New Roman"/>
          <w:color w:val="000000"/>
          <w:sz w:val="28"/>
        </w:rPr>
        <w:tab/>
      </w:r>
      <w:r w:rsidRPr="00815672">
        <w:rPr>
          <w:rStyle w:val="Pogrubienie"/>
          <w:rFonts w:ascii="Times New Roman" w:hAnsi="Times New Roman"/>
          <w:color w:val="000000"/>
          <w:sz w:val="28"/>
        </w:rPr>
        <w:t>8</w:t>
      </w:r>
    </w:p>
    <w:p w14:paraId="36988244" w14:textId="57784472" w:rsidR="002A7CAA" w:rsidRPr="00815672" w:rsidRDefault="002A7CAA" w:rsidP="0074607F">
      <w:pPr>
        <w:rPr>
          <w:rFonts w:ascii="Times New Roman" w:hAnsi="Times New Roman" w:cs="Times New Roman"/>
          <w:b/>
          <w:bCs/>
          <w:sz w:val="28"/>
          <w:szCs w:val="28"/>
        </w:rPr>
      </w:pPr>
      <w:r w:rsidRPr="00815672">
        <w:br w:type="page"/>
      </w:r>
    </w:p>
    <w:p w14:paraId="5481D270" w14:textId="4AA35847" w:rsidR="00810051" w:rsidRPr="00815672" w:rsidRDefault="002A7CAA" w:rsidP="0074607F">
      <w:pPr>
        <w:pStyle w:val="Test"/>
        <w:shd w:val="clear" w:color="auto" w:fill="DED888"/>
        <w:spacing w:after="160"/>
        <w:jc w:val="center"/>
        <w:rPr>
          <w:rFonts w:ascii="Times New Roman" w:hAnsi="Times New Roman"/>
          <w:color w:val="2F5496" w:themeColor="accent1" w:themeShade="BF"/>
          <w:sz w:val="32"/>
          <w:szCs w:val="32"/>
        </w:rPr>
      </w:pPr>
      <w:r w:rsidRPr="00815672">
        <w:rPr>
          <w:rStyle w:val="Pogrubienie"/>
          <w:rFonts w:ascii="Times New Roman" w:hAnsi="Times New Roman"/>
          <w:b/>
          <w:color w:val="2F5496" w:themeColor="accent1" w:themeShade="BF"/>
          <w:sz w:val="32"/>
        </w:rPr>
        <w:lastRenderedPageBreak/>
        <w:t>Wzajemna pomoc prawna w sprawach karnych</w:t>
      </w:r>
    </w:p>
    <w:p w14:paraId="48CB86C3" w14:textId="7DAC87DA" w:rsidR="00AE2003" w:rsidRPr="00815672" w:rsidRDefault="00AE2003" w:rsidP="0074607F">
      <w:pPr>
        <w:rPr>
          <w:rFonts w:ascii="Times New Roman" w:hAnsi="Times New Roman" w:cs="Times New Roman"/>
          <w:b/>
          <w:bCs/>
          <w:color w:val="2F5496" w:themeColor="accent1" w:themeShade="BF"/>
          <w:sz w:val="28"/>
          <w:szCs w:val="28"/>
        </w:rPr>
      </w:pPr>
    </w:p>
    <w:p w14:paraId="5EE4AE74" w14:textId="77777777" w:rsidR="00193BA1" w:rsidRPr="00815672" w:rsidRDefault="00193BA1" w:rsidP="0074607F">
      <w:pPr>
        <w:rPr>
          <w:rFonts w:ascii="Times New Roman" w:hAnsi="Times New Roman" w:cs="Times New Roman"/>
          <w:b/>
          <w:bCs/>
          <w:color w:val="2F5496" w:themeColor="accent1" w:themeShade="BF"/>
          <w:sz w:val="28"/>
          <w:szCs w:val="28"/>
        </w:rPr>
      </w:pPr>
    </w:p>
    <w:p w14:paraId="4E87F1E3" w14:textId="77803049" w:rsidR="00810051" w:rsidRPr="00815672" w:rsidRDefault="00D74806" w:rsidP="0074607F">
      <w:pPr>
        <w:rPr>
          <w:rFonts w:ascii="Times New Roman" w:hAnsi="Times New Roman" w:cs="Times New Roman"/>
          <w:b/>
          <w:bCs/>
          <w:color w:val="2F5496" w:themeColor="accent1" w:themeShade="BF"/>
          <w:sz w:val="28"/>
          <w:szCs w:val="28"/>
        </w:rPr>
      </w:pPr>
      <w:r w:rsidRPr="00815672">
        <w:rPr>
          <w:rFonts w:ascii="Times New Roman" w:hAnsi="Times New Roman"/>
          <w:b/>
          <w:color w:val="2F5496" w:themeColor="accent1" w:themeShade="BF"/>
          <w:sz w:val="28"/>
        </w:rPr>
        <w:t>A. I. Scenariusze wprowadzające:</w:t>
      </w:r>
    </w:p>
    <w:p w14:paraId="7684EA4A" w14:textId="77777777" w:rsidR="002A7CAA" w:rsidRPr="00815672"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sz w:val="28"/>
        </w:rPr>
        <w:t xml:space="preserve">1. Hiszpański organ sądowy chce przesłuchać w formie wideokonferencji świadka, który przebywa w Danii. </w:t>
      </w:r>
    </w:p>
    <w:p w14:paraId="167925A7" w14:textId="5B8E2095" w:rsidR="00C51736" w:rsidRPr="00815672" w:rsidRDefault="005E5B46"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815672">
        <w:rPr>
          <w:rFonts w:ascii="Times New Roman" w:hAnsi="Times New Roman"/>
          <w:i/>
          <w:sz w:val="28"/>
        </w:rPr>
        <w:t>Z jakiego instrumentu prawnego powinien skorzystać?</w:t>
      </w:r>
    </w:p>
    <w:p w14:paraId="244C21E3" w14:textId="77777777" w:rsidR="002A7CAA" w:rsidRPr="00815672" w:rsidRDefault="002A7CAA" w:rsidP="0074607F">
      <w:pPr>
        <w:spacing w:line="240" w:lineRule="auto"/>
        <w:jc w:val="both"/>
        <w:rPr>
          <w:rFonts w:ascii="Times New Roman" w:hAnsi="Times New Roman" w:cs="Times New Roman"/>
          <w:sz w:val="28"/>
          <w:szCs w:val="28"/>
        </w:rPr>
      </w:pPr>
    </w:p>
    <w:p w14:paraId="49E2838D" w14:textId="77777777" w:rsidR="002A7CAA" w:rsidRPr="00815672"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sz w:val="28"/>
        </w:rPr>
        <w:t xml:space="preserve">2. Bułgarski organ sądowy chce przesłuchać w formie telekonferencji świadka, który przebywa w Irlandii. </w:t>
      </w:r>
    </w:p>
    <w:p w14:paraId="273EDF11" w14:textId="641D0F58" w:rsidR="008D7DA6" w:rsidRPr="00815672" w:rsidRDefault="008D7DA6"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815672">
        <w:rPr>
          <w:rFonts w:ascii="Times New Roman" w:hAnsi="Times New Roman"/>
          <w:i/>
          <w:sz w:val="28"/>
        </w:rPr>
        <w:t>Z jakich instrumentów prawnych powinien skorzystać?</w:t>
      </w:r>
    </w:p>
    <w:p w14:paraId="421F3D8D" w14:textId="77777777" w:rsidR="002A7CAA" w:rsidRPr="00815672" w:rsidRDefault="002A7CAA" w:rsidP="0074607F">
      <w:pPr>
        <w:spacing w:line="240" w:lineRule="auto"/>
        <w:jc w:val="both"/>
        <w:rPr>
          <w:rFonts w:ascii="Times New Roman" w:hAnsi="Times New Roman" w:cs="Times New Roman"/>
          <w:sz w:val="28"/>
          <w:szCs w:val="28"/>
        </w:rPr>
      </w:pPr>
    </w:p>
    <w:p w14:paraId="7CFF988F" w14:textId="77777777" w:rsidR="002A7CAA" w:rsidRPr="00815672"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sz w:val="28"/>
        </w:rPr>
        <w:t xml:space="preserve">3. Niemiecki organ sądowy chce przesłuchać w formie wideokonferencji biegłego, który przebywa w Grecji. </w:t>
      </w:r>
    </w:p>
    <w:p w14:paraId="5094FA14" w14:textId="11DD973C" w:rsidR="008D7DA6" w:rsidRPr="00815672" w:rsidRDefault="008D7DA6"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815672">
        <w:rPr>
          <w:rFonts w:ascii="Times New Roman" w:hAnsi="Times New Roman"/>
          <w:i/>
          <w:sz w:val="28"/>
        </w:rPr>
        <w:t>Z jakich instrumentów prawnych powinien skorzystać?</w:t>
      </w:r>
    </w:p>
    <w:p w14:paraId="01921076" w14:textId="77777777" w:rsidR="002A7CAA" w:rsidRPr="00815672" w:rsidRDefault="002A7CAA" w:rsidP="0074607F">
      <w:pPr>
        <w:spacing w:line="240" w:lineRule="auto"/>
        <w:jc w:val="both"/>
        <w:rPr>
          <w:rFonts w:ascii="Times New Roman" w:hAnsi="Times New Roman" w:cs="Times New Roman"/>
          <w:sz w:val="28"/>
          <w:szCs w:val="28"/>
        </w:rPr>
      </w:pPr>
    </w:p>
    <w:p w14:paraId="505F340D" w14:textId="55948B9C" w:rsidR="002A7CAA" w:rsidRPr="00815672"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sz w:val="28"/>
        </w:rPr>
        <w:t xml:space="preserve">4. Francuski organ sądowy chce przesłuchać w formie telekonferencji biegłego, który przebywa w Rumunii. </w:t>
      </w:r>
    </w:p>
    <w:p w14:paraId="38C4B44E" w14:textId="748C95E4" w:rsidR="005F23E3" w:rsidRPr="00815672" w:rsidRDefault="005F23E3"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815672">
        <w:rPr>
          <w:rFonts w:ascii="Times New Roman" w:hAnsi="Times New Roman"/>
          <w:i/>
          <w:sz w:val="28"/>
        </w:rPr>
        <w:t>Z jakich instrumentów prawnych powinien skorzystać?</w:t>
      </w:r>
    </w:p>
    <w:p w14:paraId="6822F3E6" w14:textId="77777777" w:rsidR="00AE2003" w:rsidRPr="00815672" w:rsidRDefault="00AE2003" w:rsidP="0074607F">
      <w:pPr>
        <w:rPr>
          <w:rFonts w:ascii="Times New Roman" w:hAnsi="Times New Roman" w:cs="Times New Roman"/>
          <w:i/>
          <w:iCs/>
          <w:sz w:val="28"/>
          <w:szCs w:val="28"/>
        </w:rPr>
      </w:pPr>
    </w:p>
    <w:p w14:paraId="61B4228F" w14:textId="45EABCB9" w:rsidR="00AE2003" w:rsidRPr="00815672"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sz w:val="28"/>
        </w:rPr>
        <w:t xml:space="preserve">5. </w:t>
      </w:r>
      <w:bookmarkStart w:id="1" w:name="_Hlk53747872"/>
      <w:r w:rsidRPr="00815672">
        <w:rPr>
          <w:rFonts w:ascii="Times New Roman" w:hAnsi="Times New Roman"/>
          <w:sz w:val="28"/>
        </w:rPr>
        <w:t>Chorwacki organ sądowy chce wezwać osobę oskarżoną, która przebywa w Danii.</w:t>
      </w:r>
    </w:p>
    <w:p w14:paraId="62F000E8" w14:textId="78F4978B" w:rsidR="00AE2003" w:rsidRPr="00815672"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i/>
          <w:sz w:val="28"/>
        </w:rPr>
        <w:t>Z jakiego instrumentu prawnego powinien skorzystać?</w:t>
      </w:r>
      <w:bookmarkEnd w:id="1"/>
    </w:p>
    <w:p w14:paraId="706661B3" w14:textId="77777777" w:rsidR="00AE2003" w:rsidRPr="00815672" w:rsidRDefault="00AE2003" w:rsidP="0074607F">
      <w:pPr>
        <w:rPr>
          <w:rFonts w:ascii="Times New Roman" w:hAnsi="Times New Roman" w:cs="Times New Roman"/>
          <w:i/>
          <w:iCs/>
          <w:sz w:val="28"/>
          <w:szCs w:val="28"/>
        </w:rPr>
      </w:pPr>
    </w:p>
    <w:p w14:paraId="49BCF8D4" w14:textId="473EA357" w:rsidR="00BA5D38" w:rsidRPr="00815672"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sz w:val="28"/>
        </w:rPr>
        <w:t>6. Irlandzki organ sądowy chce wezwać świadka</w:t>
      </w:r>
      <w:r w:rsidR="00F44863" w:rsidRPr="00815672">
        <w:rPr>
          <w:rFonts w:ascii="Times New Roman" w:hAnsi="Times New Roman"/>
          <w:sz w:val="28"/>
        </w:rPr>
        <w:t>,</w:t>
      </w:r>
      <w:r w:rsidRPr="00815672">
        <w:rPr>
          <w:rFonts w:ascii="Times New Roman" w:hAnsi="Times New Roman"/>
          <w:sz w:val="28"/>
        </w:rPr>
        <w:t xml:space="preserve"> </w:t>
      </w:r>
      <w:r w:rsidR="00F44863" w:rsidRPr="00815672">
        <w:rPr>
          <w:rFonts w:ascii="Times New Roman" w:hAnsi="Times New Roman"/>
          <w:sz w:val="28"/>
        </w:rPr>
        <w:t>który przebywa w Grecji.</w:t>
      </w:r>
    </w:p>
    <w:p w14:paraId="2118041B" w14:textId="06857A99" w:rsidR="00AE2003" w:rsidRPr="00815672"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i/>
          <w:sz w:val="28"/>
        </w:rPr>
        <w:t>Z jakiego instrumentu prawnego powinien skorzystać?</w:t>
      </w:r>
    </w:p>
    <w:p w14:paraId="1D06186C" w14:textId="0DE3AFFE" w:rsidR="00AE2003" w:rsidRPr="00815672" w:rsidRDefault="00193BA1" w:rsidP="0074607F">
      <w:pPr>
        <w:rPr>
          <w:rFonts w:ascii="Times New Roman" w:hAnsi="Times New Roman" w:cs="Times New Roman"/>
          <w:i/>
          <w:iCs/>
          <w:sz w:val="28"/>
          <w:szCs w:val="28"/>
        </w:rPr>
      </w:pPr>
      <w:r w:rsidRPr="00815672">
        <w:br w:type="page"/>
      </w:r>
    </w:p>
    <w:p w14:paraId="1955957E" w14:textId="77777777" w:rsidR="00AE2003" w:rsidRPr="00815672"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sz w:val="28"/>
        </w:rPr>
        <w:lastRenderedPageBreak/>
        <w:t>7. Rumuński organ sądowy chce przesłuchać za pośrednictwem wideokonferencji świadka, który przebywa w Gruzji.</w:t>
      </w:r>
    </w:p>
    <w:p w14:paraId="1077EBF1" w14:textId="5A66983F" w:rsidR="00AE2003" w:rsidRPr="00815672"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i/>
          <w:sz w:val="28"/>
        </w:rPr>
        <w:t>Z jakiego instrumentu prawnego powinien skorzystać?</w:t>
      </w:r>
    </w:p>
    <w:p w14:paraId="17189BB0" w14:textId="630CD0A0" w:rsidR="006B2108" w:rsidRPr="00815672" w:rsidRDefault="006B2108" w:rsidP="0074607F">
      <w:pPr>
        <w:rPr>
          <w:rFonts w:ascii="Times New Roman" w:hAnsi="Times New Roman" w:cs="Times New Roman"/>
          <w:i/>
          <w:iCs/>
          <w:sz w:val="28"/>
          <w:szCs w:val="28"/>
        </w:rPr>
      </w:pPr>
    </w:p>
    <w:p w14:paraId="07BF1EDD" w14:textId="77777777" w:rsidR="00AE2003" w:rsidRPr="00815672"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sz w:val="28"/>
        </w:rPr>
        <w:t xml:space="preserve">8. Bułgarski organ sądowy chce wezwać świadka, który przebywa w Norwegii. </w:t>
      </w:r>
    </w:p>
    <w:p w14:paraId="13FA350F" w14:textId="2CEB8054" w:rsidR="00AE2003" w:rsidRPr="00815672"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i/>
          <w:sz w:val="28"/>
        </w:rPr>
        <w:t>Z jakiego instrumentu prawnego powinien skorzystać?</w:t>
      </w:r>
    </w:p>
    <w:p w14:paraId="1CE22878" w14:textId="2B373BCB" w:rsidR="00AE2003" w:rsidRPr="00815672" w:rsidRDefault="00AE2003" w:rsidP="0074607F">
      <w:pPr>
        <w:rPr>
          <w:rFonts w:ascii="Times New Roman" w:hAnsi="Times New Roman" w:cs="Times New Roman"/>
          <w:i/>
          <w:iCs/>
          <w:sz w:val="28"/>
          <w:szCs w:val="28"/>
        </w:rPr>
      </w:pPr>
    </w:p>
    <w:p w14:paraId="18E1FB62" w14:textId="77777777" w:rsidR="00BA5D38" w:rsidRPr="00815672" w:rsidRDefault="00BA5D38"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sz w:val="28"/>
        </w:rPr>
        <w:t xml:space="preserve">9. Niemiecki organ sądowy chce przesłuchać w formie wideokonferencji świadka, który przebywa w Szwajcarii. </w:t>
      </w:r>
    </w:p>
    <w:p w14:paraId="582338C3" w14:textId="258FCE16" w:rsidR="00BA5D38" w:rsidRPr="00815672" w:rsidRDefault="00BA5D38"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815672">
        <w:rPr>
          <w:rFonts w:ascii="Times New Roman" w:hAnsi="Times New Roman"/>
          <w:i/>
          <w:sz w:val="28"/>
        </w:rPr>
        <w:t>Z jakiego instrumentu prawnego powinien skorzystać?</w:t>
      </w:r>
    </w:p>
    <w:p w14:paraId="6E9C02B9" w14:textId="36011845" w:rsidR="00AE2003" w:rsidRPr="00815672" w:rsidRDefault="00AE2003" w:rsidP="0074607F">
      <w:pPr>
        <w:rPr>
          <w:rFonts w:ascii="Times New Roman" w:hAnsi="Times New Roman" w:cs="Times New Roman"/>
          <w:i/>
          <w:iCs/>
          <w:sz w:val="28"/>
          <w:szCs w:val="28"/>
        </w:rPr>
      </w:pPr>
    </w:p>
    <w:p w14:paraId="45157D00" w14:textId="2233EF6D" w:rsidR="00810051" w:rsidRPr="00815672" w:rsidRDefault="00D74806" w:rsidP="0074607F">
      <w:pPr>
        <w:jc w:val="both"/>
        <w:rPr>
          <w:rFonts w:ascii="Times New Roman" w:hAnsi="Times New Roman" w:cs="Times New Roman"/>
          <w:b/>
          <w:bCs/>
          <w:color w:val="2F5496" w:themeColor="accent1" w:themeShade="BF"/>
          <w:sz w:val="28"/>
          <w:szCs w:val="28"/>
        </w:rPr>
      </w:pPr>
      <w:r w:rsidRPr="00815672">
        <w:rPr>
          <w:rFonts w:ascii="Times New Roman" w:hAnsi="Times New Roman"/>
          <w:b/>
          <w:color w:val="2F5496" w:themeColor="accent1" w:themeShade="BF"/>
          <w:sz w:val="28"/>
        </w:rPr>
        <w:t>A. II.</w:t>
      </w:r>
      <w:r w:rsidRPr="00815672">
        <w:rPr>
          <w:rFonts w:ascii="Times New Roman" w:hAnsi="Times New Roman"/>
          <w:color w:val="2F5496" w:themeColor="accent1" w:themeShade="BF"/>
          <w:sz w:val="28"/>
        </w:rPr>
        <w:t xml:space="preserve"> </w:t>
      </w:r>
      <w:r w:rsidRPr="00815672">
        <w:rPr>
          <w:rFonts w:ascii="Times New Roman" w:hAnsi="Times New Roman"/>
          <w:b/>
          <w:color w:val="2F5496" w:themeColor="accent1" w:themeShade="BF"/>
          <w:sz w:val="28"/>
        </w:rPr>
        <w:t>Scenariusz przypadku:</w:t>
      </w:r>
    </w:p>
    <w:p w14:paraId="44C9A50D" w14:textId="17116CC7" w:rsidR="00126907" w:rsidRPr="00815672" w:rsidRDefault="00EE43D3"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sz w:val="28"/>
        </w:rPr>
        <w:t>Prokuratura działająca przy Sądzie I instancji w Aradzie prowadzi śledztwo w sprawie 3 kradzieży popełnionych w okresie 20.12.2019-24.02.2020 w zachodniej części kraju (sygn. akt 5440/P</w:t>
      </w:r>
      <w:r w:rsidR="00E556C5" w:rsidRPr="00815672">
        <w:rPr>
          <w:rFonts w:ascii="Times New Roman" w:hAnsi="Times New Roman"/>
          <w:sz w:val="28"/>
        </w:rPr>
        <w:t>/2019) . Kradzieży</w:t>
      </w:r>
      <w:r w:rsidRPr="00815672">
        <w:rPr>
          <w:rFonts w:ascii="Times New Roman" w:hAnsi="Times New Roman"/>
          <w:sz w:val="28"/>
        </w:rPr>
        <w:t xml:space="preserve"> dokonano na różnych parkingach przy autostradzie A3, a w nocy dwoje podejrzanych ukradło towar z ciężarówek. W trakcie śledztwa rumuński prokurator zidentyfikował kierowcę ciężarówki z Danii, który był świadkiem jednej z kradzieży. Na podstawie nagrań z dwóch miejsc parkingowych rumuńskim organom udało się zidentyfikować dwóch podejrzanych. Jeden z podejrzanych jest obywatelem irlandzkim i według informacji otrzymanych przez policję mieszka w Irlandii. Drugi podejrzany to C.C. obywatel rumuński (ur. 23.12.1978 r.), zamieszkały w Aradzie, ul. 9 maja, powiat Arad.</w:t>
      </w:r>
    </w:p>
    <w:p w14:paraId="471A1BF9" w14:textId="6A60E2F4" w:rsidR="00EA28F5" w:rsidRPr="00815672" w:rsidRDefault="001979D1"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815672">
        <w:rPr>
          <w:rFonts w:ascii="Times New Roman" w:hAnsi="Times New Roman"/>
          <w:sz w:val="28"/>
        </w:rPr>
        <w:t>Teraz rumuński prokurator musi przesłuchać w formie wideokonferencji świadka A.B. (ur. 14.01.1960), który obecnie mieszka w Aarhus, przy ulicy Langelandsgade,</w:t>
      </w:r>
      <w:r w:rsidRPr="00815672">
        <w:rPr>
          <w:rFonts w:ascii="Times New Roman" w:hAnsi="Times New Roman"/>
          <w:b/>
          <w:sz w:val="28"/>
        </w:rPr>
        <w:t xml:space="preserve"> </w:t>
      </w:r>
      <w:r w:rsidRPr="00815672">
        <w:rPr>
          <w:rFonts w:ascii="Times New Roman" w:hAnsi="Times New Roman"/>
          <w:sz w:val="28"/>
        </w:rPr>
        <w:t xml:space="preserve">Dania i nie chce przyjechać do Rumunii na przesłuchanie. W następnej kolejności rumuński prokurator przesłucha w formie wideokonferencji irlandzkiego podejrzanego, J.H. (ur. 15.10.1966 r.) zamieszkałego w Dublinie, Henry Street, Irlandia, który odmawia osobistego stawiennictwa w Irlandii w celu złożenia wyjaśnień. </w:t>
      </w:r>
    </w:p>
    <w:p w14:paraId="18A8DCB9" w14:textId="21286AD1" w:rsidR="00BA5D38" w:rsidRPr="00815672" w:rsidRDefault="00193BA1" w:rsidP="00193BA1">
      <w:pPr>
        <w:rPr>
          <w:rFonts w:ascii="Times New Roman" w:hAnsi="Times New Roman" w:cs="Times New Roman"/>
          <w:sz w:val="28"/>
          <w:szCs w:val="28"/>
        </w:rPr>
      </w:pPr>
      <w:r w:rsidRPr="00815672">
        <w:br w:type="page"/>
      </w:r>
    </w:p>
    <w:p w14:paraId="091C4C4C" w14:textId="3FD68688" w:rsidR="00631B81" w:rsidRPr="00815672" w:rsidRDefault="00631B81" w:rsidP="0074607F">
      <w:pPr>
        <w:jc w:val="both"/>
        <w:rPr>
          <w:rFonts w:ascii="Times New Roman" w:hAnsi="Times New Roman" w:cs="Times New Roman"/>
          <w:b/>
          <w:bCs/>
          <w:color w:val="2F5496" w:themeColor="accent1" w:themeShade="BF"/>
          <w:sz w:val="28"/>
          <w:szCs w:val="28"/>
        </w:rPr>
      </w:pPr>
      <w:r w:rsidRPr="00815672">
        <w:rPr>
          <w:rFonts w:ascii="Times New Roman" w:hAnsi="Times New Roman"/>
          <w:b/>
          <w:bCs/>
          <w:color w:val="2F5496" w:themeColor="accent1" w:themeShade="BF"/>
          <w:sz w:val="28"/>
        </w:rPr>
        <w:lastRenderedPageBreak/>
        <w:t>Pytania:</w:t>
      </w:r>
    </w:p>
    <w:p w14:paraId="3A052331" w14:textId="4E12B231" w:rsidR="00243470" w:rsidRPr="00815672" w:rsidRDefault="00631B81" w:rsidP="0013415C">
      <w:pPr>
        <w:pStyle w:val="Akapitzlist"/>
        <w:numPr>
          <w:ilvl w:val="0"/>
          <w:numId w:val="1"/>
        </w:numPr>
        <w:contextualSpacing w:val="0"/>
        <w:jc w:val="both"/>
        <w:rPr>
          <w:rFonts w:ascii="Times New Roman" w:hAnsi="Times New Roman" w:cs="Times New Roman"/>
          <w:i/>
          <w:sz w:val="28"/>
          <w:szCs w:val="28"/>
        </w:rPr>
      </w:pPr>
      <w:r w:rsidRPr="00815672">
        <w:rPr>
          <w:rFonts w:ascii="Times New Roman" w:hAnsi="Times New Roman"/>
          <w:i/>
          <w:sz w:val="28"/>
        </w:rPr>
        <w:t>Jaki instrument prawny należy zastosować, aby przesłuchać świadka A.B. w formie wideokonferencji? Jeżeli przesłuchanie świadka w formie wideokonferencji nie jest możliwe, czy świadek może zostać przesłuchany w formie telekonferencji?</w:t>
      </w:r>
    </w:p>
    <w:p w14:paraId="5D677417" w14:textId="7C63B936" w:rsidR="005644F7" w:rsidRPr="00815672" w:rsidRDefault="005B3830" w:rsidP="0013415C">
      <w:pPr>
        <w:pStyle w:val="Akapitzlist"/>
        <w:numPr>
          <w:ilvl w:val="0"/>
          <w:numId w:val="1"/>
        </w:numPr>
        <w:contextualSpacing w:val="0"/>
        <w:jc w:val="both"/>
        <w:rPr>
          <w:rFonts w:ascii="Times New Roman" w:hAnsi="Times New Roman" w:cs="Times New Roman"/>
          <w:i/>
          <w:sz w:val="28"/>
          <w:szCs w:val="28"/>
        </w:rPr>
      </w:pPr>
      <w:r w:rsidRPr="00815672">
        <w:rPr>
          <w:rFonts w:ascii="Times New Roman" w:hAnsi="Times New Roman"/>
          <w:i/>
          <w:sz w:val="28"/>
        </w:rPr>
        <w:t xml:space="preserve">Czy istnieje możliwość </w:t>
      </w:r>
      <w:r w:rsidR="008B068C" w:rsidRPr="00815672">
        <w:rPr>
          <w:rFonts w:ascii="Times New Roman" w:hAnsi="Times New Roman"/>
          <w:i/>
          <w:sz w:val="28"/>
        </w:rPr>
        <w:t>przesłuchania podejrzanego J.H.</w:t>
      </w:r>
      <w:r w:rsidR="00C53943" w:rsidRPr="00815672">
        <w:rPr>
          <w:rFonts w:ascii="Times New Roman" w:hAnsi="Times New Roman"/>
          <w:i/>
          <w:sz w:val="28"/>
        </w:rPr>
        <w:t xml:space="preserve"> </w:t>
      </w:r>
      <w:r w:rsidRPr="00815672">
        <w:rPr>
          <w:rFonts w:ascii="Times New Roman" w:hAnsi="Times New Roman"/>
          <w:i/>
          <w:sz w:val="28"/>
        </w:rPr>
        <w:t xml:space="preserve">w formie wideokonferencji? </w:t>
      </w:r>
    </w:p>
    <w:p w14:paraId="1A4620B0" w14:textId="79473D7C" w:rsidR="00F46F8A" w:rsidRPr="00815672" w:rsidRDefault="00F46F8A" w:rsidP="0013415C">
      <w:pPr>
        <w:pStyle w:val="Akapitzlist"/>
        <w:numPr>
          <w:ilvl w:val="0"/>
          <w:numId w:val="1"/>
        </w:numPr>
        <w:contextualSpacing w:val="0"/>
        <w:jc w:val="both"/>
        <w:rPr>
          <w:rFonts w:ascii="Times New Roman" w:hAnsi="Times New Roman" w:cs="Times New Roman"/>
          <w:i/>
          <w:sz w:val="28"/>
          <w:szCs w:val="28"/>
        </w:rPr>
      </w:pPr>
      <w:r w:rsidRPr="00815672">
        <w:rPr>
          <w:rFonts w:ascii="Times New Roman" w:hAnsi="Times New Roman"/>
          <w:i/>
          <w:sz w:val="28"/>
        </w:rPr>
        <w:t>Określenie właściwych organów rozpatrujących wniosek w Danii i Irlandii, oraz kanałów przekazywania informacji, które należy wykorzystać.</w:t>
      </w:r>
    </w:p>
    <w:p w14:paraId="2A6DF60F" w14:textId="40240A9B" w:rsidR="00456E17" w:rsidRPr="00815672" w:rsidRDefault="00456E17" w:rsidP="0013415C">
      <w:pPr>
        <w:pStyle w:val="Akapitzlist"/>
        <w:numPr>
          <w:ilvl w:val="0"/>
          <w:numId w:val="1"/>
        </w:numPr>
        <w:contextualSpacing w:val="0"/>
        <w:jc w:val="both"/>
        <w:rPr>
          <w:rFonts w:ascii="Times New Roman" w:hAnsi="Times New Roman" w:cs="Times New Roman"/>
          <w:i/>
          <w:sz w:val="28"/>
          <w:szCs w:val="28"/>
        </w:rPr>
      </w:pPr>
      <w:r w:rsidRPr="00815672">
        <w:rPr>
          <w:rFonts w:ascii="Times New Roman" w:hAnsi="Times New Roman"/>
          <w:i/>
          <w:sz w:val="28"/>
        </w:rPr>
        <w:t>Która forma wniosku powinna zostać użyta przez organ sądowy składający wniosek, gdy wnosi on o przeprowadzenie rozprawy w formie wideokonferencji lub telekonferencji?</w:t>
      </w:r>
    </w:p>
    <w:p w14:paraId="007F0C78" w14:textId="4CDB080E" w:rsidR="00A1771F" w:rsidRPr="00815672" w:rsidRDefault="00A1771F" w:rsidP="0013415C">
      <w:pPr>
        <w:pStyle w:val="Akapitzlist"/>
        <w:numPr>
          <w:ilvl w:val="0"/>
          <w:numId w:val="1"/>
        </w:numPr>
        <w:contextualSpacing w:val="0"/>
        <w:jc w:val="both"/>
        <w:rPr>
          <w:rFonts w:ascii="Times New Roman" w:hAnsi="Times New Roman" w:cs="Times New Roman"/>
          <w:i/>
          <w:sz w:val="28"/>
          <w:szCs w:val="28"/>
        </w:rPr>
      </w:pPr>
      <w:r w:rsidRPr="00815672">
        <w:rPr>
          <w:rFonts w:ascii="Times New Roman" w:hAnsi="Times New Roman"/>
          <w:i/>
          <w:sz w:val="28"/>
        </w:rPr>
        <w:t>Wypełnić wnioski niezbędne do przesłuchania świadka i podejrzanego.</w:t>
      </w:r>
    </w:p>
    <w:p w14:paraId="4705A165" w14:textId="3DFED0E4" w:rsidR="00932EAB" w:rsidRPr="00815672" w:rsidRDefault="00932EAB" w:rsidP="0013415C">
      <w:pPr>
        <w:pStyle w:val="Akapitzlist"/>
        <w:numPr>
          <w:ilvl w:val="0"/>
          <w:numId w:val="1"/>
        </w:numPr>
        <w:contextualSpacing w:val="0"/>
        <w:jc w:val="both"/>
        <w:rPr>
          <w:rFonts w:ascii="Times New Roman" w:hAnsi="Times New Roman" w:cs="Times New Roman"/>
          <w:i/>
          <w:sz w:val="28"/>
          <w:szCs w:val="28"/>
        </w:rPr>
      </w:pPr>
      <w:r w:rsidRPr="00815672">
        <w:rPr>
          <w:rFonts w:ascii="Times New Roman" w:hAnsi="Times New Roman"/>
          <w:i/>
          <w:sz w:val="28"/>
        </w:rPr>
        <w:t>Czy istnieją jakieś terminy na wykonanie wzajemnej pomocy prawnej przez właściwe organy, do których kierowany jest wniosek?</w:t>
      </w:r>
    </w:p>
    <w:p w14:paraId="1C1452BA" w14:textId="7B9DAA46" w:rsidR="00EA28F5" w:rsidRPr="00815672" w:rsidRDefault="009E29BF" w:rsidP="0013415C">
      <w:pPr>
        <w:pStyle w:val="Akapitzlist"/>
        <w:numPr>
          <w:ilvl w:val="0"/>
          <w:numId w:val="1"/>
        </w:numPr>
        <w:contextualSpacing w:val="0"/>
        <w:jc w:val="both"/>
        <w:rPr>
          <w:rFonts w:ascii="Times New Roman" w:hAnsi="Times New Roman" w:cs="Times New Roman"/>
          <w:i/>
          <w:sz w:val="28"/>
          <w:szCs w:val="28"/>
        </w:rPr>
      </w:pPr>
      <w:r w:rsidRPr="00815672">
        <w:rPr>
          <w:rFonts w:ascii="Times New Roman" w:hAnsi="Times New Roman"/>
          <w:i/>
          <w:sz w:val="28"/>
        </w:rPr>
        <w:t>Jakie zasady i wymogi będą miały zastosowanie w przypadku przesłuchania świadka lub podejrzanego?</w:t>
      </w:r>
    </w:p>
    <w:p w14:paraId="7C1C7AD0" w14:textId="6BA08016" w:rsidR="002A7CAA" w:rsidRPr="00815672" w:rsidRDefault="00193BA1" w:rsidP="0074607F">
      <w:pPr>
        <w:rPr>
          <w:rFonts w:ascii="Times New Roman" w:hAnsi="Times New Roman" w:cs="Times New Roman"/>
          <w:b/>
          <w:bCs/>
          <w:sz w:val="28"/>
          <w:szCs w:val="28"/>
        </w:rPr>
      </w:pPr>
      <w:r w:rsidRPr="00815672">
        <w:br w:type="page"/>
      </w:r>
    </w:p>
    <w:p w14:paraId="21B0DB07" w14:textId="48E95B6F" w:rsidR="002A7CAA" w:rsidRPr="00815672" w:rsidRDefault="002A7CAA" w:rsidP="0074607F">
      <w:pPr>
        <w:pStyle w:val="Test"/>
        <w:shd w:val="clear" w:color="auto" w:fill="DED888"/>
        <w:spacing w:after="160"/>
        <w:jc w:val="center"/>
        <w:rPr>
          <w:rStyle w:val="Pogrubienie"/>
          <w:rFonts w:ascii="Times New Roman" w:hAnsi="Times New Roman"/>
          <w:b/>
          <w:bCs w:val="0"/>
          <w:color w:val="2F5496" w:themeColor="accent1" w:themeShade="BF"/>
          <w:sz w:val="32"/>
          <w:szCs w:val="32"/>
        </w:rPr>
      </w:pPr>
      <w:r w:rsidRPr="00815672">
        <w:rPr>
          <w:rStyle w:val="Pogrubienie"/>
          <w:rFonts w:ascii="Times New Roman" w:hAnsi="Times New Roman"/>
          <w:b/>
          <w:color w:val="2F5496" w:themeColor="accent1" w:themeShade="BF"/>
          <w:sz w:val="32"/>
        </w:rPr>
        <w:lastRenderedPageBreak/>
        <w:t>Część B. Dodatkowe uwagi dla prowadzących szkolenie dotyczące przypadków</w:t>
      </w:r>
    </w:p>
    <w:p w14:paraId="354A0B03" w14:textId="74953D17" w:rsidR="002A7CAA" w:rsidRPr="00815672" w:rsidRDefault="002A7CAA" w:rsidP="0074607F">
      <w:pPr>
        <w:rPr>
          <w:rFonts w:ascii="Times New Roman" w:hAnsi="Times New Roman" w:cs="Times New Roman"/>
          <w:bCs/>
          <w:sz w:val="28"/>
          <w:szCs w:val="28"/>
        </w:rPr>
      </w:pPr>
    </w:p>
    <w:p w14:paraId="1C5594BE" w14:textId="19CEAC2D" w:rsidR="002A7CAA" w:rsidRPr="00815672" w:rsidRDefault="002A7CAA" w:rsidP="0074607F">
      <w:pPr>
        <w:rPr>
          <w:rFonts w:ascii="Times New Roman" w:hAnsi="Times New Roman" w:cs="Times New Roman"/>
          <w:b/>
          <w:bCs/>
          <w:color w:val="2F5496" w:themeColor="accent1" w:themeShade="BF"/>
          <w:sz w:val="28"/>
          <w:szCs w:val="28"/>
        </w:rPr>
      </w:pPr>
      <w:r w:rsidRPr="00815672">
        <w:rPr>
          <w:rFonts w:ascii="Times New Roman" w:hAnsi="Times New Roman"/>
          <w:b/>
          <w:color w:val="2F5496" w:themeColor="accent1" w:themeShade="BF"/>
          <w:sz w:val="28"/>
        </w:rPr>
        <w:t>A. II. Scenariusz przypadku:</w:t>
      </w:r>
    </w:p>
    <w:p w14:paraId="009CA552" w14:textId="77777777" w:rsidR="002A7CAA" w:rsidRPr="00815672" w:rsidRDefault="002A7CAA" w:rsidP="0013415C">
      <w:pPr>
        <w:pStyle w:val="Akapitzlist"/>
        <w:numPr>
          <w:ilvl w:val="0"/>
          <w:numId w:val="14"/>
        </w:numPr>
        <w:contextualSpacing w:val="0"/>
        <w:jc w:val="both"/>
        <w:rPr>
          <w:rFonts w:ascii="Times New Roman" w:hAnsi="Times New Roman" w:cs="Times New Roman"/>
          <w:bCs/>
          <w:sz w:val="28"/>
          <w:szCs w:val="24"/>
        </w:rPr>
      </w:pPr>
      <w:r w:rsidRPr="00815672">
        <w:rPr>
          <w:rFonts w:ascii="Times New Roman" w:hAnsi="Times New Roman"/>
          <w:sz w:val="28"/>
        </w:rPr>
        <w:t>Właściwy organ wnioskujący zostanie zmieniony i zastąpiony przez właściwy organ z państwa członkowskiego, w którym odbywa się seminarium, z wyjątkiem Grecji, Danii i Irlandii.</w:t>
      </w:r>
    </w:p>
    <w:p w14:paraId="147EE128" w14:textId="77777777" w:rsidR="002A7CAA" w:rsidRPr="00815672" w:rsidRDefault="002A7CAA" w:rsidP="0013415C">
      <w:pPr>
        <w:pStyle w:val="Akapitzlist"/>
        <w:numPr>
          <w:ilvl w:val="0"/>
          <w:numId w:val="14"/>
        </w:numPr>
        <w:contextualSpacing w:val="0"/>
        <w:jc w:val="both"/>
        <w:rPr>
          <w:rFonts w:ascii="Times New Roman" w:hAnsi="Times New Roman" w:cs="Times New Roman"/>
          <w:bCs/>
          <w:sz w:val="28"/>
          <w:szCs w:val="24"/>
        </w:rPr>
      </w:pPr>
      <w:r w:rsidRPr="00815672">
        <w:rPr>
          <w:rFonts w:ascii="Times New Roman" w:hAnsi="Times New Roman"/>
          <w:sz w:val="28"/>
        </w:rPr>
        <w:t>Po zmianie zostanie wybrane miasto z kraju, w którym odbywa się seminarium. Ponadto, podejrzany C.C. będzie obywatelem tego samego kraju, w którym odbywa się seminarium (zostanie wybrany adres z tego kraju).</w:t>
      </w:r>
    </w:p>
    <w:p w14:paraId="28AFF026" w14:textId="77777777" w:rsidR="002A7CAA" w:rsidRPr="00815672" w:rsidRDefault="002A7CAA" w:rsidP="0074607F">
      <w:pPr>
        <w:rPr>
          <w:rFonts w:ascii="Times New Roman" w:hAnsi="Times New Roman" w:cs="Times New Roman"/>
          <w:bCs/>
          <w:sz w:val="28"/>
          <w:szCs w:val="28"/>
        </w:rPr>
      </w:pPr>
    </w:p>
    <w:p w14:paraId="474D3AB3" w14:textId="2428CEE8" w:rsidR="00564D5E" w:rsidRPr="00815672" w:rsidRDefault="002A7CAA" w:rsidP="0074607F">
      <w:pPr>
        <w:rPr>
          <w:rFonts w:ascii="Times New Roman" w:hAnsi="Times New Roman" w:cs="Times New Roman"/>
          <w:b/>
          <w:bCs/>
          <w:sz w:val="28"/>
          <w:szCs w:val="28"/>
        </w:rPr>
      </w:pPr>
      <w:r w:rsidRPr="00815672">
        <w:br w:type="page"/>
      </w:r>
    </w:p>
    <w:p w14:paraId="6431017F" w14:textId="76F4B0A0" w:rsidR="00564D5E" w:rsidRPr="00815672" w:rsidRDefault="002A7CAA" w:rsidP="0074607F">
      <w:pPr>
        <w:pStyle w:val="Test"/>
        <w:shd w:val="clear" w:color="auto" w:fill="DED888"/>
        <w:spacing w:after="160"/>
        <w:jc w:val="center"/>
        <w:rPr>
          <w:rStyle w:val="Pogrubienie"/>
          <w:rFonts w:ascii="Times New Roman" w:hAnsi="Times New Roman"/>
          <w:b/>
          <w:bCs w:val="0"/>
          <w:color w:val="2F5496" w:themeColor="accent1" w:themeShade="BF"/>
          <w:sz w:val="32"/>
          <w:szCs w:val="32"/>
        </w:rPr>
      </w:pPr>
      <w:r w:rsidRPr="00815672">
        <w:rPr>
          <w:rStyle w:val="Pogrubienie"/>
          <w:rFonts w:ascii="Times New Roman" w:hAnsi="Times New Roman"/>
          <w:b/>
          <w:color w:val="2F5496" w:themeColor="accent1" w:themeShade="BF"/>
          <w:sz w:val="32"/>
        </w:rPr>
        <w:lastRenderedPageBreak/>
        <w:t>Część C. Metodologia</w:t>
      </w:r>
    </w:p>
    <w:p w14:paraId="33F2E4D0" w14:textId="77777777" w:rsidR="00D74806" w:rsidRPr="00815672" w:rsidRDefault="00D74806" w:rsidP="0074607F">
      <w:pPr>
        <w:pStyle w:val="Akapitzlist"/>
        <w:contextualSpacing w:val="0"/>
        <w:jc w:val="both"/>
        <w:rPr>
          <w:rFonts w:ascii="Times New Roman" w:hAnsi="Times New Roman" w:cs="Times New Roman"/>
          <w:b/>
          <w:bCs/>
          <w:sz w:val="28"/>
          <w:szCs w:val="28"/>
        </w:rPr>
      </w:pPr>
    </w:p>
    <w:p w14:paraId="1112186B" w14:textId="77777777" w:rsidR="009B61DA" w:rsidRPr="00815672" w:rsidRDefault="009B61DA" w:rsidP="0013415C">
      <w:pPr>
        <w:pStyle w:val="Akapitzlist"/>
        <w:numPr>
          <w:ilvl w:val="0"/>
          <w:numId w:val="9"/>
        </w:numPr>
        <w:ind w:left="0" w:firstLine="0"/>
        <w:contextualSpacing w:val="0"/>
        <w:jc w:val="both"/>
        <w:rPr>
          <w:rFonts w:ascii="Times New Roman" w:hAnsi="Times New Roman" w:cs="Times New Roman"/>
          <w:b/>
          <w:bCs/>
          <w:color w:val="2F5496" w:themeColor="accent1" w:themeShade="BF"/>
          <w:sz w:val="28"/>
          <w:szCs w:val="28"/>
        </w:rPr>
      </w:pPr>
      <w:r w:rsidRPr="00815672">
        <w:rPr>
          <w:rFonts w:ascii="Times New Roman" w:hAnsi="Times New Roman"/>
          <w:b/>
          <w:color w:val="2F5496" w:themeColor="accent1" w:themeShade="BF"/>
          <w:sz w:val="28"/>
        </w:rPr>
        <w:t>Ogólne założenie i główne tematy</w:t>
      </w:r>
    </w:p>
    <w:p w14:paraId="7E3F6F53" w14:textId="77777777" w:rsidR="009B61DA" w:rsidRPr="00815672" w:rsidRDefault="009B61DA"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Ideą tego materiału szkoleniowego jest zapoznanie pracowników sądów z państw członkowskich z instrumentami prawnymi w zakresie współpracy sądowej dostępnymi na szczeblu europejskim w celu gromadzenia dowodów z zagranicy. </w:t>
      </w:r>
    </w:p>
    <w:p w14:paraId="629EB4AB" w14:textId="22EBBF6F" w:rsidR="009B61DA" w:rsidRPr="00815672" w:rsidRDefault="009B61DA" w:rsidP="0074607F">
      <w:pPr>
        <w:spacing w:line="240" w:lineRule="auto"/>
        <w:jc w:val="both"/>
        <w:rPr>
          <w:rFonts w:ascii="Times New Roman" w:hAnsi="Times New Roman" w:cs="Times New Roman"/>
          <w:sz w:val="28"/>
          <w:szCs w:val="28"/>
        </w:rPr>
      </w:pPr>
      <w:r w:rsidRPr="00815672">
        <w:rPr>
          <w:rFonts w:ascii="Times New Roman" w:hAnsi="Times New Roman"/>
          <w:sz w:val="28"/>
        </w:rPr>
        <w:t>Bardzo często pracownicy sądów mają trudności z określeniem i zastosowaniem odpowiedniego instrumentu prawnego w zakresie współpracy sądowej w sprawach karnych.</w:t>
      </w:r>
    </w:p>
    <w:p w14:paraId="7D85E526" w14:textId="6639CFF0" w:rsidR="009B61DA" w:rsidRPr="00815672" w:rsidRDefault="009B61DA" w:rsidP="0074607F">
      <w:pPr>
        <w:spacing w:line="240" w:lineRule="auto"/>
        <w:jc w:val="both"/>
        <w:rPr>
          <w:rFonts w:ascii="Times New Roman" w:hAnsi="Times New Roman" w:cs="Times New Roman"/>
          <w:sz w:val="28"/>
          <w:szCs w:val="28"/>
        </w:rPr>
      </w:pPr>
      <w:r w:rsidRPr="00815672">
        <w:rPr>
          <w:rFonts w:ascii="Times New Roman" w:hAnsi="Times New Roman"/>
          <w:sz w:val="28"/>
        </w:rPr>
        <w:t>Po określeniu instrumentu prawnego, który ma zastosowanie, pracownicy sądu zajmują się zadaniami administracyjnymi, począwszy od wypełnienia formularza wymaganego na mocy instrumentu prawnego, poprzez wskazanie właściwego organu, do którego należy przesłać formularz, tłumaczenie formularza, aż po wnioskowanie o dodatkowe informacje dotyczące współpracy sądowej lub ich przesyłanie.</w:t>
      </w:r>
    </w:p>
    <w:p w14:paraId="14B4EBA0" w14:textId="77777777" w:rsidR="009B61DA" w:rsidRPr="00815672" w:rsidRDefault="009B61DA" w:rsidP="0074607F">
      <w:pPr>
        <w:jc w:val="both"/>
        <w:rPr>
          <w:rFonts w:ascii="Times New Roman" w:hAnsi="Times New Roman" w:cs="Times New Roman"/>
          <w:sz w:val="28"/>
          <w:szCs w:val="28"/>
        </w:rPr>
      </w:pPr>
      <w:r w:rsidRPr="00815672">
        <w:rPr>
          <w:rFonts w:ascii="Times New Roman" w:hAnsi="Times New Roman"/>
          <w:sz w:val="28"/>
        </w:rPr>
        <w:t xml:space="preserve">Z tych powodów w ramach seminariów zostaną omówione następujące główne aspekty: </w:t>
      </w:r>
    </w:p>
    <w:p w14:paraId="1598949D" w14:textId="284DC3BD" w:rsidR="009B61DA" w:rsidRPr="00815672" w:rsidRDefault="00436D8F" w:rsidP="0013415C">
      <w:pPr>
        <w:pStyle w:val="Akapitzlist"/>
        <w:numPr>
          <w:ilvl w:val="0"/>
          <w:numId w:val="10"/>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 xml:space="preserve">Kluczowe cechy procesu wzajemnej pomocy prawnej ze szczególnym uwzględnieniem przesłuchań świadków i podejrzanych w formie wideokonferencji i telekonferencji. </w:t>
      </w:r>
    </w:p>
    <w:p w14:paraId="7B0CB1CD" w14:textId="3201E998" w:rsidR="00994619" w:rsidRPr="00815672" w:rsidRDefault="00994619" w:rsidP="0013415C">
      <w:pPr>
        <w:pStyle w:val="Akapitzlist"/>
        <w:numPr>
          <w:ilvl w:val="0"/>
          <w:numId w:val="10"/>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 xml:space="preserve">Relacja między Konwencją o wzajemnej pomocy w sprawach karnych pomiędzy państwami członkowskimi UE i jej protokołem, Europejską Konwencją o wzajemnej pomocy w sprawach karnych z 1959 r. i jej protokołami a dyrektywą 2014/41/UE dotyczącą gromadzenia dowodów z zagranicy. </w:t>
      </w:r>
    </w:p>
    <w:p w14:paraId="71E77C86" w14:textId="05B1386E" w:rsidR="00BA42B8" w:rsidRPr="00815672" w:rsidRDefault="009B61DA" w:rsidP="0013415C">
      <w:pPr>
        <w:pStyle w:val="Akapitzlist"/>
        <w:numPr>
          <w:ilvl w:val="0"/>
          <w:numId w:val="10"/>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Zapoznanie się z treścią wniosku i uzyskanie wiedzy na temat wypełniania wniosku.</w:t>
      </w:r>
    </w:p>
    <w:p w14:paraId="7ACE858F" w14:textId="3266839F" w:rsidR="0051428E" w:rsidRPr="00815672" w:rsidRDefault="0051428E" w:rsidP="0013415C">
      <w:pPr>
        <w:pStyle w:val="Akapitzlist"/>
        <w:numPr>
          <w:ilvl w:val="0"/>
          <w:numId w:val="10"/>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Zapoznanie się z zasadami i wymogami mającymi zastosowanie do przesłuchań świadków i podejrzanych w formie wideokonferencji i telekonferencji, przewidzianymi w różnych instrumentach prawnych dotyczących współpracy sądowej w sprawach karnych.</w:t>
      </w:r>
    </w:p>
    <w:p w14:paraId="13B04B6D" w14:textId="133D15BC" w:rsidR="009B61DA" w:rsidRPr="00815672" w:rsidRDefault="0053543D" w:rsidP="0013415C">
      <w:pPr>
        <w:pStyle w:val="Akapitzlist"/>
        <w:numPr>
          <w:ilvl w:val="0"/>
          <w:numId w:val="10"/>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 xml:space="preserve">Omówione zostaną różne szczegóły administracyjne, takie jak sposób postępowania organu wydającego nakaz w danej sytuacji, gdzie organ wydający nakaz może znaleźć elektroniczną wersję wniosku, gdzie organ </w:t>
      </w:r>
      <w:r w:rsidRPr="00815672">
        <w:rPr>
          <w:rFonts w:ascii="Times New Roman" w:hAnsi="Times New Roman"/>
          <w:sz w:val="28"/>
        </w:rPr>
        <w:lastRenderedPageBreak/>
        <w:t xml:space="preserve">wydający nakaz może znaleźć właściwy organ z państwa członkowskiego wykonującego nakaz, do którego należy skierować wniosek. </w:t>
      </w:r>
    </w:p>
    <w:p w14:paraId="4333A970" w14:textId="1D0C93A7" w:rsidR="000F3081" w:rsidRPr="00815672" w:rsidRDefault="000F3081" w:rsidP="0074607F">
      <w:pPr>
        <w:rPr>
          <w:rFonts w:ascii="Times New Roman" w:hAnsi="Times New Roman" w:cs="Times New Roman"/>
          <w:sz w:val="28"/>
          <w:szCs w:val="28"/>
        </w:rPr>
      </w:pPr>
    </w:p>
    <w:p w14:paraId="2CD04BB0" w14:textId="07A3A723" w:rsidR="005D593D" w:rsidRPr="00815672" w:rsidRDefault="009B61DA" w:rsidP="00AB5E57">
      <w:pPr>
        <w:pStyle w:val="Akapitzlist"/>
        <w:numPr>
          <w:ilvl w:val="0"/>
          <w:numId w:val="9"/>
        </w:numPr>
        <w:ind w:left="0" w:firstLine="0"/>
        <w:contextualSpacing w:val="0"/>
        <w:jc w:val="both"/>
        <w:rPr>
          <w:rFonts w:ascii="Times New Roman" w:hAnsi="Times New Roman" w:cs="Times New Roman"/>
          <w:b/>
          <w:bCs/>
          <w:color w:val="2F5496" w:themeColor="accent1" w:themeShade="BF"/>
          <w:sz w:val="28"/>
          <w:szCs w:val="28"/>
        </w:rPr>
      </w:pPr>
      <w:r w:rsidRPr="00815672">
        <w:rPr>
          <w:rFonts w:ascii="Times New Roman" w:hAnsi="Times New Roman"/>
          <w:b/>
          <w:color w:val="2F5496" w:themeColor="accent1" w:themeShade="BF"/>
          <w:sz w:val="28"/>
        </w:rPr>
        <w:t>Grupy robocze i struktura seminarium</w:t>
      </w:r>
    </w:p>
    <w:p w14:paraId="70A6688F" w14:textId="77777777" w:rsidR="00B05503" w:rsidRPr="00815672" w:rsidRDefault="00B05503" w:rsidP="00AB5E57">
      <w:pPr>
        <w:spacing w:line="240" w:lineRule="auto"/>
        <w:jc w:val="both"/>
        <w:rPr>
          <w:rFonts w:ascii="Times New Roman" w:hAnsi="Times New Roman" w:cs="Times New Roman"/>
          <w:sz w:val="28"/>
          <w:szCs w:val="28"/>
        </w:rPr>
      </w:pPr>
      <w:r w:rsidRPr="00815672">
        <w:rPr>
          <w:rFonts w:ascii="Times New Roman" w:hAnsi="Times New Roman"/>
          <w:sz w:val="28"/>
        </w:rPr>
        <w:t xml:space="preserve">Seminarium rozpocznie się </w:t>
      </w:r>
      <w:r w:rsidRPr="00815672">
        <w:rPr>
          <w:rFonts w:ascii="Times New Roman" w:hAnsi="Times New Roman"/>
          <w:b/>
          <w:sz w:val="28"/>
        </w:rPr>
        <w:t>prezentacją</w:t>
      </w:r>
      <w:r w:rsidRPr="00815672">
        <w:rPr>
          <w:rFonts w:ascii="Times New Roman" w:hAnsi="Times New Roman"/>
          <w:sz w:val="28"/>
        </w:rPr>
        <w:t xml:space="preserve"> .ppt, w której prowadzący wyjaśni niektóre kluczowe cechy procesu wzajemnej pomocy prawnej (związek między instrumentami prawnymi dotyczącymi wzajemnej pomocy prawnej a instrumentami prawnymi dotyczącymi wzajemnego uznawania, jak zidentyfikować instrumenty prawne, kanały przekazywania, formularze, wykonanie, terminy), krótko wskazując na przepisy dotyczące przesłuchania w formie wideokonferencji i telekonferencji z Konwencji o pomocy prawnej w sprawach karnych pomiędzy państwami członkowskimi UE oraz drugiego protokołu dodatkowego do Europejskiej konwencji o pomocy prawnej w sprawach karnych z 1959 r.</w:t>
      </w:r>
      <w:r w:rsidRPr="00815672">
        <w:rPr>
          <w:rStyle w:val="Odwoanieprzypisudolnego"/>
          <w:rFonts w:ascii="Times New Roman" w:hAnsi="Times New Roman" w:cs="Times New Roman"/>
          <w:sz w:val="28"/>
          <w:szCs w:val="28"/>
        </w:rPr>
        <w:footnoteReference w:id="1"/>
      </w:r>
      <w:r w:rsidRPr="00815672">
        <w:rPr>
          <w:rFonts w:ascii="Times New Roman" w:hAnsi="Times New Roman"/>
          <w:sz w:val="28"/>
        </w:rPr>
        <w:t>.</w:t>
      </w:r>
    </w:p>
    <w:p w14:paraId="3B062598" w14:textId="77777777" w:rsidR="00B05503" w:rsidRPr="00815672" w:rsidRDefault="00B05503" w:rsidP="00AB5E57">
      <w:pPr>
        <w:spacing w:line="240" w:lineRule="auto"/>
        <w:jc w:val="both"/>
        <w:rPr>
          <w:rFonts w:ascii="Times New Roman" w:hAnsi="Times New Roman" w:cs="Times New Roman"/>
          <w:sz w:val="28"/>
          <w:szCs w:val="28"/>
        </w:rPr>
      </w:pPr>
      <w:r w:rsidRPr="00815672">
        <w:rPr>
          <w:rFonts w:ascii="Times New Roman" w:hAnsi="Times New Roman"/>
          <w:sz w:val="28"/>
        </w:rPr>
        <w:t xml:space="preserve">Prezentacja powinna trwać ok. </w:t>
      </w:r>
      <w:r w:rsidRPr="00815672">
        <w:rPr>
          <w:rFonts w:ascii="Times New Roman" w:hAnsi="Times New Roman"/>
          <w:b/>
          <w:sz w:val="28"/>
        </w:rPr>
        <w:t>15-20 minut</w:t>
      </w:r>
      <w:r w:rsidRPr="00815672">
        <w:rPr>
          <w:rFonts w:ascii="Times New Roman" w:hAnsi="Times New Roman"/>
          <w:sz w:val="28"/>
        </w:rPr>
        <w:t>.</w:t>
      </w:r>
    </w:p>
    <w:p w14:paraId="5999C274" w14:textId="1F904528" w:rsidR="005D593D" w:rsidRPr="00815672" w:rsidRDefault="00B05503" w:rsidP="00AB5E57">
      <w:pPr>
        <w:spacing w:line="240" w:lineRule="auto"/>
        <w:jc w:val="both"/>
        <w:rPr>
          <w:rFonts w:ascii="Times New Roman" w:hAnsi="Times New Roman" w:cs="Times New Roman"/>
          <w:sz w:val="28"/>
          <w:szCs w:val="28"/>
        </w:rPr>
      </w:pPr>
      <w:r w:rsidRPr="00815672">
        <w:rPr>
          <w:rFonts w:ascii="Times New Roman" w:hAnsi="Times New Roman"/>
          <w:sz w:val="28"/>
        </w:rPr>
        <w:t xml:space="preserve">Seminarium będzie kontynuowane za pomocą </w:t>
      </w:r>
      <w:r w:rsidRPr="00815672">
        <w:rPr>
          <w:rFonts w:ascii="Times New Roman" w:hAnsi="Times New Roman"/>
          <w:b/>
          <w:sz w:val="28"/>
        </w:rPr>
        <w:t>scenariuszy wprowadzających</w:t>
      </w:r>
      <w:r w:rsidRPr="00815672">
        <w:rPr>
          <w:rFonts w:ascii="Times New Roman" w:hAnsi="Times New Roman"/>
          <w:sz w:val="28"/>
        </w:rPr>
        <w:t>, które stanowią okazję dla uczestników do określenia różnych instrumentów współpracy sądowej w celu gromadzenia dowodów przy współpracy innego państwa członkowskiego.</w:t>
      </w:r>
    </w:p>
    <w:p w14:paraId="1E05F4EE" w14:textId="6FA95436" w:rsidR="0009377E" w:rsidRPr="00815672" w:rsidRDefault="00D703E7" w:rsidP="00AB5E57">
      <w:pPr>
        <w:spacing w:line="240" w:lineRule="auto"/>
        <w:jc w:val="both"/>
        <w:rPr>
          <w:rFonts w:ascii="Times New Roman" w:hAnsi="Times New Roman" w:cs="Times New Roman"/>
          <w:sz w:val="28"/>
          <w:szCs w:val="28"/>
        </w:rPr>
      </w:pPr>
      <w:r w:rsidRPr="00815672">
        <w:rPr>
          <w:rFonts w:ascii="Times New Roman" w:hAnsi="Times New Roman"/>
          <w:sz w:val="28"/>
        </w:rPr>
        <w:t>Uczestnicy zostaną podzieleni na 4-6 grup po 5-8 osób, a każda grupa będzie miała do dyspozycji laptop/komputer z dostępem do Internetu.</w:t>
      </w:r>
    </w:p>
    <w:p w14:paraId="20FD2FB8" w14:textId="59715125" w:rsidR="000F3081" w:rsidRPr="00815672" w:rsidRDefault="000F3081" w:rsidP="0074607F">
      <w:pPr>
        <w:spacing w:line="240" w:lineRule="auto"/>
        <w:jc w:val="both"/>
        <w:rPr>
          <w:rFonts w:ascii="Times New Roman" w:hAnsi="Times New Roman" w:cs="Times New Roman"/>
          <w:sz w:val="28"/>
          <w:szCs w:val="28"/>
        </w:rPr>
      </w:pPr>
      <w:r w:rsidRPr="00815672">
        <w:rPr>
          <w:rFonts w:ascii="Times New Roman" w:hAnsi="Times New Roman"/>
          <w:b/>
          <w:sz w:val="28"/>
        </w:rPr>
        <w:t>Scenariusze wprowadzające</w:t>
      </w:r>
      <w:r w:rsidRPr="00815672">
        <w:rPr>
          <w:rFonts w:ascii="Times New Roman" w:hAnsi="Times New Roman"/>
          <w:sz w:val="28"/>
        </w:rPr>
        <w:t xml:space="preserve"> pomogą uczestnikom lepiej zrozumieć związki między instrumentami prawnymi dotyczącymi współpracy sądowej w sprawach karnych, ponieważ czasami mogą one wydawać się skomplikowane.</w:t>
      </w:r>
    </w:p>
    <w:p w14:paraId="0EF27E6E" w14:textId="412EE7B9" w:rsidR="000F3081" w:rsidRPr="00815672" w:rsidRDefault="000F3081" w:rsidP="0074607F">
      <w:pPr>
        <w:spacing w:line="240" w:lineRule="auto"/>
        <w:jc w:val="both"/>
        <w:rPr>
          <w:rFonts w:ascii="Times New Roman" w:hAnsi="Times New Roman" w:cs="Times New Roman"/>
          <w:sz w:val="28"/>
          <w:szCs w:val="28"/>
        </w:rPr>
      </w:pPr>
      <w:r w:rsidRPr="00815672">
        <w:rPr>
          <w:rFonts w:ascii="Times New Roman" w:hAnsi="Times New Roman"/>
          <w:sz w:val="28"/>
        </w:rPr>
        <w:t>Prowadzący pomoże uczestnikom dostrzec relację pomiędzy Dyrektywą 2014/41</w:t>
      </w:r>
      <w:r w:rsidRPr="00815672">
        <w:rPr>
          <w:rStyle w:val="Odwoanieprzypisudolnego"/>
          <w:rFonts w:ascii="Times New Roman" w:hAnsi="Times New Roman" w:cs="Times New Roman"/>
          <w:sz w:val="28"/>
          <w:szCs w:val="28"/>
        </w:rPr>
        <w:footnoteReference w:id="2"/>
      </w:r>
      <w:r w:rsidRPr="00815672">
        <w:rPr>
          <w:rFonts w:ascii="Times New Roman" w:hAnsi="Times New Roman"/>
          <w:color w:val="444444"/>
          <w:sz w:val="21"/>
          <w:shd w:val="clear" w:color="auto" w:fill="FFFFFF"/>
        </w:rPr>
        <w:t xml:space="preserve"> </w:t>
      </w:r>
      <w:r w:rsidRPr="00815672">
        <w:rPr>
          <w:rFonts w:ascii="Times New Roman" w:hAnsi="Times New Roman"/>
          <w:sz w:val="28"/>
        </w:rPr>
        <w:t>parlamentu Europejskiego i Rady z dnia 3 kwietnia 2014 r. w sprawie europejskiego nakazu dochodzeniowego w sprawach karnych, Konwencją o wzajemnej pomocy w sprawach karnych pomiędzy państwami członkowskimi UE</w:t>
      </w:r>
      <w:r w:rsidR="00037D8A" w:rsidRPr="00815672">
        <w:rPr>
          <w:rStyle w:val="Odwoanieprzypisudolnego"/>
          <w:rFonts w:ascii="Times New Roman" w:hAnsi="Times New Roman" w:cs="Times New Roman"/>
          <w:sz w:val="28"/>
          <w:szCs w:val="28"/>
        </w:rPr>
        <w:footnoteReference w:id="3"/>
      </w:r>
      <w:r w:rsidRPr="00815672">
        <w:rPr>
          <w:rFonts w:ascii="Times New Roman" w:hAnsi="Times New Roman"/>
          <w:sz w:val="28"/>
        </w:rPr>
        <w:t xml:space="preserve"> oraz Europejską konwencją o pomocy prawnej w sprawach karnych z 1959 r. i jej protokołami</w:t>
      </w:r>
      <w:r w:rsidR="00037D8A" w:rsidRPr="00815672">
        <w:rPr>
          <w:rStyle w:val="Odwoanieprzypisudolnego"/>
          <w:rFonts w:ascii="Times New Roman" w:hAnsi="Times New Roman" w:cs="Times New Roman"/>
          <w:sz w:val="28"/>
          <w:szCs w:val="28"/>
        </w:rPr>
        <w:footnoteReference w:id="4"/>
      </w:r>
      <w:r w:rsidRPr="00815672">
        <w:rPr>
          <w:rFonts w:ascii="Times New Roman" w:hAnsi="Times New Roman"/>
          <w:sz w:val="28"/>
        </w:rPr>
        <w:t>.</w:t>
      </w:r>
    </w:p>
    <w:p w14:paraId="573CE38F" w14:textId="55F2C289" w:rsidR="00B05503" w:rsidRPr="00815672" w:rsidRDefault="00AF30AC" w:rsidP="00B05503">
      <w:pPr>
        <w:spacing w:line="240" w:lineRule="auto"/>
        <w:jc w:val="both"/>
        <w:rPr>
          <w:rFonts w:ascii="Times New Roman" w:hAnsi="Times New Roman" w:cs="Times New Roman"/>
          <w:sz w:val="28"/>
          <w:szCs w:val="28"/>
        </w:rPr>
      </w:pPr>
      <w:r w:rsidRPr="00815672">
        <w:rPr>
          <w:rFonts w:ascii="Times New Roman" w:hAnsi="Times New Roman"/>
          <w:sz w:val="28"/>
        </w:rPr>
        <w:t xml:space="preserve">Rozwiązywanie scenariuszy wprowadzających powinno zająć ok. </w:t>
      </w:r>
      <w:r w:rsidRPr="00815672">
        <w:rPr>
          <w:rFonts w:ascii="Times New Roman" w:hAnsi="Times New Roman"/>
          <w:b/>
          <w:sz w:val="28"/>
        </w:rPr>
        <w:t>30 minut</w:t>
      </w:r>
      <w:r w:rsidRPr="00815672">
        <w:rPr>
          <w:rFonts w:ascii="Times New Roman" w:hAnsi="Times New Roman"/>
          <w:sz w:val="28"/>
        </w:rPr>
        <w:t>.</w:t>
      </w:r>
    </w:p>
    <w:p w14:paraId="4A91F33D" w14:textId="49BBEBF9" w:rsidR="002A5FAB" w:rsidRPr="00815672" w:rsidRDefault="002A5FAB"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W tym momencie nastąpi </w:t>
      </w:r>
      <w:r w:rsidRPr="00815672">
        <w:rPr>
          <w:rFonts w:ascii="Times New Roman" w:hAnsi="Times New Roman"/>
          <w:b/>
          <w:sz w:val="28"/>
        </w:rPr>
        <w:t>10-minutowa przerwa</w:t>
      </w:r>
      <w:r w:rsidRPr="00815672">
        <w:rPr>
          <w:rFonts w:ascii="Times New Roman" w:hAnsi="Times New Roman"/>
          <w:sz w:val="28"/>
        </w:rPr>
        <w:t>.</w:t>
      </w:r>
    </w:p>
    <w:p w14:paraId="2DD407E4" w14:textId="4F3FBD7F" w:rsidR="008371D5" w:rsidRPr="00815672" w:rsidRDefault="008371D5"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 </w:t>
      </w:r>
      <w:r w:rsidRPr="00815672">
        <w:rPr>
          <w:rFonts w:ascii="Times New Roman" w:hAnsi="Times New Roman"/>
          <w:b/>
          <w:sz w:val="28"/>
        </w:rPr>
        <w:t>Scenariusz przypadku</w:t>
      </w:r>
      <w:r w:rsidRPr="00815672">
        <w:rPr>
          <w:rFonts w:ascii="Times New Roman" w:hAnsi="Times New Roman"/>
          <w:sz w:val="28"/>
        </w:rPr>
        <w:t xml:space="preserve"> jest dla uczestników okazją do głębszego zrozumienia systemu wzajemnej pomoc prawnej i różnic w stosunku do instrumentów </w:t>
      </w:r>
      <w:r w:rsidRPr="00815672">
        <w:rPr>
          <w:rFonts w:ascii="Times New Roman" w:hAnsi="Times New Roman"/>
          <w:sz w:val="28"/>
        </w:rPr>
        <w:lastRenderedPageBreak/>
        <w:t>prawnych dotyczących wzajemnego uznawania, z zastosowaniem przepisów Konwencji o wzajemnej pomocy w sprawach karnych pomiędzy państwami członkowskimi UE oraz Europejskiej konwencji o wzajemnej pomocy w sprawach karnych z 1959 r. i jej protokołów.</w:t>
      </w:r>
    </w:p>
    <w:p w14:paraId="4733ADAD" w14:textId="181C2D3A" w:rsidR="002A5FAB" w:rsidRPr="00815672" w:rsidRDefault="009B61DA" w:rsidP="0074607F">
      <w:pPr>
        <w:spacing w:line="240" w:lineRule="auto"/>
        <w:jc w:val="both"/>
        <w:rPr>
          <w:rFonts w:ascii="Times New Roman" w:hAnsi="Times New Roman" w:cs="Times New Roman"/>
          <w:sz w:val="28"/>
          <w:szCs w:val="28"/>
        </w:rPr>
      </w:pPr>
      <w:r w:rsidRPr="00815672">
        <w:rPr>
          <w:rFonts w:ascii="Times New Roman" w:hAnsi="Times New Roman"/>
          <w:sz w:val="28"/>
        </w:rPr>
        <w:t>Odpowiadając na pytania, uczestnicy będą w stanie zidentyfikować właściwe organy zaangażowane w proces tworzenia listów intencyjnych, zrozumieć kanały przekazywania listów intencyjnych, możliwość zastosowania terminów oraz zasady i wymogi mające zastosowanie do przesłuchań świadków i podejrzanych w formie wideokonferencji.</w:t>
      </w:r>
    </w:p>
    <w:p w14:paraId="1EBD93EC" w14:textId="22253217" w:rsidR="00353CD7" w:rsidRPr="00815672" w:rsidRDefault="00353CD7" w:rsidP="0074607F">
      <w:pPr>
        <w:spacing w:line="240" w:lineRule="auto"/>
        <w:jc w:val="both"/>
        <w:rPr>
          <w:rFonts w:ascii="Times New Roman" w:hAnsi="Times New Roman" w:cs="Times New Roman"/>
          <w:sz w:val="28"/>
          <w:szCs w:val="28"/>
        </w:rPr>
      </w:pPr>
      <w:r w:rsidRPr="00815672">
        <w:rPr>
          <w:rFonts w:ascii="Times New Roman" w:hAnsi="Times New Roman"/>
          <w:sz w:val="28"/>
        </w:rPr>
        <w:t>Uczestnicy będą również wypełniać wnioski, aby przesłuchać świadka i/lub podejrzanego przez wzajemną pomoc prawną. W tym celu 2-3 grupy wypełnią wniosek dla przesłuchania podejrzanego, a pozostałe 2-3 grupy wypełnią wniosek dla przesłuchania świadka.</w:t>
      </w:r>
    </w:p>
    <w:p w14:paraId="70905EB4" w14:textId="2C09024C" w:rsidR="00B05503" w:rsidRPr="00815672" w:rsidRDefault="00353CD7" w:rsidP="00C31C79">
      <w:pPr>
        <w:spacing w:line="240" w:lineRule="auto"/>
        <w:jc w:val="both"/>
        <w:rPr>
          <w:rFonts w:ascii="Times New Roman" w:hAnsi="Times New Roman" w:cs="Times New Roman"/>
          <w:sz w:val="28"/>
          <w:szCs w:val="28"/>
        </w:rPr>
      </w:pPr>
      <w:r w:rsidRPr="00815672">
        <w:rPr>
          <w:rFonts w:ascii="Times New Roman" w:hAnsi="Times New Roman"/>
          <w:sz w:val="28"/>
        </w:rPr>
        <w:t xml:space="preserve">Uczestnicy wejdą na stronę internetową EJN </w:t>
      </w:r>
      <w:hyperlink r:id="rId9" w:history="1">
        <w:r w:rsidRPr="00815672">
          <w:rPr>
            <w:rStyle w:val="Hipercze"/>
            <w:rFonts w:ascii="Times New Roman" w:hAnsi="Times New Roman"/>
            <w:sz w:val="28"/>
          </w:rPr>
          <w:t>w sekcji Kompendium</w:t>
        </w:r>
      </w:hyperlink>
      <w:r w:rsidRPr="00815672">
        <w:rPr>
          <w:rFonts w:ascii="Times New Roman" w:hAnsi="Times New Roman"/>
          <w:sz w:val="28"/>
        </w:rPr>
        <w:t>.</w:t>
      </w:r>
    </w:p>
    <w:p w14:paraId="69E08E89" w14:textId="11676518" w:rsidR="00353CD7" w:rsidRPr="00815672" w:rsidRDefault="00353CD7" w:rsidP="0074607F">
      <w:pPr>
        <w:spacing w:line="240" w:lineRule="auto"/>
        <w:jc w:val="both"/>
        <w:rPr>
          <w:rFonts w:ascii="Times New Roman" w:hAnsi="Times New Roman" w:cs="Times New Roman"/>
          <w:sz w:val="28"/>
          <w:szCs w:val="28"/>
        </w:rPr>
      </w:pPr>
      <w:r w:rsidRPr="00815672">
        <w:rPr>
          <w:rFonts w:ascii="Times New Roman" w:hAnsi="Times New Roman"/>
          <w:sz w:val="28"/>
        </w:rPr>
        <w:t>Tutaj uczestnicy będą mogli wypełnić wniosek online, a następnie zapisać go na laptopie i wydrukować.</w:t>
      </w:r>
    </w:p>
    <w:p w14:paraId="45629D92" w14:textId="21576D61" w:rsidR="00564D5E" w:rsidRPr="00815672" w:rsidRDefault="007E5FD7"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Wypełnione wnioski zostaną później sprawdzone z prowadzącym. </w:t>
      </w:r>
    </w:p>
    <w:p w14:paraId="768CC686" w14:textId="38E37648" w:rsidR="001F6ACC" w:rsidRPr="00815672" w:rsidRDefault="001F6ACC"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Rozwiązanie scenariusza przypadku powinno zająć ok. </w:t>
      </w:r>
      <w:r w:rsidRPr="00815672">
        <w:rPr>
          <w:rFonts w:ascii="Times New Roman" w:hAnsi="Times New Roman"/>
          <w:b/>
          <w:sz w:val="28"/>
        </w:rPr>
        <w:t>2 godziny i 20 minut</w:t>
      </w:r>
      <w:r w:rsidRPr="00815672">
        <w:rPr>
          <w:rFonts w:ascii="Times New Roman" w:hAnsi="Times New Roman"/>
          <w:sz w:val="28"/>
        </w:rPr>
        <w:t>.</w:t>
      </w:r>
    </w:p>
    <w:p w14:paraId="47169767" w14:textId="6D8E10C1" w:rsidR="001F6ACC" w:rsidRPr="00815672" w:rsidRDefault="001F6ACC"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Wszelkie dodatkowe pytania powinny być przedyskutowane na koniec na forum (przez </w:t>
      </w:r>
      <w:r w:rsidRPr="00815672">
        <w:rPr>
          <w:rFonts w:ascii="Times New Roman" w:hAnsi="Times New Roman"/>
          <w:b/>
          <w:sz w:val="28"/>
        </w:rPr>
        <w:t>ok. 5-10 minut</w:t>
      </w:r>
      <w:r w:rsidRPr="00815672">
        <w:rPr>
          <w:rFonts w:ascii="Times New Roman" w:hAnsi="Times New Roman"/>
          <w:sz w:val="28"/>
        </w:rPr>
        <w:t>).</w:t>
      </w:r>
    </w:p>
    <w:p w14:paraId="0E2DDB43" w14:textId="71746C92" w:rsidR="00B05503" w:rsidRPr="00815672" w:rsidRDefault="00B05503" w:rsidP="0074607F">
      <w:pPr>
        <w:spacing w:line="240" w:lineRule="auto"/>
        <w:jc w:val="both"/>
        <w:rPr>
          <w:rFonts w:ascii="Times New Roman" w:hAnsi="Times New Roman" w:cs="Times New Roman"/>
          <w:sz w:val="28"/>
          <w:szCs w:val="28"/>
        </w:rPr>
      </w:pPr>
      <w:r w:rsidRPr="00815672">
        <w:rPr>
          <w:rFonts w:ascii="Times New Roman" w:hAnsi="Times New Roman"/>
          <w:sz w:val="28"/>
        </w:rPr>
        <w:t>Organizatorzy powinni starać się utworzyć grupy uczestników o mniej więcej takim samym poziomie doświadczenia w pracy z instrumentami prawnymi wzajemnej pomocy prawnej.</w:t>
      </w:r>
    </w:p>
    <w:p w14:paraId="6BCC2F92" w14:textId="77777777" w:rsidR="009B61DA" w:rsidRPr="00815672" w:rsidRDefault="009B61DA" w:rsidP="0074607F">
      <w:pPr>
        <w:pStyle w:val="Akapitzlist"/>
        <w:ind w:left="1080"/>
        <w:contextualSpacing w:val="0"/>
        <w:jc w:val="both"/>
        <w:rPr>
          <w:rFonts w:ascii="Times New Roman" w:hAnsi="Times New Roman" w:cs="Times New Roman"/>
          <w:b/>
          <w:bCs/>
          <w:sz w:val="28"/>
          <w:szCs w:val="28"/>
        </w:rPr>
      </w:pPr>
    </w:p>
    <w:p w14:paraId="5B25F749" w14:textId="37DBD29F" w:rsidR="009B61DA" w:rsidRPr="00815672" w:rsidRDefault="009B61DA" w:rsidP="0013415C">
      <w:pPr>
        <w:pStyle w:val="Akapitzlist"/>
        <w:numPr>
          <w:ilvl w:val="0"/>
          <w:numId w:val="9"/>
        </w:numPr>
        <w:ind w:left="0" w:firstLine="0"/>
        <w:contextualSpacing w:val="0"/>
        <w:jc w:val="both"/>
        <w:rPr>
          <w:rFonts w:ascii="Times New Roman" w:hAnsi="Times New Roman" w:cs="Times New Roman"/>
          <w:b/>
          <w:bCs/>
          <w:color w:val="2F5496" w:themeColor="accent1" w:themeShade="BF"/>
          <w:sz w:val="28"/>
          <w:szCs w:val="28"/>
        </w:rPr>
      </w:pPr>
      <w:r w:rsidRPr="00815672">
        <w:rPr>
          <w:rFonts w:ascii="Times New Roman" w:hAnsi="Times New Roman"/>
          <w:b/>
          <w:color w:val="2F5496" w:themeColor="accent1" w:themeShade="BF"/>
          <w:sz w:val="28"/>
        </w:rPr>
        <w:t xml:space="preserve">Dodatkowe wymagania </w:t>
      </w:r>
    </w:p>
    <w:p w14:paraId="5E4BAA30" w14:textId="36853011" w:rsidR="00564D5E" w:rsidRPr="00815672" w:rsidRDefault="00564D5E" w:rsidP="0074607F">
      <w:pPr>
        <w:spacing w:line="240" w:lineRule="auto"/>
        <w:jc w:val="both"/>
        <w:rPr>
          <w:rFonts w:ascii="Times New Roman" w:hAnsi="Times New Roman" w:cs="Times New Roman"/>
          <w:b/>
          <w:bCs/>
          <w:sz w:val="28"/>
          <w:szCs w:val="28"/>
        </w:rPr>
      </w:pPr>
      <w:r w:rsidRPr="00815672">
        <w:rPr>
          <w:rFonts w:ascii="Times New Roman" w:hAnsi="Times New Roman"/>
          <w:sz w:val="28"/>
        </w:rPr>
        <w:t>Uczestnicy będą mieli dostęp do Europejskiej konwencji o pomocy prawnej w sprawach karnych z dnia 20 kwietnia 1959 r. oraz protokołów do niej (</w:t>
      </w:r>
      <w:hyperlink r:id="rId10" w:history="1">
        <w:r w:rsidRPr="00815672">
          <w:rPr>
            <w:rStyle w:val="Hipercze"/>
            <w:rFonts w:ascii="Times New Roman" w:hAnsi="Times New Roman"/>
            <w:sz w:val="28"/>
          </w:rPr>
          <w:t>Biuro Traktatowe na stronie internetowej Rady Europy</w:t>
        </w:r>
      </w:hyperlink>
      <w:r w:rsidRPr="00815672">
        <w:rPr>
          <w:rFonts w:ascii="Times New Roman" w:hAnsi="Times New Roman"/>
          <w:sz w:val="28"/>
        </w:rPr>
        <w:t>), Konwencji z dnia 29 maja 2000 r. o wzajemnej pomocy w sprawach karnych pomiędzy państwami członkowskimi UE oraz Dyrektywy 2014/41/UE z dnia 3 kwietnia 2014 r. w sprawie europejskiego nakazu dochodzeniowego w sprawach karnych (</w:t>
      </w:r>
      <w:hyperlink r:id="rId11" w:history="1">
        <w:r w:rsidRPr="00815672">
          <w:rPr>
            <w:rStyle w:val="Hipercze"/>
            <w:rFonts w:ascii="Times New Roman" w:hAnsi="Times New Roman"/>
            <w:sz w:val="28"/>
          </w:rPr>
          <w:t>Strona internetowa EJN</w:t>
        </w:r>
      </w:hyperlink>
      <w:r w:rsidRPr="00815672">
        <w:rPr>
          <w:rFonts w:ascii="Times New Roman" w:hAnsi="Times New Roman"/>
          <w:sz w:val="28"/>
        </w:rPr>
        <w:t>).</w:t>
      </w:r>
    </w:p>
    <w:p w14:paraId="0CB08DD6" w14:textId="477EFC5B" w:rsidR="005F23E3" w:rsidRPr="00815672" w:rsidRDefault="002A7CAA" w:rsidP="0074607F">
      <w:pPr>
        <w:rPr>
          <w:rFonts w:ascii="Times New Roman" w:hAnsi="Times New Roman" w:cs="Times New Roman"/>
          <w:sz w:val="28"/>
          <w:szCs w:val="28"/>
        </w:rPr>
      </w:pPr>
      <w:r w:rsidRPr="00815672">
        <w:br w:type="page"/>
      </w:r>
    </w:p>
    <w:p w14:paraId="4F3461FC" w14:textId="6DA3F8A3" w:rsidR="00B738AB" w:rsidRPr="00815672" w:rsidRDefault="002A7CAA" w:rsidP="0074607F">
      <w:pPr>
        <w:pStyle w:val="Test"/>
        <w:shd w:val="clear" w:color="auto" w:fill="DED888"/>
        <w:spacing w:after="160"/>
        <w:jc w:val="center"/>
        <w:rPr>
          <w:rStyle w:val="Pogrubienie"/>
          <w:rFonts w:ascii="Times New Roman" w:hAnsi="Times New Roman"/>
          <w:b/>
          <w:bCs w:val="0"/>
          <w:color w:val="2F5496" w:themeColor="accent1" w:themeShade="BF"/>
          <w:sz w:val="32"/>
          <w:szCs w:val="32"/>
        </w:rPr>
      </w:pPr>
      <w:r w:rsidRPr="00815672">
        <w:rPr>
          <w:rStyle w:val="Pogrubienie"/>
          <w:rFonts w:ascii="Times New Roman" w:hAnsi="Times New Roman"/>
          <w:b/>
          <w:color w:val="2F5496" w:themeColor="accent1" w:themeShade="BF"/>
          <w:sz w:val="32"/>
        </w:rPr>
        <w:lastRenderedPageBreak/>
        <w:t>Część D. Rozwiązania</w:t>
      </w:r>
    </w:p>
    <w:p w14:paraId="3DE30605" w14:textId="77777777" w:rsidR="00012C6A" w:rsidRPr="00815672" w:rsidRDefault="00012C6A" w:rsidP="0074607F">
      <w:pPr>
        <w:spacing w:line="240" w:lineRule="auto"/>
        <w:ind w:left="720" w:hanging="720"/>
        <w:jc w:val="both"/>
        <w:rPr>
          <w:rFonts w:ascii="Times New Roman" w:hAnsi="Times New Roman" w:cs="Times New Roman"/>
          <w:b/>
          <w:bCs/>
          <w:sz w:val="28"/>
          <w:szCs w:val="28"/>
        </w:rPr>
      </w:pPr>
    </w:p>
    <w:p w14:paraId="11C76AA2" w14:textId="24F30389" w:rsidR="005E5B46" w:rsidRPr="00815672" w:rsidRDefault="002A7CAA" w:rsidP="0074607F">
      <w:pPr>
        <w:rPr>
          <w:rFonts w:ascii="Times New Roman" w:hAnsi="Times New Roman" w:cs="Times New Roman"/>
          <w:b/>
          <w:bCs/>
          <w:color w:val="2F5496" w:themeColor="accent1" w:themeShade="BF"/>
          <w:sz w:val="28"/>
          <w:szCs w:val="28"/>
        </w:rPr>
      </w:pPr>
      <w:r w:rsidRPr="00815672">
        <w:rPr>
          <w:rFonts w:ascii="Times New Roman" w:hAnsi="Times New Roman"/>
          <w:b/>
          <w:color w:val="2F5496" w:themeColor="accent1" w:themeShade="BF"/>
          <w:sz w:val="28"/>
        </w:rPr>
        <w:t>A. I. Scenariusze wprowadzające:</w:t>
      </w:r>
    </w:p>
    <w:p w14:paraId="7E9FB5C7" w14:textId="5C44F497" w:rsidR="006C448E" w:rsidRPr="00815672" w:rsidRDefault="006C448E"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Uzyskiwanie dowodów w sprawach karnych w ramach UE może odbywać się na dwa sposoby: przy wykorzystaniu </w:t>
      </w:r>
      <w:r w:rsidRPr="00815672">
        <w:rPr>
          <w:rFonts w:ascii="Times New Roman" w:hAnsi="Times New Roman"/>
          <w:b/>
          <w:i/>
          <w:sz w:val="28"/>
        </w:rPr>
        <w:t>instrumentów prawnych opartych na zasadzie wzajemnej pomocy</w:t>
      </w:r>
      <w:r w:rsidRPr="00815672">
        <w:rPr>
          <w:rFonts w:ascii="Times New Roman" w:hAnsi="Times New Roman"/>
          <w:sz w:val="28"/>
        </w:rPr>
        <w:t xml:space="preserve"> lub </w:t>
      </w:r>
      <w:r w:rsidRPr="00815672">
        <w:rPr>
          <w:rFonts w:ascii="Times New Roman" w:hAnsi="Times New Roman"/>
          <w:b/>
          <w:i/>
          <w:sz w:val="28"/>
        </w:rPr>
        <w:t>instrumentów prawnych opartych na zasadzie wzajemnego uznawania</w:t>
      </w:r>
      <w:r w:rsidRPr="00815672">
        <w:rPr>
          <w:rFonts w:ascii="Times New Roman" w:hAnsi="Times New Roman"/>
          <w:sz w:val="28"/>
        </w:rPr>
        <w:t>.</w:t>
      </w:r>
    </w:p>
    <w:p w14:paraId="04459C1C" w14:textId="215D251D" w:rsidR="002250D7" w:rsidRPr="00815672" w:rsidRDefault="006C448E"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W tym celu najważniejszym zadaniem organu sądowego jest </w:t>
      </w:r>
      <w:r w:rsidRPr="00815672">
        <w:rPr>
          <w:rFonts w:ascii="Times New Roman" w:hAnsi="Times New Roman"/>
          <w:sz w:val="28"/>
          <w:u w:val="single"/>
        </w:rPr>
        <w:t>określenie instrumentu prawnego mającego zastosowanie do dwóch państw członkowskich uczestniczących w przyszłym procesie współpracy sądowej</w:t>
      </w:r>
      <w:r w:rsidRPr="00815672">
        <w:rPr>
          <w:rFonts w:ascii="Times New Roman" w:hAnsi="Times New Roman"/>
          <w:sz w:val="28"/>
        </w:rPr>
        <w:t>. Pozwoli to wnioskującemu organowi sądowemu przestrzegać przewidzianych w nim wymogów w celu uzyskania korzystnego rozstrzygnięcia dla swojego wniosku.</w:t>
      </w:r>
    </w:p>
    <w:p w14:paraId="517C5918" w14:textId="20125A39" w:rsidR="00F05998" w:rsidRPr="00815672" w:rsidRDefault="006C448E"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Określenie instrumentu prawnego, który ma zastosowanie przez organ sądowy wydający nakaz, </w:t>
      </w:r>
      <w:r w:rsidRPr="00815672">
        <w:rPr>
          <w:rFonts w:ascii="Times New Roman" w:hAnsi="Times New Roman"/>
          <w:sz w:val="28"/>
          <w:u w:val="single"/>
        </w:rPr>
        <w:t>nie jest kwestią wyboru lub opowiedzenia się za jednym konkretnym instrumentem prawnym</w:t>
      </w:r>
      <w:r w:rsidRPr="00815672">
        <w:rPr>
          <w:rFonts w:ascii="Times New Roman" w:hAnsi="Times New Roman"/>
          <w:sz w:val="28"/>
        </w:rPr>
        <w:t>. Właściwym aktem prawnym będzie akt obowiązujący w chwili, gdy organ sądowy zwraca się o pomoc sądową do organu w innym państwie członkowskim UE.</w:t>
      </w:r>
    </w:p>
    <w:p w14:paraId="6329E68E" w14:textId="1E2E1802" w:rsidR="00C35008" w:rsidRPr="00815672" w:rsidRDefault="00C35008"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W tym celu organ wydający nakaz będzie musiał zwrócić szczególną uwagę na kolejność instrumentów prawnych, </w:t>
      </w:r>
      <w:r w:rsidRPr="00815672">
        <w:rPr>
          <w:rFonts w:ascii="Times New Roman" w:hAnsi="Times New Roman"/>
          <w:b/>
          <w:sz w:val="28"/>
        </w:rPr>
        <w:t>ponieważ zastępują one lub uzupełniają inne instrumenty prawne w odniesieniu do państw członkowskich</w:t>
      </w:r>
      <w:r w:rsidRPr="00815672">
        <w:rPr>
          <w:rFonts w:ascii="Times New Roman" w:hAnsi="Times New Roman"/>
          <w:sz w:val="28"/>
        </w:rPr>
        <w:t xml:space="preserve"> (związek z innymi instrumentami prawnymi jest zazwyczaj wspomniany na początku lub w przepisach końcowych danego instrumentu prawnego – np. art. 34 dyrektywy 2014/41/UE w sprawie europejskiego nakazu dochodzeniowego, art. 1 Konwencji o</w:t>
      </w:r>
      <w:r w:rsidRPr="00815672">
        <w:rPr>
          <w:rFonts w:ascii="Times New Roman" w:hAnsi="Times New Roman"/>
        </w:rPr>
        <w:t xml:space="preserve"> </w:t>
      </w:r>
      <w:r w:rsidRPr="00815672">
        <w:rPr>
          <w:rFonts w:ascii="Times New Roman" w:hAnsi="Times New Roman"/>
          <w:sz w:val="28"/>
        </w:rPr>
        <w:t>Wzajemnej pomocy w sprawach karnych pomiędzy państwami członkowskimi UE).</w:t>
      </w:r>
    </w:p>
    <w:p w14:paraId="7077F0A1" w14:textId="14FD3200" w:rsidR="00937B96" w:rsidRPr="00815672" w:rsidRDefault="00937B96" w:rsidP="0013415C">
      <w:pPr>
        <w:pStyle w:val="Akapitzlist"/>
        <w:numPr>
          <w:ilvl w:val="0"/>
          <w:numId w:val="11"/>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 xml:space="preserve">Dla przykładu, </w:t>
      </w:r>
      <w:r w:rsidRPr="00815672">
        <w:rPr>
          <w:rFonts w:ascii="Times New Roman" w:hAnsi="Times New Roman"/>
          <w:b/>
          <w:sz w:val="28"/>
        </w:rPr>
        <w:t>jeżeli zastosowanie ma dyrektywa w sprawie europejskiego nakazu dochodzeniowego</w:t>
      </w:r>
      <w:r w:rsidRPr="00815672">
        <w:rPr>
          <w:rFonts w:ascii="Times New Roman" w:hAnsi="Times New Roman"/>
          <w:sz w:val="28"/>
        </w:rPr>
        <w:t xml:space="preserve">, organ sądowy wydający nakaz będzie musiał wypełnić europejski nakaz dochodzeniowy i zastosować procedurę, o której mowa w dyrektywie Parlamentu Europejskiego i Rady 2014/41/UE z dnia 3 kwietnia 2014 r. w sprawie europejskiego nakazu dochodzeniowego w sprawach karnych. </w:t>
      </w:r>
    </w:p>
    <w:p w14:paraId="2B7A3691" w14:textId="45FCF302" w:rsidR="00937B96" w:rsidRPr="00815672" w:rsidRDefault="00937B96" w:rsidP="0013415C">
      <w:pPr>
        <w:pStyle w:val="Akapitzlist"/>
        <w:numPr>
          <w:ilvl w:val="0"/>
          <w:numId w:val="11"/>
        </w:numPr>
        <w:spacing w:line="240" w:lineRule="auto"/>
        <w:contextualSpacing w:val="0"/>
        <w:jc w:val="both"/>
        <w:rPr>
          <w:rFonts w:ascii="Times New Roman" w:hAnsi="Times New Roman" w:cs="Times New Roman"/>
          <w:sz w:val="28"/>
          <w:szCs w:val="28"/>
        </w:rPr>
      </w:pPr>
      <w:r w:rsidRPr="00815672">
        <w:rPr>
          <w:rFonts w:ascii="Times New Roman" w:hAnsi="Times New Roman"/>
          <w:b/>
          <w:sz w:val="28"/>
        </w:rPr>
        <w:t>Jeżeli dyrektywa 2014/41/UE nie ma zastosowania do danego państwa członkowskiego</w:t>
      </w:r>
      <w:r w:rsidRPr="00815672">
        <w:rPr>
          <w:rFonts w:ascii="Times New Roman" w:hAnsi="Times New Roman"/>
          <w:sz w:val="28"/>
        </w:rPr>
        <w:t xml:space="preserve">, wówczas organ sądowy wydający nakaz będzie musiał odwołać się do konwencjonalnej wzajemnej pomocy prawnej zawartej w instrumentach prawnych takich jak: Europejska konwencja o pomocy prawnej w sprawach karnych Rady Europy z dnia 20 kwietnia 1959 r., a także jej dwa protokoły dodatkowe oraz umowy dwustronne zawarte na podstawie jej art. 26, Konwencja wykonawcza do </w:t>
      </w:r>
      <w:r w:rsidRPr="00815672">
        <w:rPr>
          <w:rFonts w:ascii="Times New Roman" w:hAnsi="Times New Roman"/>
          <w:sz w:val="28"/>
        </w:rPr>
        <w:lastRenderedPageBreak/>
        <w:t>Układu z Schengen oraz Konwencja o pomocy prawnej w sprawach karnych pomiędzy państwami członkowskimi UE i jej protokół</w:t>
      </w:r>
      <w:r w:rsidRPr="00815672">
        <w:rPr>
          <w:rFonts w:ascii="Times New Roman" w:hAnsi="Times New Roman"/>
        </w:rPr>
        <w:t xml:space="preserve"> </w:t>
      </w:r>
      <w:r w:rsidRPr="00815672">
        <w:rPr>
          <w:rFonts w:ascii="Times New Roman" w:hAnsi="Times New Roman"/>
          <w:sz w:val="28"/>
        </w:rPr>
        <w:t>O wzajemnej pomocy w sprawach karnych pomiędzy Państwami członkowskimi UE wraz z protokołem.</w:t>
      </w:r>
    </w:p>
    <w:p w14:paraId="5B4FA135" w14:textId="50CC53F3" w:rsidR="00B738AB" w:rsidRPr="00815672" w:rsidRDefault="00937B96"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Przed wskazaniem rozwiązań dla naszych scenariuszy należy przypomnieć, że dyrektywa 2014/41/UE w sprawie europejskiego nakazu dochodzeniowego w sprawach karnych jest instrumentem prawnym obowiązującym </w:t>
      </w:r>
      <w:r w:rsidRPr="00815672">
        <w:rPr>
          <w:rFonts w:ascii="Times New Roman" w:hAnsi="Times New Roman"/>
          <w:sz w:val="28"/>
          <w:u w:val="single"/>
        </w:rPr>
        <w:t>po 22 maja 2017</w:t>
      </w:r>
      <w:r w:rsidRPr="00815672">
        <w:rPr>
          <w:rFonts w:ascii="Times New Roman" w:hAnsi="Times New Roman"/>
          <w:sz w:val="28"/>
        </w:rPr>
        <w:t xml:space="preserve"> r. na terenie Unii Europejskiej z pewnymi wyjątkami (niektóre państwa członkowskie nie biorą udziału i nie są związane tym instrumentem prawnym).</w:t>
      </w:r>
    </w:p>
    <w:p w14:paraId="0111F5E9" w14:textId="03D7AF47" w:rsidR="00FA2F9D" w:rsidRPr="00815672" w:rsidRDefault="00FA2F9D"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Jak przewidziano w motywach (44) i (45) dyrektywy 2014/41/UE w sprawie europejskiego nakazu dochodzeniowego, zgodnie z art. 1 i 2 oraz art. 4a ust. 1 Protokołu nr 21 w sprawie stanowiska Zjednoczonego Królestwa i Irlandii w odniesieniu do przestrzeni wolności, bezpieczeństwa i sprawiedliwości, załączonego do TFUE i TFUE, oraz bez uszczerbku dla art. 4 tego protokołu, </w:t>
      </w:r>
      <w:r w:rsidRPr="00815672">
        <w:rPr>
          <w:rFonts w:ascii="Times New Roman" w:hAnsi="Times New Roman"/>
          <w:b/>
          <w:sz w:val="28"/>
        </w:rPr>
        <w:t>Irlandia</w:t>
      </w:r>
      <w:r w:rsidRPr="00815672">
        <w:rPr>
          <w:rFonts w:ascii="Times New Roman" w:hAnsi="Times New Roman"/>
          <w:sz w:val="28"/>
        </w:rPr>
        <w:t xml:space="preserve"> </w:t>
      </w:r>
      <w:r w:rsidRPr="00815672">
        <w:rPr>
          <w:rFonts w:ascii="Times New Roman" w:hAnsi="Times New Roman"/>
          <w:i/>
          <w:sz w:val="28"/>
          <w:u w:val="single"/>
        </w:rPr>
        <w:t>nie bierze udziału w przyjęciu niniejszej dyrektywy</w:t>
      </w:r>
      <w:r w:rsidRPr="00815672">
        <w:rPr>
          <w:rFonts w:ascii="Times New Roman" w:hAnsi="Times New Roman"/>
          <w:sz w:val="28"/>
          <w:u w:val="single"/>
        </w:rPr>
        <w:t xml:space="preserve"> </w:t>
      </w:r>
      <w:r w:rsidRPr="00815672">
        <w:rPr>
          <w:rFonts w:ascii="Times New Roman" w:hAnsi="Times New Roman"/>
          <w:i/>
          <w:sz w:val="28"/>
          <w:u w:val="single"/>
        </w:rPr>
        <w:t>i nie jest nią związana ani jej nie stosuje.</w:t>
      </w:r>
      <w:r w:rsidRPr="00815672">
        <w:rPr>
          <w:rFonts w:ascii="Times New Roman" w:hAnsi="Times New Roman"/>
          <w:sz w:val="28"/>
        </w:rPr>
        <w:t xml:space="preserve"> Ponadto, zgodnie z art. 1 i 2 Protokołu nr 22 w sprawie stanowiska Danii, załączonego do TUE i TFUE, </w:t>
      </w:r>
      <w:r w:rsidRPr="00815672">
        <w:rPr>
          <w:rFonts w:ascii="Times New Roman" w:hAnsi="Times New Roman"/>
          <w:b/>
          <w:sz w:val="28"/>
        </w:rPr>
        <w:t>Dania</w:t>
      </w:r>
      <w:r w:rsidRPr="00815672">
        <w:rPr>
          <w:rFonts w:ascii="Times New Roman" w:hAnsi="Times New Roman"/>
          <w:sz w:val="28"/>
        </w:rPr>
        <w:t xml:space="preserve"> </w:t>
      </w:r>
      <w:r w:rsidRPr="00815672">
        <w:rPr>
          <w:rFonts w:ascii="Times New Roman" w:hAnsi="Times New Roman"/>
          <w:i/>
          <w:sz w:val="28"/>
          <w:u w:val="single"/>
        </w:rPr>
        <w:t>nie uczestniczy w przyjęciu niniejszej dyrektywy i nie jest nią związana ani jej nie stosuje</w:t>
      </w:r>
      <w:r w:rsidRPr="00815672">
        <w:rPr>
          <w:rFonts w:ascii="Times New Roman" w:hAnsi="Times New Roman"/>
          <w:sz w:val="28"/>
        </w:rPr>
        <w:t xml:space="preserve">. </w:t>
      </w:r>
    </w:p>
    <w:p w14:paraId="050C71F4" w14:textId="69C296C2" w:rsidR="000C7836" w:rsidRPr="00815672" w:rsidRDefault="000C7836"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Jak wskazano w art. 34 ust. 1 dyrektywy 2014/41/UE w sprawie europejskiego nakazu dochodzeniowego w sprawach karnych </w:t>
      </w:r>
      <w:r w:rsidRPr="00815672">
        <w:rPr>
          <w:rFonts w:ascii="Times New Roman" w:hAnsi="Times New Roman"/>
          <w:sz w:val="28"/>
          <w:u w:val="single"/>
        </w:rPr>
        <w:t>zastąpił</w:t>
      </w:r>
      <w:r w:rsidRPr="00815672">
        <w:rPr>
          <w:rFonts w:ascii="Times New Roman" w:hAnsi="Times New Roman"/>
          <w:sz w:val="28"/>
        </w:rPr>
        <w:t xml:space="preserve"> konwencjonalną wzajemną pomoc prawną mechanizmem współpracy opartym na wzajemnym uznawaniu w zakresie w szczególności uzyskiwania materiału dowodowego. W ten sposób państwo członkowskie stosuje dyrektywę w sprawie europejskiego nakazu dochodzeniowego ze szkodą dla innych dostępnych instrumentów prawnych dotyczących gromadzenia materiału dowodowego i nie jest to kwestia do wyboru dla organu sądowego wydającego nakaz. </w:t>
      </w:r>
    </w:p>
    <w:p w14:paraId="1F03B62E" w14:textId="5720906A" w:rsidR="000440D7" w:rsidRPr="00815672" w:rsidRDefault="000C7836" w:rsidP="0074607F">
      <w:pPr>
        <w:spacing w:line="240" w:lineRule="auto"/>
        <w:jc w:val="both"/>
        <w:rPr>
          <w:rFonts w:ascii="Times New Roman" w:hAnsi="Times New Roman" w:cs="Times New Roman"/>
          <w:sz w:val="28"/>
          <w:szCs w:val="28"/>
        </w:rPr>
      </w:pPr>
      <w:r w:rsidRPr="00815672">
        <w:rPr>
          <w:rFonts w:ascii="Times New Roman" w:hAnsi="Times New Roman"/>
          <w:sz w:val="28"/>
        </w:rPr>
        <w:t>Chociaż zgodnie z art. 34 ust. 3 dyrektywy w sprawie europejskiego nakazu dochodzeniowego państwa członkowskie mogą zawierać lub nadal stosować dwustronne lub wielostronne umowy lub porozumienia z innymi państwami członkowskimi po dniu 22 maja 2017 r., można to uczynić jedynie w zakresie, w jakim umożliwiają one dalsze wzmocnienie celów dyrektywy i przyczyniają się do uproszczenia lub dalszego ułatwienia procedur gromadzenia dowodów oraz pod warunkiem przestrzegania poziomu gwarancji określonych w niniejszej dyrektywie.</w:t>
      </w:r>
    </w:p>
    <w:p w14:paraId="525A6503" w14:textId="0A61595F" w:rsidR="00973D99" w:rsidRPr="00815672" w:rsidRDefault="00E03315" w:rsidP="0074607F">
      <w:pPr>
        <w:spacing w:line="240" w:lineRule="auto"/>
        <w:jc w:val="both"/>
        <w:rPr>
          <w:rFonts w:ascii="Times New Roman" w:hAnsi="Times New Roman" w:cs="Times New Roman"/>
          <w:sz w:val="28"/>
          <w:szCs w:val="28"/>
        </w:rPr>
      </w:pPr>
      <w:r w:rsidRPr="00815672">
        <w:rPr>
          <w:rFonts w:ascii="Times New Roman" w:hAnsi="Times New Roman"/>
          <w:b/>
          <w:sz w:val="28"/>
        </w:rPr>
        <w:t xml:space="preserve">Wysłuchanie w formie wideokonferencji lub innej transmisji audiowizualnej </w:t>
      </w:r>
      <w:r w:rsidRPr="00815672">
        <w:rPr>
          <w:rFonts w:ascii="Times New Roman" w:hAnsi="Times New Roman"/>
          <w:sz w:val="28"/>
        </w:rPr>
        <w:t>oraz</w:t>
      </w:r>
      <w:r w:rsidRPr="00815672">
        <w:rPr>
          <w:rFonts w:ascii="Times New Roman" w:hAnsi="Times New Roman"/>
          <w:b/>
          <w:sz w:val="28"/>
        </w:rPr>
        <w:t xml:space="preserve"> wysłuchanie w formie </w:t>
      </w:r>
      <w:r w:rsidR="00E556C5" w:rsidRPr="00815672">
        <w:rPr>
          <w:rFonts w:ascii="Times New Roman" w:hAnsi="Times New Roman"/>
          <w:b/>
          <w:sz w:val="28"/>
        </w:rPr>
        <w:t xml:space="preserve">telekonferencji </w:t>
      </w:r>
      <w:r w:rsidR="00E556C5" w:rsidRPr="00815672">
        <w:rPr>
          <w:rFonts w:ascii="Times New Roman" w:hAnsi="Times New Roman"/>
          <w:sz w:val="28"/>
        </w:rPr>
        <w:t>są</w:t>
      </w:r>
      <w:r w:rsidRPr="00815672">
        <w:rPr>
          <w:rFonts w:ascii="Times New Roman" w:hAnsi="Times New Roman"/>
          <w:sz w:val="28"/>
        </w:rPr>
        <w:t xml:space="preserve"> przewidziane w różnych instrumentach prawnych, takich jak:</w:t>
      </w:r>
    </w:p>
    <w:p w14:paraId="7AE3D0A9" w14:textId="606B4624" w:rsidR="0081370D" w:rsidRPr="00815672" w:rsidRDefault="00E556C5" w:rsidP="0013415C">
      <w:pPr>
        <w:pStyle w:val="Akapitzlist"/>
        <w:numPr>
          <w:ilvl w:val="0"/>
          <w:numId w:val="2"/>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art. 24 i</w:t>
      </w:r>
      <w:r w:rsidR="00E03315" w:rsidRPr="00815672">
        <w:rPr>
          <w:rFonts w:ascii="Times New Roman" w:hAnsi="Times New Roman"/>
          <w:sz w:val="28"/>
        </w:rPr>
        <w:t xml:space="preserve"> 25 dyrektywy 2014/41/UE w sprawie europejskiego nakazu dochodzeniowego w sprawach karnych, </w:t>
      </w:r>
    </w:p>
    <w:p w14:paraId="0012698C" w14:textId="668440FD" w:rsidR="00973D99" w:rsidRPr="00815672" w:rsidRDefault="00973D99" w:rsidP="0013415C">
      <w:pPr>
        <w:pStyle w:val="Akapitzlist"/>
        <w:numPr>
          <w:ilvl w:val="0"/>
          <w:numId w:val="2"/>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lastRenderedPageBreak/>
        <w:t xml:space="preserve">art. 10 i 11 </w:t>
      </w:r>
      <w:hyperlink r:id="rId12" w:history="1">
        <w:r w:rsidRPr="00815672">
          <w:rPr>
            <w:rFonts w:ascii="Times New Roman" w:hAnsi="Times New Roman"/>
            <w:sz w:val="28"/>
          </w:rPr>
          <w:t>Konwencji z dnia 29 maja 2000 r. o wzajemnej pomocy w sprawach karnych pomiędzy państwami członkowskimi UE</w:t>
        </w:r>
      </w:hyperlink>
      <w:r w:rsidRPr="00815672">
        <w:rPr>
          <w:rFonts w:ascii="Times New Roman" w:hAnsi="Times New Roman"/>
          <w:sz w:val="28"/>
        </w:rPr>
        <w:t xml:space="preserve">, </w:t>
      </w:r>
    </w:p>
    <w:p w14:paraId="75A5D661" w14:textId="543FD947" w:rsidR="00973D99" w:rsidRPr="00815672" w:rsidRDefault="00973D99" w:rsidP="0013415C">
      <w:pPr>
        <w:pStyle w:val="Akapitzlist"/>
        <w:numPr>
          <w:ilvl w:val="0"/>
          <w:numId w:val="2"/>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 xml:space="preserve">art. 9 i 10 </w:t>
      </w:r>
      <w:bookmarkStart w:id="2" w:name="_Hlk37344091"/>
      <w:r w:rsidRPr="00815672">
        <w:rPr>
          <w:rFonts w:ascii="Times New Roman" w:hAnsi="Times New Roman"/>
          <w:sz w:val="28"/>
        </w:rPr>
        <w:t xml:space="preserve">Drugiego protokołu dodatkowego do Europejskiej konwencji o pomocy prawnej w sprawach karnych </w:t>
      </w:r>
      <w:bookmarkEnd w:id="2"/>
      <w:r w:rsidRPr="00815672">
        <w:rPr>
          <w:rFonts w:ascii="Times New Roman" w:hAnsi="Times New Roman"/>
          <w:sz w:val="28"/>
        </w:rPr>
        <w:t>(Konwencja z 1959 r.).</w:t>
      </w:r>
    </w:p>
    <w:p w14:paraId="4141A173" w14:textId="77777777" w:rsidR="00105283" w:rsidRPr="00815672" w:rsidRDefault="00105283" w:rsidP="00105283">
      <w:pPr>
        <w:spacing w:after="0" w:line="240" w:lineRule="auto"/>
        <w:ind w:left="360"/>
        <w:jc w:val="both"/>
        <w:rPr>
          <w:rFonts w:ascii="Times New Roman" w:hAnsi="Times New Roman" w:cs="Times New Roman"/>
          <w:sz w:val="28"/>
          <w:szCs w:val="28"/>
        </w:rPr>
      </w:pPr>
      <w:r w:rsidRPr="00815672">
        <w:rPr>
          <w:rFonts w:ascii="Times New Roman" w:hAnsi="Times New Roman"/>
          <w:sz w:val="28"/>
        </w:rPr>
        <w:t xml:space="preserve">Postanowienia dotyczące </w:t>
      </w:r>
      <w:r w:rsidRPr="00815672">
        <w:rPr>
          <w:rFonts w:ascii="Times New Roman" w:hAnsi="Times New Roman"/>
          <w:b/>
          <w:sz w:val="28"/>
        </w:rPr>
        <w:t>wzywania</w:t>
      </w:r>
      <w:r w:rsidRPr="00815672">
        <w:rPr>
          <w:rFonts w:ascii="Times New Roman" w:hAnsi="Times New Roman"/>
          <w:sz w:val="28"/>
        </w:rPr>
        <w:t xml:space="preserve"> spotykamy w Konwencji z 2000 r. (art. 5), ale także w Konwencji z 1959 r. (art. 7)</w:t>
      </w:r>
    </w:p>
    <w:p w14:paraId="307F619E" w14:textId="77777777" w:rsidR="00A80761" w:rsidRPr="00815672" w:rsidRDefault="00A80761" w:rsidP="00105283">
      <w:pPr>
        <w:spacing w:line="240" w:lineRule="auto"/>
        <w:jc w:val="both"/>
        <w:rPr>
          <w:rFonts w:ascii="Times New Roman" w:hAnsi="Times New Roman" w:cs="Times New Roman"/>
          <w:sz w:val="28"/>
          <w:szCs w:val="28"/>
        </w:rPr>
      </w:pPr>
    </w:p>
    <w:p w14:paraId="3230E72D" w14:textId="6B5240F5" w:rsidR="00D74806" w:rsidRPr="00815672" w:rsidRDefault="00340A9F"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Określenie instrumentu prawnego mającego zastosowanie do lit. a-i) </w:t>
      </w:r>
      <w:r w:rsidRPr="00815672">
        <w:rPr>
          <w:rFonts w:ascii="Times New Roman" w:hAnsi="Times New Roman"/>
          <w:sz w:val="28"/>
          <w:u w:val="single"/>
        </w:rPr>
        <w:t>pozwoli określić zasady, formy i wymogi, których muszą przestrzegać oba państwa członkowskie zaangażowane we współpracę sądową</w:t>
      </w:r>
      <w:r w:rsidRPr="00815672">
        <w:rPr>
          <w:rFonts w:ascii="Times New Roman" w:hAnsi="Times New Roman"/>
          <w:sz w:val="28"/>
        </w:rPr>
        <w:t>.</w:t>
      </w:r>
    </w:p>
    <w:p w14:paraId="4D92D9C2" w14:textId="7F439572" w:rsidR="00105283" w:rsidRPr="00815672" w:rsidRDefault="00105283" w:rsidP="0074607F">
      <w:pPr>
        <w:spacing w:line="240" w:lineRule="auto"/>
        <w:jc w:val="both"/>
        <w:rPr>
          <w:rFonts w:ascii="Times New Roman" w:hAnsi="Times New Roman" w:cs="Times New Roman"/>
          <w:sz w:val="28"/>
          <w:szCs w:val="28"/>
        </w:rPr>
      </w:pPr>
    </w:p>
    <w:p w14:paraId="631BAD52" w14:textId="6340F481" w:rsidR="00105283" w:rsidRPr="00815672" w:rsidRDefault="00FB3E9B" w:rsidP="00FB3E9B">
      <w:pPr>
        <w:spacing w:after="0" w:line="240" w:lineRule="auto"/>
        <w:jc w:val="both"/>
        <w:rPr>
          <w:rFonts w:ascii="Times New Roman" w:hAnsi="Times New Roman" w:cs="Times New Roman"/>
          <w:i/>
          <w:color w:val="000000" w:themeColor="text1"/>
          <w:sz w:val="28"/>
          <w:szCs w:val="28"/>
        </w:rPr>
      </w:pPr>
      <w:r w:rsidRPr="00815672">
        <w:rPr>
          <w:rFonts w:ascii="Times New Roman" w:hAnsi="Times New Roman"/>
          <w:i/>
          <w:color w:val="000000" w:themeColor="text1"/>
          <w:sz w:val="28"/>
        </w:rPr>
        <w:t>1. Hiszpański organ sądowy chce przesłuchać w formie wideokonferencji świadka, który przebywa w Danii. Z jakiego instrumentu prawnego powinien skorzystać?</w:t>
      </w:r>
    </w:p>
    <w:p w14:paraId="6E32F732" w14:textId="77777777" w:rsidR="00105283" w:rsidRPr="00815672" w:rsidRDefault="00105283" w:rsidP="0074607F">
      <w:pPr>
        <w:spacing w:line="240" w:lineRule="auto"/>
        <w:jc w:val="both"/>
        <w:rPr>
          <w:rFonts w:ascii="Times New Roman" w:hAnsi="Times New Roman" w:cs="Times New Roman"/>
          <w:sz w:val="28"/>
          <w:szCs w:val="28"/>
        </w:rPr>
      </w:pPr>
    </w:p>
    <w:p w14:paraId="66D6BFED" w14:textId="764AD932" w:rsidR="00105283" w:rsidRPr="00815672" w:rsidRDefault="00F37EAA" w:rsidP="005A51B3">
      <w:pPr>
        <w:spacing w:line="240" w:lineRule="auto"/>
        <w:jc w:val="both"/>
        <w:rPr>
          <w:rFonts w:ascii="Times New Roman" w:hAnsi="Times New Roman" w:cs="Times New Roman"/>
          <w:sz w:val="28"/>
          <w:szCs w:val="28"/>
        </w:rPr>
      </w:pPr>
      <w:bookmarkStart w:id="3" w:name="_Hlk37070048"/>
      <w:r w:rsidRPr="00815672">
        <w:rPr>
          <w:rFonts w:ascii="Times New Roman" w:hAnsi="Times New Roman"/>
          <w:b/>
          <w:sz w:val="28"/>
        </w:rPr>
        <w:t>Hiszpania</w:t>
      </w:r>
      <w:r w:rsidRPr="00815672">
        <w:rPr>
          <w:rFonts w:ascii="Times New Roman" w:hAnsi="Times New Roman"/>
          <w:sz w:val="28"/>
        </w:rPr>
        <w:t xml:space="preserve"> dokonała transpozycji dyrektywy 2014/41 w sprawie europejskiego nakazu dochodzeniowego, ale </w:t>
      </w:r>
      <w:r w:rsidRPr="00815672">
        <w:rPr>
          <w:rFonts w:ascii="Times New Roman" w:hAnsi="Times New Roman"/>
          <w:b/>
          <w:sz w:val="28"/>
        </w:rPr>
        <w:t>Dania</w:t>
      </w:r>
      <w:r w:rsidRPr="00815672">
        <w:rPr>
          <w:rFonts w:ascii="Times New Roman" w:hAnsi="Times New Roman"/>
          <w:sz w:val="28"/>
        </w:rPr>
        <w:t xml:space="preserve"> nie uczestniczy w tym procesie i nie jest związana tym instrumentem prawnym zgodnie z motywem (45) tej samej dyrektywy. </w:t>
      </w:r>
    </w:p>
    <w:tbl>
      <w:tblPr>
        <w:tblW w:w="903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0"/>
      </w:tblGrid>
      <w:tr w:rsidR="00105283" w:rsidRPr="00815672" w14:paraId="4A6F7B88" w14:textId="77777777" w:rsidTr="00B76581">
        <w:trPr>
          <w:trHeight w:val="1764"/>
        </w:trPr>
        <w:tc>
          <w:tcPr>
            <w:tcW w:w="903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7DA6AA" w14:textId="66601318" w:rsidR="00105283" w:rsidRPr="00815672" w:rsidRDefault="00105283" w:rsidP="00B76581">
            <w:pPr>
              <w:spacing w:after="0" w:line="240" w:lineRule="auto"/>
              <w:jc w:val="both"/>
            </w:pPr>
            <w:r w:rsidRPr="00815672">
              <w:rPr>
                <w:rFonts w:ascii="Times New Roman" w:hAnsi="Times New Roman"/>
                <w:sz w:val="28"/>
              </w:rPr>
              <w:t xml:space="preserve">Stan wdrożenia dyrektywy 2014/41/UE w sprawie europejskiego nakazu dochodzeniowego można znaleźć na stronie internetowej EJN – </w:t>
            </w:r>
            <w:hyperlink r:id="rId13" w:history="1">
              <w:r w:rsidRPr="00815672">
                <w:rPr>
                  <w:rStyle w:val="Hipercze"/>
                  <w:rFonts w:ascii="Times New Roman" w:hAnsi="Times New Roman"/>
                  <w:sz w:val="28"/>
                </w:rPr>
                <w:t>www.ejn-crimjust.europa.eu</w:t>
              </w:r>
            </w:hyperlink>
            <w:r w:rsidRPr="00815672">
              <w:rPr>
                <w:rFonts w:ascii="Times New Roman" w:hAnsi="Times New Roman"/>
                <w:sz w:val="28"/>
              </w:rPr>
              <w:t xml:space="preserve"> w sekcji </w:t>
            </w:r>
            <w:hyperlink r:id="rId14" w:history="1">
              <w:r w:rsidRPr="00815672">
                <w:rPr>
                  <w:rFonts w:ascii="Times New Roman" w:hAnsi="Times New Roman"/>
                  <w:sz w:val="28"/>
                </w:rPr>
                <w:t>Instrumenty prawne UE w zakresie współpracy sądowej</w:t>
              </w:r>
            </w:hyperlink>
            <w:r w:rsidRPr="00815672">
              <w:rPr>
                <w:rFonts w:ascii="Times New Roman" w:hAnsi="Times New Roman"/>
                <w:i/>
                <w:sz w:val="28"/>
              </w:rPr>
              <w:t>.</w:t>
            </w:r>
            <w:r w:rsidRPr="00815672">
              <w:rPr>
                <w:rFonts w:ascii="Times New Roman" w:hAnsi="Times New Roman"/>
                <w:sz w:val="28"/>
              </w:rPr>
              <w:t xml:space="preserve"> W dalszej części tabeli znajduje się sekcja </w:t>
            </w:r>
            <w:hyperlink r:id="rId15" w:history="1">
              <w:r w:rsidRPr="00815672">
                <w:rPr>
                  <w:rStyle w:val="Hipercze"/>
                  <w:rFonts w:ascii="Times New Roman" w:hAnsi="Times New Roman"/>
                  <w:i/>
                  <w:sz w:val="28"/>
                </w:rPr>
                <w:t>Stan wdrożenia</w:t>
              </w:r>
              <w:r w:rsidRPr="00815672">
                <w:rPr>
                  <w:rStyle w:val="Hipercze"/>
                  <w:rFonts w:ascii="Times New Roman" w:hAnsi="Times New Roman"/>
                  <w:sz w:val="28"/>
                </w:rPr>
                <w:t xml:space="preserve"> dyrektywy</w:t>
              </w:r>
            </w:hyperlink>
            <w:r w:rsidRPr="00815672">
              <w:rPr>
                <w:rFonts w:ascii="Times New Roman" w:hAnsi="Times New Roman"/>
                <w:sz w:val="28"/>
              </w:rPr>
              <w:t xml:space="preserve"> gdzie można sprawdzić, czy dany kraj dokonał transpozycji dyrektywy w sprawie europejskiego nakazu dochodzeniowego.</w:t>
            </w:r>
            <w:r w:rsidR="00E556C5">
              <w:rPr>
                <w:rFonts w:ascii="Times New Roman" w:hAnsi="Times New Roman"/>
                <w:sz w:val="28"/>
              </w:rPr>
              <w:t xml:space="preserve"> </w:t>
            </w:r>
            <w:r w:rsidRPr="00815672">
              <w:rPr>
                <w:rFonts w:ascii="Times New Roman" w:hAnsi="Times New Roman"/>
                <w:sz w:val="28"/>
              </w:rPr>
              <w:t xml:space="preserve"> </w:t>
            </w:r>
          </w:p>
        </w:tc>
      </w:tr>
    </w:tbl>
    <w:p w14:paraId="3464EFF7" w14:textId="77777777" w:rsidR="00EE2EE8" w:rsidRPr="00815672" w:rsidRDefault="00EE2EE8" w:rsidP="00EE2EE8">
      <w:pPr>
        <w:spacing w:after="0" w:line="240" w:lineRule="auto"/>
        <w:jc w:val="both"/>
        <w:rPr>
          <w:rFonts w:ascii="Times New Roman" w:hAnsi="Times New Roman" w:cs="Times New Roman"/>
          <w:sz w:val="28"/>
          <w:szCs w:val="28"/>
        </w:rPr>
      </w:pPr>
    </w:p>
    <w:p w14:paraId="1F56A6FC" w14:textId="06DD0F04" w:rsidR="00EE2EE8" w:rsidRPr="00815672" w:rsidRDefault="00EE2EE8" w:rsidP="00EE2EE8">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0269EAE4" wp14:editId="5F45766D">
            <wp:extent cx="5734050" cy="533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533400"/>
                    </a:xfrm>
                    <a:prstGeom prst="rect">
                      <a:avLst/>
                    </a:prstGeom>
                    <a:noFill/>
                    <a:ln>
                      <a:noFill/>
                    </a:ln>
                  </pic:spPr>
                </pic:pic>
              </a:graphicData>
            </a:graphic>
          </wp:inline>
        </w:drawing>
      </w:r>
    </w:p>
    <w:p w14:paraId="76A4625D" w14:textId="77777777" w:rsidR="00EE2EE8" w:rsidRPr="00815672" w:rsidRDefault="00EE2EE8" w:rsidP="0074607F">
      <w:pPr>
        <w:spacing w:line="240" w:lineRule="auto"/>
        <w:jc w:val="both"/>
        <w:rPr>
          <w:rFonts w:ascii="Times New Roman" w:hAnsi="Times New Roman" w:cs="Times New Roman"/>
          <w:sz w:val="28"/>
          <w:szCs w:val="28"/>
        </w:rPr>
      </w:pPr>
    </w:p>
    <w:p w14:paraId="322235A6" w14:textId="28371E10" w:rsidR="00F37EAA" w:rsidRPr="00815672" w:rsidRDefault="00F37EAA" w:rsidP="0074607F">
      <w:pPr>
        <w:spacing w:line="240" w:lineRule="auto"/>
        <w:jc w:val="both"/>
        <w:rPr>
          <w:rFonts w:ascii="Times New Roman" w:hAnsi="Times New Roman" w:cs="Times New Roman"/>
          <w:sz w:val="28"/>
          <w:szCs w:val="28"/>
        </w:rPr>
      </w:pPr>
      <w:r w:rsidRPr="00815672">
        <w:rPr>
          <w:rFonts w:ascii="Times New Roman" w:hAnsi="Times New Roman"/>
          <w:sz w:val="28"/>
        </w:rPr>
        <w:t>Oznacza to, że musimy określić instrument wzajemnej pomocy prawnej, który będzie miał zastosowanie do obu państw członkowskich.</w:t>
      </w:r>
    </w:p>
    <w:p w14:paraId="3359D524" w14:textId="62CACFBC" w:rsidR="00D74806" w:rsidRPr="00815672" w:rsidRDefault="00F37EAA"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W naszym przypadku </w:t>
      </w:r>
      <w:bookmarkStart w:id="4" w:name="_Hlk32934663"/>
      <w:r w:rsidRPr="00815672">
        <w:rPr>
          <w:rFonts w:ascii="Times New Roman" w:hAnsi="Times New Roman"/>
          <w:sz w:val="28"/>
        </w:rPr>
        <w:t xml:space="preserve">dla Danii i Hiszpanii </w:t>
      </w:r>
      <w:bookmarkStart w:id="5" w:name="_Hlk37001155"/>
      <w:r w:rsidRPr="00815672">
        <w:rPr>
          <w:rFonts w:ascii="Times New Roman" w:hAnsi="Times New Roman" w:cs="Times New Roman"/>
          <w:b/>
          <w:sz w:val="28"/>
        </w:rPr>
        <w:fldChar w:fldCharType="begin"/>
      </w:r>
      <w:r w:rsidRPr="00815672">
        <w:rPr>
          <w:rFonts w:ascii="Times New Roman" w:hAnsi="Times New Roman" w:cs="Times New Roman"/>
          <w:b/>
          <w:sz w:val="28"/>
        </w:rPr>
        <w:instrText xml:space="preserve"> HYPERLINK "https://www.ejn-crimjust.europa.eu/ejn/libcategories/EN/32/-1/-1/-1" </w:instrText>
      </w:r>
      <w:r w:rsidRPr="00815672">
        <w:rPr>
          <w:rFonts w:ascii="Times New Roman" w:hAnsi="Times New Roman" w:cs="Times New Roman"/>
          <w:b/>
          <w:sz w:val="28"/>
        </w:rPr>
        <w:fldChar w:fldCharType="separate"/>
      </w:r>
      <w:r w:rsidRPr="00815672">
        <w:rPr>
          <w:rStyle w:val="Hipercze"/>
          <w:rFonts w:ascii="Times New Roman" w:hAnsi="Times New Roman"/>
          <w:b/>
          <w:color w:val="auto"/>
          <w:sz w:val="28"/>
          <w:u w:val="none"/>
        </w:rPr>
        <w:t>Konwencja z dnia 29 maja 2000 r. o wzajemnej pomocy w sprawach karnych pomiędzy państwami członkowskimi UE</w:t>
      </w:r>
      <w:r w:rsidRPr="00815672">
        <w:rPr>
          <w:rFonts w:ascii="Times New Roman" w:hAnsi="Times New Roman" w:cs="Times New Roman"/>
          <w:b/>
          <w:sz w:val="28"/>
        </w:rPr>
        <w:fldChar w:fldCharType="end"/>
      </w:r>
      <w:bookmarkEnd w:id="5"/>
      <w:r w:rsidRPr="00815672">
        <w:rPr>
          <w:rFonts w:ascii="Times New Roman" w:hAnsi="Times New Roman"/>
          <w:b/>
          <w:sz w:val="28"/>
        </w:rPr>
        <w:t xml:space="preserve"> </w:t>
      </w:r>
      <w:bookmarkEnd w:id="3"/>
      <w:bookmarkEnd w:id="4"/>
      <w:r w:rsidRPr="00815672">
        <w:rPr>
          <w:rFonts w:ascii="Times New Roman" w:hAnsi="Times New Roman"/>
          <w:sz w:val="28"/>
        </w:rPr>
        <w:t>ma zastosowanie</w:t>
      </w:r>
      <w:r w:rsidRPr="00815672">
        <w:rPr>
          <w:rFonts w:ascii="Times New Roman" w:hAnsi="Times New Roman"/>
          <w:sz w:val="28"/>
          <w:u w:val="single"/>
        </w:rPr>
        <w:t xml:space="preserve"> (przesłuchanie świadka za pomocą wideokonferencji jest przewidziane w art. 10 Konwencji z 2000</w:t>
      </w:r>
      <w:r w:rsidRPr="00815672">
        <w:rPr>
          <w:rFonts w:ascii="Times New Roman" w:hAnsi="Times New Roman"/>
          <w:sz w:val="28"/>
        </w:rPr>
        <w:t>r.), ponieważ została podpisana, ratyfikowana i obowiązuje w obu krajach.</w:t>
      </w:r>
    </w:p>
    <w:p w14:paraId="01057DE3" w14:textId="77777777" w:rsidR="00E05F6C" w:rsidRPr="00815672" w:rsidRDefault="00E05F6C" w:rsidP="00E05F6C">
      <w:pPr>
        <w:spacing w:after="0" w:line="240" w:lineRule="auto"/>
        <w:jc w:val="both"/>
        <w:rPr>
          <w:rFonts w:ascii="Times New Roman" w:hAnsi="Times New Roman" w:cs="Times New Roman"/>
          <w:sz w:val="28"/>
          <w:szCs w:val="28"/>
        </w:rPr>
      </w:pPr>
    </w:p>
    <w:tbl>
      <w:tblPr>
        <w:tblW w:w="904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8"/>
      </w:tblGrid>
      <w:tr w:rsidR="00E05F6C" w:rsidRPr="00815672" w14:paraId="4C8F4B23" w14:textId="77777777" w:rsidTr="00B76581">
        <w:trPr>
          <w:trHeight w:val="1117"/>
        </w:trPr>
        <w:tc>
          <w:tcPr>
            <w:tcW w:w="90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0B5382" w14:textId="6D4B5BD1" w:rsidR="00E05F6C" w:rsidRPr="00815672" w:rsidRDefault="00E05F6C" w:rsidP="00B76581">
            <w:pPr>
              <w:spacing w:after="0" w:line="240" w:lineRule="auto"/>
              <w:jc w:val="both"/>
              <w:rPr>
                <w:rFonts w:ascii="Times New Roman" w:hAnsi="Times New Roman" w:cs="Times New Roman"/>
                <w:sz w:val="28"/>
                <w:szCs w:val="28"/>
              </w:rPr>
            </w:pPr>
            <w:r w:rsidRPr="00815672">
              <w:rPr>
                <w:rFonts w:ascii="Times New Roman" w:hAnsi="Times New Roman"/>
                <w:sz w:val="28"/>
              </w:rPr>
              <w:lastRenderedPageBreak/>
              <w:t xml:space="preserve">Tabela szczegółów ratyfikacji </w:t>
            </w:r>
            <w:r w:rsidRPr="00815672">
              <w:rPr>
                <w:rFonts w:ascii="Times New Roman" w:hAnsi="Times New Roman"/>
                <w:b/>
                <w:sz w:val="28"/>
              </w:rPr>
              <w:t>Konwencji z dnia 29 maja 2000 r. o wzajemnej pomocy w sprawach karnych pomiędzy państwami członkowskimi UE</w:t>
            </w:r>
            <w:r w:rsidRPr="00815672">
              <w:rPr>
                <w:rFonts w:ascii="Times New Roman" w:hAnsi="Times New Roman"/>
                <w:sz w:val="28"/>
              </w:rPr>
              <w:t xml:space="preserve"> jest </w:t>
            </w:r>
            <w:hyperlink r:id="rId17" w:history="1">
              <w:r w:rsidRPr="00815672">
                <w:rPr>
                  <w:rStyle w:val="Hipercze"/>
                  <w:rFonts w:ascii="Times New Roman" w:hAnsi="Times New Roman"/>
                  <w:sz w:val="28"/>
                </w:rPr>
                <w:t>dostępna na stronie internetowej EJN</w:t>
              </w:r>
            </w:hyperlink>
            <w:r w:rsidRPr="00815672">
              <w:rPr>
                <w:rFonts w:ascii="Times New Roman" w:hAnsi="Times New Roman"/>
                <w:sz w:val="28"/>
              </w:rPr>
              <w:t>.</w:t>
            </w:r>
          </w:p>
        </w:tc>
      </w:tr>
    </w:tbl>
    <w:p w14:paraId="05A2911A" w14:textId="77777777" w:rsidR="0017314A" w:rsidRPr="00815672" w:rsidRDefault="0017314A" w:rsidP="0017314A">
      <w:pPr>
        <w:spacing w:after="0" w:line="240" w:lineRule="auto"/>
        <w:jc w:val="both"/>
        <w:rPr>
          <w:rFonts w:ascii="Times New Roman" w:hAnsi="Times New Roman" w:cs="Times New Roman"/>
          <w:sz w:val="28"/>
          <w:szCs w:val="28"/>
        </w:rPr>
      </w:pPr>
    </w:p>
    <w:p w14:paraId="747F510C" w14:textId="53552CC0" w:rsidR="0017314A" w:rsidRPr="00815672" w:rsidRDefault="0017314A" w:rsidP="0017314A">
      <w:pPr>
        <w:spacing w:after="0" w:line="240" w:lineRule="auto"/>
        <w:jc w:val="both"/>
        <w:rPr>
          <w:rFonts w:ascii="Times New Roman" w:hAnsi="Times New Roman" w:cs="Times New Roman"/>
          <w:sz w:val="28"/>
          <w:szCs w:val="28"/>
        </w:rPr>
      </w:pPr>
      <w:r w:rsidRPr="00815672">
        <w:rPr>
          <w:rFonts w:ascii="Times New Roman" w:hAnsi="Times New Roman"/>
          <w:sz w:val="28"/>
        </w:rPr>
        <w:t xml:space="preserve">Hiszpańskie organy sądowe muszą jednak zweryfikować </w:t>
      </w:r>
      <w:r w:rsidRPr="00815672">
        <w:rPr>
          <w:rFonts w:ascii="Times New Roman" w:hAnsi="Times New Roman"/>
          <w:b/>
          <w:sz w:val="28"/>
        </w:rPr>
        <w:t>deklarację</w:t>
      </w:r>
      <w:r w:rsidRPr="00815672">
        <w:rPr>
          <w:rFonts w:ascii="Times New Roman" w:hAnsi="Times New Roman"/>
          <w:sz w:val="28"/>
        </w:rPr>
        <w:t xml:space="preserve"> złożoną przez Danię w odniesieniu do stosowania niektórych przepisów konwencji z 2000 r. Jak widać poniżej, oświadczenie złożone przez Danię </w:t>
      </w:r>
      <w:r w:rsidRPr="00815672">
        <w:rPr>
          <w:rFonts w:ascii="Times New Roman" w:hAnsi="Times New Roman"/>
          <w:sz w:val="28"/>
          <w:u w:val="single"/>
        </w:rPr>
        <w:t>dotyczy jedynie niestosowania art. 10 do przesłuchania oskarżonego w formie wideokonferencji</w:t>
      </w:r>
      <w:r w:rsidRPr="00815672">
        <w:rPr>
          <w:rFonts w:ascii="Times New Roman" w:hAnsi="Times New Roman"/>
          <w:sz w:val="28"/>
        </w:rPr>
        <w:t>, co nie ma miejsca w naszym przypadku. Konwencja z 2000 r. ma więc zastosowanie do lit. a).</w:t>
      </w:r>
    </w:p>
    <w:p w14:paraId="6C56D7AA" w14:textId="77777777" w:rsidR="0017314A" w:rsidRPr="00815672" w:rsidRDefault="0017314A" w:rsidP="0017314A">
      <w:pPr>
        <w:spacing w:after="0" w:line="240" w:lineRule="auto"/>
        <w:jc w:val="both"/>
        <w:rPr>
          <w:rFonts w:ascii="Times New Roman" w:hAnsi="Times New Roman" w:cs="Times New Roman"/>
          <w:sz w:val="28"/>
          <w:szCs w:val="28"/>
        </w:rPr>
      </w:pPr>
    </w:p>
    <w:p w14:paraId="5A9C7B7C" w14:textId="7ACA82BB" w:rsidR="0017314A" w:rsidRPr="00815672" w:rsidRDefault="0017314A" w:rsidP="0017314A">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446B8840" wp14:editId="51BA7FED">
            <wp:extent cx="5734050" cy="14192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1419225"/>
                    </a:xfrm>
                    <a:prstGeom prst="rect">
                      <a:avLst/>
                    </a:prstGeom>
                    <a:noFill/>
                    <a:ln>
                      <a:noFill/>
                    </a:ln>
                  </pic:spPr>
                </pic:pic>
              </a:graphicData>
            </a:graphic>
          </wp:inline>
        </w:drawing>
      </w:r>
    </w:p>
    <w:p w14:paraId="403A1F16" w14:textId="77777777" w:rsidR="0017314A" w:rsidRPr="00815672" w:rsidRDefault="0017314A" w:rsidP="0017314A">
      <w:pPr>
        <w:spacing w:after="0" w:line="240" w:lineRule="auto"/>
        <w:jc w:val="both"/>
        <w:rPr>
          <w:rFonts w:ascii="Times New Roman" w:hAnsi="Times New Roman" w:cs="Times New Roman"/>
          <w:sz w:val="28"/>
          <w:szCs w:val="28"/>
        </w:rPr>
      </w:pPr>
    </w:p>
    <w:p w14:paraId="3C3EAD9E" w14:textId="0397EC24" w:rsidR="0017314A" w:rsidRPr="00815672" w:rsidRDefault="0017314A" w:rsidP="0074607F">
      <w:pPr>
        <w:spacing w:line="240" w:lineRule="auto"/>
        <w:jc w:val="both"/>
        <w:rPr>
          <w:rFonts w:ascii="Times New Roman" w:hAnsi="Times New Roman" w:cs="Times New Roman"/>
          <w:sz w:val="28"/>
          <w:szCs w:val="28"/>
        </w:rPr>
      </w:pPr>
      <w:r w:rsidRPr="00815672">
        <w:rPr>
          <w:noProof/>
          <w:lang w:eastAsia="pl-PL"/>
        </w:rPr>
        <w:drawing>
          <wp:inline distT="0" distB="0" distL="0" distR="0" wp14:anchorId="7339ED34" wp14:editId="76D1C826">
            <wp:extent cx="5731510" cy="1116330"/>
            <wp:effectExtent l="0" t="0" r="254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stretch>
                      <a:fillRect/>
                    </a:stretch>
                  </pic:blipFill>
                  <pic:spPr>
                    <a:xfrm>
                      <a:off x="0" y="0"/>
                      <a:ext cx="5731510" cy="1116330"/>
                    </a:xfrm>
                    <a:prstGeom prst="rect">
                      <a:avLst/>
                    </a:prstGeom>
                  </pic:spPr>
                </pic:pic>
              </a:graphicData>
            </a:graphic>
          </wp:inline>
        </w:drawing>
      </w:r>
    </w:p>
    <w:p w14:paraId="31BCB86D" w14:textId="341416B5" w:rsidR="0017314A" w:rsidRPr="00815672" w:rsidRDefault="00FB3E9B" w:rsidP="00FB3E9B">
      <w:pPr>
        <w:spacing w:after="0" w:line="240" w:lineRule="auto"/>
        <w:jc w:val="both"/>
        <w:rPr>
          <w:rFonts w:ascii="Times New Roman" w:hAnsi="Times New Roman" w:cs="Times New Roman"/>
          <w:i/>
          <w:color w:val="000000" w:themeColor="text1"/>
          <w:sz w:val="28"/>
          <w:szCs w:val="28"/>
        </w:rPr>
      </w:pPr>
      <w:r w:rsidRPr="00815672">
        <w:rPr>
          <w:rFonts w:ascii="Times New Roman" w:hAnsi="Times New Roman"/>
          <w:i/>
          <w:color w:val="000000" w:themeColor="text1"/>
          <w:sz w:val="28"/>
        </w:rPr>
        <w:t>2. Bułgarski organ sądowy chce przesłuchać w formie telekonferencji świadka, który przebywa w Irlandii. Z jakiego instrumentu prawnego powinien skorzystać?</w:t>
      </w:r>
    </w:p>
    <w:p w14:paraId="51DCF1E6" w14:textId="77777777" w:rsidR="0017314A" w:rsidRPr="00815672" w:rsidRDefault="0017314A" w:rsidP="0074607F">
      <w:pPr>
        <w:spacing w:line="240" w:lineRule="auto"/>
        <w:jc w:val="both"/>
        <w:rPr>
          <w:rFonts w:ascii="Times New Roman" w:hAnsi="Times New Roman" w:cs="Times New Roman"/>
          <w:sz w:val="28"/>
          <w:szCs w:val="28"/>
        </w:rPr>
      </w:pPr>
    </w:p>
    <w:p w14:paraId="711FD4E5" w14:textId="307B553E" w:rsidR="0017314A" w:rsidRPr="00815672" w:rsidRDefault="0017314A" w:rsidP="0017314A">
      <w:pPr>
        <w:spacing w:after="0" w:line="240" w:lineRule="auto"/>
        <w:jc w:val="both"/>
        <w:rPr>
          <w:rFonts w:ascii="Times New Roman" w:hAnsi="Times New Roman" w:cs="Times New Roman"/>
          <w:sz w:val="28"/>
          <w:szCs w:val="28"/>
        </w:rPr>
      </w:pPr>
      <w:r w:rsidRPr="00815672">
        <w:rPr>
          <w:rFonts w:ascii="Times New Roman" w:hAnsi="Times New Roman"/>
          <w:sz w:val="28"/>
        </w:rPr>
        <w:t xml:space="preserve">Sprawdzając ponownie status wdrożenia, widzimy, że </w:t>
      </w:r>
      <w:r w:rsidRPr="00815672">
        <w:rPr>
          <w:rFonts w:ascii="Times New Roman" w:hAnsi="Times New Roman"/>
          <w:b/>
          <w:sz w:val="28"/>
        </w:rPr>
        <w:t>Bułgaria</w:t>
      </w:r>
      <w:r w:rsidRPr="00815672">
        <w:rPr>
          <w:rFonts w:ascii="Times New Roman" w:hAnsi="Times New Roman"/>
          <w:sz w:val="28"/>
        </w:rPr>
        <w:t xml:space="preserve"> dokonała transpozycji dyrektywy 2014/41 w sprawie europejskiego nakazu dochodzeniowego, ale </w:t>
      </w:r>
      <w:r w:rsidRPr="00815672">
        <w:rPr>
          <w:rFonts w:ascii="Times New Roman" w:hAnsi="Times New Roman"/>
          <w:b/>
          <w:sz w:val="28"/>
        </w:rPr>
        <w:t>Irlandia</w:t>
      </w:r>
      <w:r w:rsidRPr="00815672">
        <w:rPr>
          <w:rFonts w:ascii="Times New Roman" w:hAnsi="Times New Roman"/>
          <w:sz w:val="28"/>
        </w:rPr>
        <w:t xml:space="preserve"> nie uczestniczy w tym procesie i nie jest związana tym instrumentem prawnym zgodnie z motywem (44) tej samej dyrektywy. </w:t>
      </w:r>
    </w:p>
    <w:p w14:paraId="6D3758B0" w14:textId="1C82C711" w:rsidR="0017314A" w:rsidRPr="00815672" w:rsidRDefault="0017314A" w:rsidP="0017314A">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3CF989BF" wp14:editId="65CA49EC">
            <wp:extent cx="5724525" cy="647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7F524FBF" w14:textId="77777777" w:rsidR="0017314A" w:rsidRPr="00815672" w:rsidRDefault="0017314A" w:rsidP="0017314A">
      <w:pPr>
        <w:spacing w:after="0" w:line="240" w:lineRule="auto"/>
        <w:jc w:val="both"/>
        <w:rPr>
          <w:rFonts w:ascii="Times New Roman" w:hAnsi="Times New Roman" w:cs="Times New Roman"/>
          <w:sz w:val="28"/>
          <w:szCs w:val="28"/>
        </w:rPr>
      </w:pPr>
    </w:p>
    <w:p w14:paraId="13CA3D50" w14:textId="77777777" w:rsidR="0017314A" w:rsidRPr="00815672" w:rsidRDefault="0017314A" w:rsidP="005A51B3">
      <w:pPr>
        <w:spacing w:line="240" w:lineRule="auto"/>
        <w:jc w:val="both"/>
        <w:rPr>
          <w:rFonts w:ascii="Times New Roman" w:hAnsi="Times New Roman" w:cs="Times New Roman"/>
          <w:sz w:val="28"/>
          <w:szCs w:val="28"/>
        </w:rPr>
      </w:pPr>
      <w:r w:rsidRPr="00815672">
        <w:rPr>
          <w:rFonts w:ascii="Times New Roman" w:hAnsi="Times New Roman"/>
          <w:sz w:val="28"/>
        </w:rPr>
        <w:t>Oznacza to, że musimy określić instrument wzajemnej pomocy prawnej, który będzie miał zastosowanie do obu państw członkowskich.</w:t>
      </w:r>
    </w:p>
    <w:p w14:paraId="509EE155" w14:textId="2FFD239F" w:rsidR="0017314A" w:rsidRPr="00815672" w:rsidRDefault="0017314A" w:rsidP="005A51B3">
      <w:pPr>
        <w:spacing w:line="240" w:lineRule="auto"/>
        <w:jc w:val="both"/>
        <w:rPr>
          <w:rFonts w:ascii="Times New Roman" w:hAnsi="Times New Roman" w:cs="Times New Roman"/>
          <w:sz w:val="28"/>
          <w:szCs w:val="28"/>
        </w:rPr>
      </w:pPr>
      <w:r w:rsidRPr="00815672">
        <w:rPr>
          <w:rFonts w:ascii="Times New Roman" w:hAnsi="Times New Roman"/>
          <w:sz w:val="28"/>
        </w:rPr>
        <w:lastRenderedPageBreak/>
        <w:t xml:space="preserve">W naszym przypadku w odniesieniu do Bułgarii i Irlandii </w:t>
      </w:r>
      <w:hyperlink r:id="rId21" w:history="1">
        <w:r w:rsidRPr="00815672">
          <w:rPr>
            <w:rStyle w:val="Hipercze"/>
            <w:rFonts w:ascii="Times New Roman" w:hAnsi="Times New Roman"/>
            <w:b/>
            <w:sz w:val="28"/>
          </w:rPr>
          <w:t>Konwencja z dnia 29 maja 2000 r. o wzajemnej pomocy w sprawach karnych pomiędzy państwami członkowskimi UE</w:t>
        </w:r>
      </w:hyperlink>
      <w:r w:rsidRPr="00815672">
        <w:rPr>
          <w:rFonts w:ascii="Times New Roman" w:hAnsi="Times New Roman"/>
          <w:sz w:val="28"/>
        </w:rPr>
        <w:t xml:space="preserve"> ma zastosowanie</w:t>
      </w:r>
      <w:r w:rsidRPr="00815672">
        <w:rPr>
          <w:rFonts w:ascii="Times New Roman" w:hAnsi="Times New Roman"/>
          <w:sz w:val="28"/>
          <w:u w:val="single"/>
        </w:rPr>
        <w:t xml:space="preserve"> (przesłuchanie świadka w formie wideokonferencji jest przewidziane w art. 10 Konwencji z 2000</w:t>
      </w:r>
      <w:r w:rsidRPr="00815672">
        <w:rPr>
          <w:rFonts w:ascii="Times New Roman" w:hAnsi="Times New Roman"/>
          <w:sz w:val="28"/>
        </w:rPr>
        <w:t>r.), ponieważ została podpisana, ratyfikowana i obowiązuje w obu krajach. Konwencja z 2000 r. obowiązuje w Irlandii od dnia 23 sierpnia 2020 r.</w:t>
      </w:r>
    </w:p>
    <w:p w14:paraId="1D4D8D5D" w14:textId="75CF2FA4" w:rsidR="0017314A" w:rsidRPr="00815672" w:rsidRDefault="0017314A" w:rsidP="005A51B3">
      <w:pPr>
        <w:spacing w:line="240" w:lineRule="auto"/>
        <w:jc w:val="both"/>
        <w:rPr>
          <w:rFonts w:ascii="Times New Roman" w:hAnsi="Times New Roman" w:cs="Times New Roman"/>
          <w:sz w:val="28"/>
          <w:szCs w:val="28"/>
        </w:rPr>
      </w:pPr>
      <w:r w:rsidRPr="00815672">
        <w:rPr>
          <w:rFonts w:ascii="Times New Roman" w:hAnsi="Times New Roman"/>
          <w:sz w:val="28"/>
        </w:rPr>
        <w:t xml:space="preserve">Bułgarski organ sądowy musi jednak zweryfikować </w:t>
      </w:r>
      <w:r w:rsidRPr="00815672">
        <w:rPr>
          <w:rFonts w:ascii="Times New Roman" w:hAnsi="Times New Roman"/>
          <w:b/>
          <w:sz w:val="28"/>
        </w:rPr>
        <w:t>deklarację</w:t>
      </w:r>
      <w:r w:rsidRPr="00815672">
        <w:rPr>
          <w:rFonts w:ascii="Times New Roman" w:hAnsi="Times New Roman"/>
          <w:sz w:val="28"/>
        </w:rPr>
        <w:t xml:space="preserve"> złożoną przez Irlandię w odniesieniu do stosowania niektórych przepisów konwencji z 2000 r. Weryfikując oświadczenia złożone przez Irlandię, zauważamy, że </w:t>
      </w:r>
      <w:r w:rsidRPr="00815672">
        <w:rPr>
          <w:rFonts w:ascii="Times New Roman" w:hAnsi="Times New Roman"/>
          <w:sz w:val="28"/>
          <w:u w:val="single"/>
        </w:rPr>
        <w:t>żadne</w:t>
      </w:r>
      <w:r w:rsidRPr="00815672">
        <w:rPr>
          <w:rFonts w:ascii="Times New Roman" w:hAnsi="Times New Roman"/>
          <w:sz w:val="28"/>
        </w:rPr>
        <w:t xml:space="preserve"> z nich nie dotyczy stosowania art. 10 Konwencji z 2000 r. Tak więc, ponownie, Konwencja z 2000 r. ma zastosowanie do lit. b).</w:t>
      </w:r>
    </w:p>
    <w:p w14:paraId="7B1E66EB" w14:textId="77777777" w:rsidR="0017314A" w:rsidRPr="00815672" w:rsidRDefault="0017314A" w:rsidP="0017314A">
      <w:pPr>
        <w:spacing w:after="0" w:line="240" w:lineRule="auto"/>
        <w:jc w:val="both"/>
        <w:rPr>
          <w:rFonts w:ascii="Times New Roman" w:hAnsi="Times New Roman" w:cs="Times New Roman"/>
          <w:sz w:val="28"/>
          <w:szCs w:val="28"/>
        </w:rPr>
      </w:pPr>
    </w:p>
    <w:p w14:paraId="4334D84A" w14:textId="74BF7C5C" w:rsidR="0017314A" w:rsidRPr="00815672" w:rsidRDefault="0017314A" w:rsidP="0017314A">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1AF75390" wp14:editId="226E18F0">
            <wp:extent cx="5734050" cy="17621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p>
    <w:p w14:paraId="36BDDB84" w14:textId="77777777" w:rsidR="0017314A" w:rsidRPr="00815672" w:rsidRDefault="0017314A" w:rsidP="0017314A">
      <w:pPr>
        <w:spacing w:after="0" w:line="240" w:lineRule="auto"/>
        <w:jc w:val="both"/>
        <w:rPr>
          <w:rFonts w:ascii="Times New Roman" w:hAnsi="Times New Roman" w:cs="Times New Roman"/>
          <w:sz w:val="28"/>
          <w:szCs w:val="28"/>
        </w:rPr>
      </w:pPr>
    </w:p>
    <w:p w14:paraId="2C9B3570" w14:textId="76CFF5BE" w:rsidR="0017314A" w:rsidRPr="00815672" w:rsidRDefault="00FB3E9B" w:rsidP="00FB3E9B">
      <w:pPr>
        <w:spacing w:after="0" w:line="240" w:lineRule="auto"/>
        <w:jc w:val="both"/>
        <w:rPr>
          <w:rFonts w:ascii="Times New Roman" w:hAnsi="Times New Roman" w:cs="Times New Roman"/>
          <w:i/>
          <w:color w:val="000000" w:themeColor="text1"/>
          <w:sz w:val="28"/>
          <w:szCs w:val="28"/>
        </w:rPr>
      </w:pPr>
      <w:r w:rsidRPr="00815672">
        <w:rPr>
          <w:rFonts w:ascii="Times New Roman" w:hAnsi="Times New Roman"/>
          <w:i/>
          <w:color w:val="000000" w:themeColor="text1"/>
          <w:sz w:val="28"/>
        </w:rPr>
        <w:t>3. Niemiecki organ sądowy chce przesłuchać za pośrednictwem wideokonferencji biegłego przebywającego w Grecji. Z jakiego instrumentu prawnego powinien skorzystać?</w:t>
      </w:r>
    </w:p>
    <w:p w14:paraId="5B501AE3" w14:textId="3B76B0BA" w:rsidR="0017314A" w:rsidRPr="00815672" w:rsidRDefault="0017314A" w:rsidP="0074607F">
      <w:pPr>
        <w:spacing w:line="240" w:lineRule="auto"/>
        <w:jc w:val="both"/>
        <w:rPr>
          <w:rFonts w:ascii="Times New Roman" w:hAnsi="Times New Roman" w:cs="Times New Roman"/>
          <w:sz w:val="28"/>
          <w:szCs w:val="28"/>
        </w:rPr>
      </w:pPr>
    </w:p>
    <w:p w14:paraId="289772A1" w14:textId="1D4C6175" w:rsidR="0017314A" w:rsidRPr="00815672" w:rsidRDefault="0017314A" w:rsidP="0017314A">
      <w:pPr>
        <w:spacing w:after="0" w:line="240" w:lineRule="auto"/>
        <w:jc w:val="both"/>
        <w:rPr>
          <w:rFonts w:ascii="Times New Roman" w:hAnsi="Times New Roman" w:cs="Times New Roman"/>
          <w:sz w:val="28"/>
          <w:szCs w:val="28"/>
        </w:rPr>
      </w:pPr>
      <w:r w:rsidRPr="00815672">
        <w:rPr>
          <w:rFonts w:ascii="Times New Roman" w:hAnsi="Times New Roman"/>
          <w:sz w:val="28"/>
        </w:rPr>
        <w:t xml:space="preserve">Sprawdzając wskazany powyżej stan wdrożenia dyrektywy 2014/41 w sprawie europejskiego nakazu dochodzeniowego zauważamy, że zarówno </w:t>
      </w:r>
      <w:r w:rsidRPr="00815672">
        <w:rPr>
          <w:rFonts w:ascii="Times New Roman" w:hAnsi="Times New Roman"/>
          <w:b/>
          <w:sz w:val="28"/>
        </w:rPr>
        <w:t>Niemcy,</w:t>
      </w:r>
      <w:r w:rsidRPr="00815672">
        <w:rPr>
          <w:rFonts w:ascii="Times New Roman" w:hAnsi="Times New Roman"/>
          <w:sz w:val="28"/>
        </w:rPr>
        <w:t xml:space="preserve"> jak i </w:t>
      </w:r>
      <w:r w:rsidRPr="00815672">
        <w:rPr>
          <w:rFonts w:ascii="Times New Roman" w:hAnsi="Times New Roman"/>
          <w:b/>
          <w:sz w:val="28"/>
        </w:rPr>
        <w:t>Grecja</w:t>
      </w:r>
      <w:r w:rsidRPr="00815672">
        <w:rPr>
          <w:rFonts w:ascii="Times New Roman" w:hAnsi="Times New Roman"/>
          <w:sz w:val="28"/>
        </w:rPr>
        <w:t xml:space="preserve"> dokonały transpozycji dyrektywy, co oznacza, że ten instrument prawny ma zastosowanie pomiędzy tymi dwoma państwami członkowskimi, a w szczególności przepisy z art. 24 dyrektywy.</w:t>
      </w:r>
    </w:p>
    <w:p w14:paraId="536691CE" w14:textId="43EFB692" w:rsidR="0017314A" w:rsidRPr="00815672" w:rsidRDefault="0017314A" w:rsidP="00FB3E9B">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7206E2B5" wp14:editId="5EAB915C">
            <wp:extent cx="5734050" cy="1238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1238250"/>
                    </a:xfrm>
                    <a:prstGeom prst="rect">
                      <a:avLst/>
                    </a:prstGeom>
                    <a:noFill/>
                    <a:ln>
                      <a:noFill/>
                    </a:ln>
                  </pic:spPr>
                </pic:pic>
              </a:graphicData>
            </a:graphic>
          </wp:inline>
        </w:drawing>
      </w:r>
    </w:p>
    <w:p w14:paraId="0883060D" w14:textId="77777777" w:rsidR="0017314A" w:rsidRPr="00815672" w:rsidRDefault="0017314A" w:rsidP="0017314A">
      <w:pPr>
        <w:spacing w:after="0" w:line="240" w:lineRule="auto"/>
        <w:jc w:val="both"/>
        <w:rPr>
          <w:rFonts w:ascii="Times New Roman" w:hAnsi="Times New Roman" w:cs="Times New Roman"/>
          <w:sz w:val="28"/>
          <w:szCs w:val="28"/>
        </w:rPr>
      </w:pPr>
    </w:p>
    <w:p w14:paraId="258BDADF" w14:textId="6BFBB4DC" w:rsidR="0017314A" w:rsidRPr="00815672" w:rsidRDefault="00FB3E9B" w:rsidP="00FB3E9B">
      <w:pPr>
        <w:spacing w:after="0" w:line="240" w:lineRule="auto"/>
        <w:jc w:val="both"/>
        <w:rPr>
          <w:rFonts w:ascii="Times New Roman" w:hAnsi="Times New Roman" w:cs="Times New Roman"/>
          <w:i/>
          <w:color w:val="000000" w:themeColor="text1"/>
          <w:sz w:val="28"/>
          <w:szCs w:val="28"/>
        </w:rPr>
      </w:pPr>
      <w:r w:rsidRPr="00815672">
        <w:rPr>
          <w:rFonts w:ascii="Times New Roman" w:hAnsi="Times New Roman"/>
          <w:i/>
          <w:color w:val="000000" w:themeColor="text1"/>
          <w:sz w:val="28"/>
        </w:rPr>
        <w:t>4. Francuski organ sądowy chce przesłuchać w formie telekonferencji biegłego, który przebywa w Rumunii. Z jakiego instrumentu prawnego powinien skorzystać?</w:t>
      </w:r>
    </w:p>
    <w:p w14:paraId="5E34C9C1" w14:textId="77777777" w:rsidR="0017314A" w:rsidRPr="00815672" w:rsidRDefault="0017314A" w:rsidP="0074607F">
      <w:pPr>
        <w:spacing w:line="240" w:lineRule="auto"/>
        <w:jc w:val="both"/>
        <w:rPr>
          <w:rFonts w:ascii="Times New Roman" w:hAnsi="Times New Roman" w:cs="Times New Roman"/>
          <w:sz w:val="28"/>
          <w:szCs w:val="28"/>
        </w:rPr>
      </w:pPr>
    </w:p>
    <w:p w14:paraId="136F280E" w14:textId="2A606FC3" w:rsidR="00FB3E9B" w:rsidRPr="00815672" w:rsidRDefault="00476AE8" w:rsidP="00FB3E9B">
      <w:pPr>
        <w:spacing w:after="120" w:line="240" w:lineRule="auto"/>
        <w:jc w:val="both"/>
        <w:rPr>
          <w:rFonts w:ascii="Times New Roman" w:hAnsi="Times New Roman" w:cs="Times New Roman"/>
          <w:sz w:val="28"/>
          <w:szCs w:val="28"/>
        </w:rPr>
      </w:pPr>
      <w:r w:rsidRPr="00815672">
        <w:rPr>
          <w:rFonts w:ascii="Times New Roman" w:hAnsi="Times New Roman"/>
          <w:sz w:val="28"/>
        </w:rPr>
        <w:lastRenderedPageBreak/>
        <w:t xml:space="preserve">Sprawdzając ponownie wskazany powyżej stan wdrożenia dyrektywy 2014/41 w sprawie europejskiego nakazu dochodzeniowego zauważamy, że zarówno </w:t>
      </w:r>
      <w:r w:rsidRPr="00815672">
        <w:rPr>
          <w:rFonts w:ascii="Times New Roman" w:hAnsi="Times New Roman"/>
          <w:b/>
          <w:sz w:val="28"/>
        </w:rPr>
        <w:t>Francja,</w:t>
      </w:r>
      <w:r w:rsidRPr="00815672">
        <w:rPr>
          <w:rFonts w:ascii="Times New Roman" w:hAnsi="Times New Roman"/>
          <w:sz w:val="28"/>
        </w:rPr>
        <w:t xml:space="preserve"> jak i </w:t>
      </w:r>
      <w:r w:rsidRPr="00815672">
        <w:rPr>
          <w:rFonts w:ascii="Times New Roman" w:hAnsi="Times New Roman"/>
          <w:b/>
          <w:sz w:val="28"/>
        </w:rPr>
        <w:t>Rumunia</w:t>
      </w:r>
      <w:r w:rsidRPr="00815672">
        <w:rPr>
          <w:rFonts w:ascii="Times New Roman" w:hAnsi="Times New Roman"/>
          <w:sz w:val="28"/>
        </w:rPr>
        <w:t xml:space="preserve"> dokonały transpozycji dyrektywy, co oznacza, że ten instrument prawny ma zastosowanie pomiędzy tymi dwoma państwami członkowskimi, a w szczególności przepisy z art. 24 dyrektywy.</w:t>
      </w:r>
    </w:p>
    <w:p w14:paraId="248319D9" w14:textId="625C7287" w:rsidR="00476AE8" w:rsidRPr="00815672" w:rsidRDefault="00476AE8" w:rsidP="00476AE8">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25347DD6" wp14:editId="263BE211">
            <wp:extent cx="5724525" cy="6667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666750"/>
                    </a:xfrm>
                    <a:prstGeom prst="rect">
                      <a:avLst/>
                    </a:prstGeom>
                    <a:noFill/>
                    <a:ln>
                      <a:noFill/>
                    </a:ln>
                  </pic:spPr>
                </pic:pic>
              </a:graphicData>
            </a:graphic>
          </wp:inline>
        </w:drawing>
      </w:r>
    </w:p>
    <w:p w14:paraId="548366C8" w14:textId="77777777" w:rsidR="00476AE8" w:rsidRPr="00815672" w:rsidRDefault="00476AE8" w:rsidP="00476AE8">
      <w:pPr>
        <w:spacing w:after="0" w:line="240" w:lineRule="auto"/>
        <w:jc w:val="both"/>
        <w:rPr>
          <w:rFonts w:ascii="Times New Roman" w:hAnsi="Times New Roman" w:cs="Times New Roman"/>
          <w:sz w:val="28"/>
          <w:szCs w:val="28"/>
        </w:rPr>
      </w:pPr>
    </w:p>
    <w:p w14:paraId="500AF566" w14:textId="310FF9A0" w:rsidR="00476AE8" w:rsidRPr="00815672" w:rsidRDefault="00476AE8" w:rsidP="00476AE8">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69CC4299" wp14:editId="4A336755">
            <wp:extent cx="5724525" cy="17811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p>
    <w:p w14:paraId="14D6D518" w14:textId="77777777" w:rsidR="00476AE8" w:rsidRPr="00815672" w:rsidRDefault="00476AE8" w:rsidP="00476AE8">
      <w:pPr>
        <w:spacing w:after="0" w:line="240" w:lineRule="auto"/>
        <w:jc w:val="both"/>
        <w:rPr>
          <w:rFonts w:ascii="Times New Roman" w:hAnsi="Times New Roman" w:cs="Times New Roman"/>
          <w:i/>
          <w:color w:val="000000" w:themeColor="text1"/>
          <w:sz w:val="28"/>
          <w:szCs w:val="28"/>
        </w:rPr>
      </w:pPr>
    </w:p>
    <w:p w14:paraId="10B9AFD2" w14:textId="34305F5C" w:rsidR="00476AE8" w:rsidRPr="00815672" w:rsidRDefault="00FB3E9B" w:rsidP="00FB3E9B">
      <w:pPr>
        <w:spacing w:after="0" w:line="240" w:lineRule="auto"/>
        <w:jc w:val="both"/>
        <w:rPr>
          <w:rFonts w:ascii="Times New Roman" w:hAnsi="Times New Roman" w:cs="Times New Roman"/>
          <w:i/>
          <w:color w:val="000000" w:themeColor="text1"/>
          <w:sz w:val="28"/>
          <w:szCs w:val="28"/>
        </w:rPr>
      </w:pPr>
      <w:r w:rsidRPr="00815672">
        <w:rPr>
          <w:rFonts w:ascii="Times New Roman" w:hAnsi="Times New Roman"/>
          <w:i/>
          <w:color w:val="000000" w:themeColor="text1"/>
          <w:sz w:val="28"/>
        </w:rPr>
        <w:t>5. Chorwacki organ sądowy chce wezwać osobę oskarżoną, która przebywa w Danii. Z jakiego instrumentu prawnego powinien skorzystać?</w:t>
      </w:r>
    </w:p>
    <w:p w14:paraId="4A663379" w14:textId="67A2772E" w:rsidR="00476AE8" w:rsidRPr="00815672" w:rsidRDefault="00476AE8" w:rsidP="0074607F">
      <w:pPr>
        <w:spacing w:line="240" w:lineRule="auto"/>
        <w:jc w:val="both"/>
        <w:rPr>
          <w:rFonts w:ascii="Times New Roman" w:hAnsi="Times New Roman" w:cs="Times New Roman"/>
          <w:sz w:val="28"/>
          <w:szCs w:val="28"/>
        </w:rPr>
      </w:pPr>
    </w:p>
    <w:p w14:paraId="09C38276" w14:textId="77777777" w:rsidR="00476AE8" w:rsidRPr="00815672" w:rsidRDefault="00476AE8" w:rsidP="005A51B3">
      <w:pPr>
        <w:spacing w:line="240" w:lineRule="auto"/>
        <w:jc w:val="both"/>
        <w:rPr>
          <w:rFonts w:ascii="Times New Roman" w:hAnsi="Times New Roman" w:cs="Times New Roman"/>
          <w:sz w:val="28"/>
          <w:szCs w:val="28"/>
        </w:rPr>
      </w:pPr>
      <w:r w:rsidRPr="00815672">
        <w:rPr>
          <w:rFonts w:ascii="Times New Roman" w:hAnsi="Times New Roman"/>
          <w:sz w:val="28"/>
        </w:rPr>
        <w:t xml:space="preserve">Po pierwsze należy zauważyć, że </w:t>
      </w:r>
      <w:r w:rsidRPr="00815672">
        <w:rPr>
          <w:rFonts w:ascii="Times New Roman" w:hAnsi="Times New Roman"/>
          <w:sz w:val="28"/>
          <w:u w:val="single"/>
        </w:rPr>
        <w:t>nie jest to czynność dochodzeniowa</w:t>
      </w:r>
      <w:r w:rsidRPr="00815672">
        <w:rPr>
          <w:rFonts w:ascii="Times New Roman" w:hAnsi="Times New Roman"/>
          <w:sz w:val="28"/>
        </w:rPr>
        <w:t xml:space="preserve">, o którą wystąpił chorwacki organ sądowy, co oznacza, że nie jest ona objęta zakresem stosowania dyrektywy 2014/41 w sprawie europejskiego nakazu </w:t>
      </w:r>
      <w:r w:rsidRPr="00815672">
        <w:rPr>
          <w:rFonts w:ascii="Times New Roman" w:hAnsi="Times New Roman"/>
          <w:sz w:val="28"/>
          <w:u w:val="single"/>
        </w:rPr>
        <w:t>dochodzeniowego</w:t>
      </w:r>
      <w:r w:rsidRPr="00815672">
        <w:rPr>
          <w:rFonts w:ascii="Times New Roman" w:hAnsi="Times New Roman"/>
          <w:sz w:val="28"/>
        </w:rPr>
        <w:t>. Nie musimy więc sprawdzać stanu wdrożenia dyrektywy.</w:t>
      </w:r>
    </w:p>
    <w:p w14:paraId="2C708E8F" w14:textId="77777777" w:rsidR="00476AE8" w:rsidRPr="00815672" w:rsidRDefault="00476AE8" w:rsidP="005A51B3">
      <w:pPr>
        <w:spacing w:line="240" w:lineRule="auto"/>
        <w:jc w:val="both"/>
        <w:rPr>
          <w:rFonts w:ascii="Times New Roman" w:hAnsi="Times New Roman" w:cs="Times New Roman"/>
          <w:sz w:val="28"/>
          <w:szCs w:val="28"/>
        </w:rPr>
      </w:pPr>
      <w:r w:rsidRPr="00815672">
        <w:rPr>
          <w:rFonts w:ascii="Times New Roman" w:hAnsi="Times New Roman"/>
          <w:sz w:val="28"/>
        </w:rPr>
        <w:t>Musimy określić instrument wzajemnej pomocy prawnej, który będzie miał zastosowanie do obu państw członkowskich.</w:t>
      </w:r>
    </w:p>
    <w:p w14:paraId="7519C56F" w14:textId="77777777" w:rsidR="00476AE8" w:rsidRPr="00815672" w:rsidRDefault="00476AE8" w:rsidP="005A51B3">
      <w:pPr>
        <w:spacing w:line="240" w:lineRule="auto"/>
        <w:jc w:val="both"/>
        <w:rPr>
          <w:rFonts w:ascii="Times New Roman" w:hAnsi="Times New Roman" w:cs="Times New Roman"/>
          <w:sz w:val="28"/>
          <w:szCs w:val="28"/>
        </w:rPr>
      </w:pPr>
      <w:r w:rsidRPr="00815672">
        <w:rPr>
          <w:rFonts w:ascii="Times New Roman" w:hAnsi="Times New Roman"/>
          <w:sz w:val="28"/>
        </w:rPr>
        <w:t xml:space="preserve">Jako członkowie Unii Europejskiej sprawdzamy najpierw, czy w obu państwach członkowskich obowiązuje konwencja z 2000 r. </w:t>
      </w:r>
      <w:r w:rsidRPr="00815672">
        <w:rPr>
          <w:rFonts w:ascii="Times New Roman" w:hAnsi="Times New Roman"/>
          <w:i/>
          <w:sz w:val="28"/>
        </w:rPr>
        <w:t>(art. 5 przewiduje wysyłanie i doręczanie dokumentów procesowych</w:t>
      </w:r>
      <w:r w:rsidRPr="00815672">
        <w:rPr>
          <w:rFonts w:ascii="Times New Roman" w:hAnsi="Times New Roman"/>
          <w:sz w:val="28"/>
        </w:rPr>
        <w:t xml:space="preserve">). W tym celu </w:t>
      </w:r>
      <w:r w:rsidRPr="00815672">
        <w:rPr>
          <w:rFonts w:ascii="Times New Roman" w:hAnsi="Times New Roman"/>
          <w:sz w:val="28"/>
          <w:u w:val="single"/>
        </w:rPr>
        <w:t xml:space="preserve">sprawdzamy tabelę ratyfikacji wskazaną powyżej dla Konwencji z 2000 </w:t>
      </w:r>
      <w:r w:rsidRPr="00815672">
        <w:rPr>
          <w:rFonts w:ascii="Times New Roman" w:hAnsi="Times New Roman"/>
          <w:sz w:val="28"/>
        </w:rPr>
        <w:t xml:space="preserve">r. Widzimy, że w przypadku </w:t>
      </w:r>
      <w:r w:rsidRPr="00815672">
        <w:rPr>
          <w:rFonts w:ascii="Times New Roman" w:hAnsi="Times New Roman"/>
          <w:b/>
          <w:sz w:val="28"/>
        </w:rPr>
        <w:t>Danii</w:t>
      </w:r>
      <w:r w:rsidRPr="00815672">
        <w:rPr>
          <w:rFonts w:ascii="Times New Roman" w:hAnsi="Times New Roman"/>
          <w:sz w:val="28"/>
        </w:rPr>
        <w:t xml:space="preserve"> Konwencja z 2000 r. weszła w życie, ale nie ma to miejsca w przypadku </w:t>
      </w:r>
      <w:r w:rsidRPr="00815672">
        <w:rPr>
          <w:rFonts w:ascii="Times New Roman" w:hAnsi="Times New Roman"/>
          <w:b/>
          <w:sz w:val="28"/>
        </w:rPr>
        <w:t>Chorwacji</w:t>
      </w:r>
      <w:r w:rsidRPr="00815672">
        <w:rPr>
          <w:rFonts w:ascii="Times New Roman" w:hAnsi="Times New Roman"/>
          <w:sz w:val="28"/>
        </w:rPr>
        <w:t>.</w:t>
      </w:r>
    </w:p>
    <w:p w14:paraId="78B82A15" w14:textId="33A1473E" w:rsidR="00476AE8" w:rsidRPr="00815672" w:rsidRDefault="00476AE8" w:rsidP="005A51B3">
      <w:pPr>
        <w:spacing w:line="240" w:lineRule="auto"/>
        <w:jc w:val="both"/>
        <w:rPr>
          <w:rFonts w:ascii="Times New Roman" w:hAnsi="Times New Roman" w:cs="Times New Roman"/>
          <w:sz w:val="28"/>
          <w:szCs w:val="28"/>
        </w:rPr>
      </w:pPr>
      <w:r w:rsidRPr="00815672">
        <w:rPr>
          <w:noProof/>
          <w:lang w:eastAsia="pl-PL"/>
        </w:rPr>
        <w:drawing>
          <wp:inline distT="0" distB="0" distL="0" distR="0" wp14:anchorId="7DA04D54" wp14:editId="1A150659">
            <wp:extent cx="5724525" cy="12382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4C336416" w14:textId="77777777" w:rsidR="00476AE8" w:rsidRPr="00815672" w:rsidRDefault="00476AE8" w:rsidP="005A51B3">
      <w:pPr>
        <w:spacing w:line="240" w:lineRule="auto"/>
        <w:jc w:val="both"/>
        <w:rPr>
          <w:rFonts w:ascii="Times New Roman" w:hAnsi="Times New Roman" w:cs="Times New Roman"/>
          <w:sz w:val="28"/>
          <w:szCs w:val="28"/>
        </w:rPr>
      </w:pPr>
    </w:p>
    <w:p w14:paraId="4FFD06AF" w14:textId="77777777" w:rsidR="00476AE8" w:rsidRPr="00815672" w:rsidRDefault="00476AE8" w:rsidP="005A51B3">
      <w:pPr>
        <w:spacing w:line="240" w:lineRule="auto"/>
        <w:jc w:val="both"/>
        <w:rPr>
          <w:rFonts w:ascii="Times New Roman" w:hAnsi="Times New Roman" w:cs="Times New Roman"/>
          <w:sz w:val="28"/>
          <w:szCs w:val="28"/>
        </w:rPr>
      </w:pPr>
      <w:r w:rsidRPr="00815672">
        <w:rPr>
          <w:rFonts w:ascii="Times New Roman" w:hAnsi="Times New Roman"/>
          <w:sz w:val="28"/>
        </w:rPr>
        <w:t>Musimy określić inne instrumenty wzajemnej pomocy prawnej, które mogłyby mieć zastosowanie do obu państw członkowskich.</w:t>
      </w:r>
    </w:p>
    <w:p w14:paraId="38F64B02" w14:textId="77777777" w:rsidR="00476AE8" w:rsidRPr="00815672" w:rsidRDefault="00476AE8" w:rsidP="005A51B3">
      <w:pPr>
        <w:spacing w:line="240" w:lineRule="auto"/>
        <w:jc w:val="both"/>
        <w:rPr>
          <w:rFonts w:ascii="Times New Roman" w:hAnsi="Times New Roman" w:cs="Times New Roman"/>
          <w:sz w:val="28"/>
          <w:szCs w:val="28"/>
        </w:rPr>
      </w:pPr>
      <w:r w:rsidRPr="00815672">
        <w:rPr>
          <w:rFonts w:ascii="Times New Roman" w:hAnsi="Times New Roman"/>
          <w:sz w:val="28"/>
        </w:rPr>
        <w:t>Art. 7 Europejskiej konwencji o pomocy prawnej w sprawach karnych (konwencja z 1959 r.) przewiduje doręczanie pism i rejestrów wyroków sądowych – stawiennictwo świadków, biegłych i osób oskarżonych. Musimy sprawdzić, czy ten instrument prawny obowiązuje w obu państwach członkowskich.</w:t>
      </w:r>
    </w:p>
    <w:p w14:paraId="5BA84F03" w14:textId="50FD5692" w:rsidR="00476AE8" w:rsidRPr="00815672" w:rsidRDefault="00476AE8" w:rsidP="005A51B3">
      <w:pPr>
        <w:spacing w:line="240" w:lineRule="auto"/>
        <w:jc w:val="both"/>
        <w:rPr>
          <w:rFonts w:ascii="Times New Roman" w:hAnsi="Times New Roman" w:cs="Times New Roman"/>
          <w:sz w:val="28"/>
          <w:szCs w:val="28"/>
        </w:rPr>
      </w:pPr>
      <w:r w:rsidRPr="00815672">
        <w:rPr>
          <w:rFonts w:ascii="Times New Roman" w:hAnsi="Times New Roman"/>
          <w:sz w:val="28"/>
        </w:rPr>
        <w:t xml:space="preserve">W tym celu wchodzimy na stronę internetową Biura Traktatowego Rady Europy i sprawdzamy </w:t>
      </w:r>
      <w:hyperlink r:id="rId27" w:history="1">
        <w:r w:rsidRPr="00815672">
          <w:rPr>
            <w:rStyle w:val="Hipercze"/>
            <w:rFonts w:ascii="Times New Roman" w:hAnsi="Times New Roman"/>
            <w:sz w:val="28"/>
          </w:rPr>
          <w:t xml:space="preserve">podpisy i ratyfikacje </w:t>
        </w:r>
        <w:r w:rsidR="005A7EAB" w:rsidRPr="00815672">
          <w:rPr>
            <w:rStyle w:val="Hipercze"/>
            <w:rFonts w:ascii="Times New Roman" w:hAnsi="Times New Roman"/>
            <w:sz w:val="28"/>
          </w:rPr>
          <w:t xml:space="preserve">Konwencji </w:t>
        </w:r>
        <w:r w:rsidRPr="00815672">
          <w:rPr>
            <w:rStyle w:val="Hipercze"/>
            <w:rFonts w:ascii="Times New Roman" w:hAnsi="Times New Roman"/>
            <w:sz w:val="28"/>
          </w:rPr>
          <w:t>z 1959 r</w:t>
        </w:r>
      </w:hyperlink>
      <w:r w:rsidRPr="00815672">
        <w:rPr>
          <w:rFonts w:ascii="Times New Roman" w:hAnsi="Times New Roman"/>
          <w:sz w:val="28"/>
        </w:rPr>
        <w:t>.</w:t>
      </w:r>
    </w:p>
    <w:p w14:paraId="5EC2FF8B" w14:textId="136CD7A3" w:rsidR="00476AE8" w:rsidRPr="00815672" w:rsidRDefault="00476AE8" w:rsidP="0074607F">
      <w:pPr>
        <w:spacing w:line="240" w:lineRule="auto"/>
        <w:jc w:val="both"/>
        <w:rPr>
          <w:rFonts w:ascii="Times New Roman" w:hAnsi="Times New Roman" w:cs="Times New Roman"/>
          <w:sz w:val="28"/>
          <w:szCs w:val="28"/>
        </w:rPr>
      </w:pPr>
    </w:p>
    <w:p w14:paraId="7AB32EA4" w14:textId="307077A1" w:rsidR="00476AE8" w:rsidRPr="00815672" w:rsidRDefault="00476AE8" w:rsidP="00476AE8">
      <w:pPr>
        <w:spacing w:after="0" w:line="240" w:lineRule="auto"/>
        <w:jc w:val="both"/>
        <w:rPr>
          <w:rFonts w:ascii="Times New Roman" w:hAnsi="Times New Roman" w:cs="Times New Roman"/>
          <w:sz w:val="28"/>
          <w:szCs w:val="28"/>
        </w:rPr>
      </w:pPr>
      <w:r w:rsidRPr="00815672">
        <w:rPr>
          <w:rFonts w:ascii="Times New Roman" w:hAnsi="Times New Roman"/>
          <w:sz w:val="28"/>
        </w:rPr>
        <w:t xml:space="preserve">Lista krajów, które złożyły podpisy jest </w:t>
      </w:r>
      <w:hyperlink r:id="rId28" w:history="1">
        <w:r w:rsidRPr="00815672">
          <w:rPr>
            <w:rStyle w:val="Hipercze"/>
            <w:rFonts w:ascii="Times New Roman" w:hAnsi="Times New Roman"/>
            <w:sz w:val="28"/>
          </w:rPr>
          <w:t>dostępna tutaj</w:t>
        </w:r>
      </w:hyperlink>
      <w:r w:rsidRPr="00815672">
        <w:rPr>
          <w:rFonts w:ascii="Times New Roman" w:hAnsi="Times New Roman"/>
          <w:sz w:val="28"/>
        </w:rPr>
        <w:t>.</w:t>
      </w:r>
    </w:p>
    <w:p w14:paraId="7E7341F3" w14:textId="77777777" w:rsidR="00476AE8" w:rsidRPr="00815672" w:rsidRDefault="00476AE8" w:rsidP="00476AE8">
      <w:pPr>
        <w:spacing w:after="0" w:line="240" w:lineRule="auto"/>
        <w:jc w:val="both"/>
        <w:rPr>
          <w:rFonts w:ascii="Times New Roman" w:hAnsi="Times New Roman" w:cs="Times New Roman"/>
          <w:sz w:val="28"/>
          <w:szCs w:val="28"/>
        </w:rPr>
      </w:pPr>
    </w:p>
    <w:p w14:paraId="26B60768" w14:textId="77777777" w:rsidR="00476AE8" w:rsidRPr="00815672" w:rsidRDefault="00476AE8" w:rsidP="00476AE8">
      <w:pPr>
        <w:spacing w:after="0" w:line="240" w:lineRule="auto"/>
        <w:jc w:val="both"/>
        <w:rPr>
          <w:rFonts w:ascii="Times New Roman" w:hAnsi="Times New Roman" w:cs="Times New Roman"/>
          <w:sz w:val="28"/>
          <w:szCs w:val="28"/>
        </w:rPr>
      </w:pPr>
      <w:r w:rsidRPr="00815672">
        <w:rPr>
          <w:rFonts w:ascii="Times New Roman" w:hAnsi="Times New Roman"/>
          <w:sz w:val="28"/>
        </w:rPr>
        <w:t>Jak widać poniżej, konwencja z 1959 r. obowiązuje w obu państwach członkowskich. Chorwackie organy sądowe muszą jednak zweryfikować zastrzeżenia (R) i deklaracje (D) złożone przez Danię w odniesieniu do stosowania niektórych postanowień Konwencji z 1959 r.</w:t>
      </w:r>
    </w:p>
    <w:p w14:paraId="3046EBA3" w14:textId="704B6EA6" w:rsidR="00476AE8" w:rsidRPr="00815672" w:rsidRDefault="00476AE8" w:rsidP="00476AE8">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1AC08E0C" wp14:editId="7F07FB95">
            <wp:extent cx="5724525" cy="9334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933450"/>
                    </a:xfrm>
                    <a:prstGeom prst="rect">
                      <a:avLst/>
                    </a:prstGeom>
                    <a:noFill/>
                    <a:ln>
                      <a:noFill/>
                    </a:ln>
                  </pic:spPr>
                </pic:pic>
              </a:graphicData>
            </a:graphic>
          </wp:inline>
        </w:drawing>
      </w:r>
    </w:p>
    <w:p w14:paraId="2BCA914D" w14:textId="77777777" w:rsidR="00476AE8" w:rsidRPr="00815672" w:rsidRDefault="00476AE8" w:rsidP="00476AE8">
      <w:pPr>
        <w:spacing w:after="0" w:line="240" w:lineRule="auto"/>
        <w:jc w:val="both"/>
        <w:rPr>
          <w:rFonts w:ascii="Times New Roman" w:hAnsi="Times New Roman" w:cs="Times New Roman"/>
          <w:sz w:val="28"/>
          <w:szCs w:val="28"/>
        </w:rPr>
      </w:pPr>
    </w:p>
    <w:p w14:paraId="2CCAB027" w14:textId="49BC1801" w:rsidR="00476AE8" w:rsidRPr="00815672" w:rsidRDefault="00476AE8" w:rsidP="00476AE8">
      <w:pPr>
        <w:spacing w:after="0" w:line="240" w:lineRule="auto"/>
        <w:jc w:val="both"/>
        <w:rPr>
          <w:rFonts w:ascii="Times New Roman" w:hAnsi="Times New Roman" w:cs="Times New Roman"/>
          <w:sz w:val="28"/>
          <w:szCs w:val="28"/>
        </w:rPr>
      </w:pPr>
      <w:r w:rsidRPr="00815672">
        <w:rPr>
          <w:rFonts w:ascii="Times New Roman" w:hAnsi="Times New Roman"/>
          <w:sz w:val="28"/>
        </w:rPr>
        <w:t xml:space="preserve">Poniżej znajdują się </w:t>
      </w:r>
      <w:r w:rsidRPr="00815672">
        <w:rPr>
          <w:rFonts w:ascii="Times New Roman" w:hAnsi="Times New Roman"/>
          <w:b/>
          <w:sz w:val="28"/>
        </w:rPr>
        <w:t>zastrzeżenia i deklaracje</w:t>
      </w:r>
      <w:r w:rsidRPr="00815672">
        <w:rPr>
          <w:rFonts w:ascii="Times New Roman" w:hAnsi="Times New Roman"/>
          <w:sz w:val="28"/>
        </w:rPr>
        <w:t xml:space="preserve"> złożone przez Danię dotyczące sposobu stosowania art. 7 Konwencji z 1959 r. (w jakim trybie, terminie).</w:t>
      </w:r>
    </w:p>
    <w:p w14:paraId="564C78EA" w14:textId="65AA1A34" w:rsidR="00476AE8" w:rsidRPr="00815672" w:rsidRDefault="00476AE8" w:rsidP="00476AE8">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681630BB" wp14:editId="01650930">
            <wp:extent cx="5724525" cy="13144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1314450"/>
                    </a:xfrm>
                    <a:prstGeom prst="rect">
                      <a:avLst/>
                    </a:prstGeom>
                    <a:noFill/>
                    <a:ln>
                      <a:noFill/>
                    </a:ln>
                  </pic:spPr>
                </pic:pic>
              </a:graphicData>
            </a:graphic>
          </wp:inline>
        </w:drawing>
      </w:r>
    </w:p>
    <w:p w14:paraId="5315B9FA" w14:textId="0987BD3B" w:rsidR="00476AE8" w:rsidRPr="00815672" w:rsidRDefault="00476AE8" w:rsidP="00476AE8">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365875FD" wp14:editId="6EEDE7B0">
            <wp:extent cx="5724525" cy="14478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14:paraId="44E168AC" w14:textId="77777777" w:rsidR="00476AE8" w:rsidRPr="00815672" w:rsidRDefault="00476AE8" w:rsidP="00476AE8">
      <w:pPr>
        <w:spacing w:after="0" w:line="240" w:lineRule="auto"/>
        <w:jc w:val="both"/>
        <w:rPr>
          <w:rFonts w:ascii="Times New Roman" w:hAnsi="Times New Roman" w:cs="Times New Roman"/>
          <w:sz w:val="28"/>
          <w:szCs w:val="28"/>
        </w:rPr>
      </w:pPr>
    </w:p>
    <w:p w14:paraId="365C9324" w14:textId="446422F8" w:rsidR="00476AE8" w:rsidRPr="00815672" w:rsidRDefault="00FB3E9B" w:rsidP="00FB3E9B">
      <w:pPr>
        <w:spacing w:after="0" w:line="240" w:lineRule="auto"/>
        <w:jc w:val="both"/>
        <w:rPr>
          <w:rFonts w:ascii="Times New Roman" w:hAnsi="Times New Roman" w:cs="Times New Roman"/>
          <w:i/>
          <w:color w:val="000000" w:themeColor="text1"/>
          <w:sz w:val="28"/>
          <w:szCs w:val="28"/>
        </w:rPr>
      </w:pPr>
      <w:r w:rsidRPr="00815672">
        <w:rPr>
          <w:rFonts w:ascii="Times New Roman" w:hAnsi="Times New Roman"/>
          <w:i/>
          <w:color w:val="000000" w:themeColor="text1"/>
          <w:sz w:val="28"/>
        </w:rPr>
        <w:lastRenderedPageBreak/>
        <w:t>6. Irlandzki organ sądowy chce wezwać świadka, który przebywa w Grecji. Z jakiego instrumentu prawnego powinien skorzystać?</w:t>
      </w:r>
    </w:p>
    <w:p w14:paraId="44CC5F74" w14:textId="6F76B71C" w:rsidR="00476AE8" w:rsidRPr="00815672" w:rsidRDefault="00476AE8" w:rsidP="0074607F">
      <w:pPr>
        <w:spacing w:line="240" w:lineRule="auto"/>
        <w:jc w:val="both"/>
        <w:rPr>
          <w:rFonts w:ascii="Times New Roman" w:hAnsi="Times New Roman" w:cs="Times New Roman"/>
          <w:sz w:val="28"/>
          <w:szCs w:val="28"/>
        </w:rPr>
      </w:pPr>
    </w:p>
    <w:p w14:paraId="7A834BF4" w14:textId="77777777" w:rsidR="00476AE8" w:rsidRPr="00815672" w:rsidRDefault="00476AE8" w:rsidP="005A51B3">
      <w:pPr>
        <w:spacing w:line="240" w:lineRule="auto"/>
        <w:jc w:val="both"/>
        <w:rPr>
          <w:rFonts w:ascii="Times New Roman" w:hAnsi="Times New Roman" w:cs="Times New Roman"/>
          <w:sz w:val="28"/>
          <w:szCs w:val="28"/>
        </w:rPr>
      </w:pPr>
      <w:r w:rsidRPr="00815672">
        <w:rPr>
          <w:rFonts w:ascii="Times New Roman" w:hAnsi="Times New Roman"/>
          <w:sz w:val="28"/>
        </w:rPr>
        <w:t xml:space="preserve">Również w </w:t>
      </w:r>
      <w:r w:rsidRPr="00815672">
        <w:rPr>
          <w:rFonts w:ascii="Times New Roman" w:hAnsi="Times New Roman"/>
          <w:sz w:val="28"/>
          <w:u w:val="single"/>
        </w:rPr>
        <w:t>tym przypadku nie jest to czynność dochodzeniowa</w:t>
      </w:r>
      <w:r w:rsidRPr="00815672">
        <w:rPr>
          <w:rFonts w:ascii="Times New Roman" w:hAnsi="Times New Roman"/>
          <w:sz w:val="28"/>
        </w:rPr>
        <w:t xml:space="preserve">, o którą wystąpił irlandzki organ sądowy, co oznacza, że nie jest ona objęta zakresem stosowania dyrektywy 2014/41 w sprawie europejskiego nakazu </w:t>
      </w:r>
      <w:r w:rsidRPr="00815672">
        <w:rPr>
          <w:rFonts w:ascii="Times New Roman" w:hAnsi="Times New Roman"/>
          <w:sz w:val="28"/>
          <w:u w:val="single"/>
        </w:rPr>
        <w:t>dochodzeniowego</w:t>
      </w:r>
      <w:r w:rsidRPr="00815672">
        <w:rPr>
          <w:rFonts w:ascii="Times New Roman" w:hAnsi="Times New Roman"/>
          <w:sz w:val="28"/>
        </w:rPr>
        <w:t>. Zatem nie musimy sprawdzać stanu wdrożenia dyrektywy (ponadto Irlandia nie jest związana dyrektywą).</w:t>
      </w:r>
    </w:p>
    <w:p w14:paraId="1A05D730" w14:textId="77777777" w:rsidR="00476AE8" w:rsidRPr="00815672" w:rsidRDefault="00476AE8" w:rsidP="005A51B3">
      <w:pPr>
        <w:spacing w:line="240" w:lineRule="auto"/>
        <w:jc w:val="both"/>
        <w:rPr>
          <w:rFonts w:ascii="Times New Roman" w:hAnsi="Times New Roman" w:cs="Times New Roman"/>
          <w:sz w:val="28"/>
          <w:szCs w:val="28"/>
        </w:rPr>
      </w:pPr>
      <w:r w:rsidRPr="00815672">
        <w:rPr>
          <w:rFonts w:ascii="Times New Roman" w:hAnsi="Times New Roman"/>
          <w:sz w:val="28"/>
        </w:rPr>
        <w:t>Oznacza to, że musimy określić instrument wzajemnej pomocy prawnej, który będzie miał zastosowanie do obu państw członkowskich.</w:t>
      </w:r>
    </w:p>
    <w:p w14:paraId="6D1D168A" w14:textId="77777777" w:rsidR="00476AE8" w:rsidRPr="00815672" w:rsidRDefault="00476AE8" w:rsidP="005A51B3">
      <w:pPr>
        <w:spacing w:line="240" w:lineRule="auto"/>
        <w:jc w:val="both"/>
        <w:rPr>
          <w:rFonts w:ascii="Times New Roman" w:hAnsi="Times New Roman" w:cs="Times New Roman"/>
          <w:sz w:val="28"/>
          <w:szCs w:val="28"/>
        </w:rPr>
      </w:pPr>
      <w:r w:rsidRPr="00815672">
        <w:rPr>
          <w:rFonts w:ascii="Times New Roman" w:hAnsi="Times New Roman"/>
          <w:sz w:val="28"/>
        </w:rPr>
        <w:t>Jako członkowie Unii Europejskiej sprawdzamy najpierw, czy w obu państwach członkowskich obowiązuje konwencja z 2000 r.</w:t>
      </w:r>
      <w:r w:rsidRPr="00815672">
        <w:rPr>
          <w:rFonts w:ascii="Times New Roman" w:hAnsi="Times New Roman"/>
          <w:i/>
          <w:sz w:val="28"/>
        </w:rPr>
        <w:t>(art. 5 przewiduje wysyłanie i doręczanie dokumentów procesowych</w:t>
      </w:r>
      <w:r w:rsidRPr="00815672">
        <w:rPr>
          <w:rFonts w:ascii="Times New Roman" w:hAnsi="Times New Roman"/>
          <w:sz w:val="28"/>
        </w:rPr>
        <w:t xml:space="preserve">). W tym celu </w:t>
      </w:r>
      <w:r w:rsidRPr="00815672">
        <w:rPr>
          <w:rFonts w:ascii="Times New Roman" w:hAnsi="Times New Roman"/>
          <w:sz w:val="28"/>
          <w:u w:val="single"/>
        </w:rPr>
        <w:t>sprawdzamy tabelę ratyfikacji wskazaną powyżej</w:t>
      </w:r>
      <w:r w:rsidRPr="00815672">
        <w:rPr>
          <w:rFonts w:ascii="Times New Roman" w:hAnsi="Times New Roman"/>
          <w:sz w:val="28"/>
        </w:rPr>
        <w:t xml:space="preserve">. Widzimy, że w przypadku </w:t>
      </w:r>
      <w:r w:rsidRPr="00815672">
        <w:rPr>
          <w:rFonts w:ascii="Times New Roman" w:hAnsi="Times New Roman"/>
          <w:b/>
          <w:sz w:val="28"/>
        </w:rPr>
        <w:t>Irlandii</w:t>
      </w:r>
      <w:r w:rsidRPr="00815672">
        <w:rPr>
          <w:rFonts w:ascii="Times New Roman" w:hAnsi="Times New Roman"/>
          <w:sz w:val="28"/>
        </w:rPr>
        <w:t xml:space="preserve"> obowiązuje konwencja z 2000 r., co nie ma miejsca w przypadku </w:t>
      </w:r>
      <w:r w:rsidRPr="00815672">
        <w:rPr>
          <w:rFonts w:ascii="Times New Roman" w:hAnsi="Times New Roman"/>
          <w:b/>
          <w:sz w:val="28"/>
        </w:rPr>
        <w:t>Grecji</w:t>
      </w:r>
      <w:r w:rsidRPr="00815672">
        <w:rPr>
          <w:rFonts w:ascii="Times New Roman" w:hAnsi="Times New Roman"/>
          <w:sz w:val="28"/>
        </w:rPr>
        <w:t>.</w:t>
      </w:r>
    </w:p>
    <w:p w14:paraId="0FF69EA0" w14:textId="7A395CF5" w:rsidR="00476AE8" w:rsidRPr="00815672" w:rsidRDefault="00476AE8" w:rsidP="00476AE8">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6EFCFD03" wp14:editId="3130F322">
            <wp:extent cx="5734050" cy="11525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a:extLst>
                        <a:ext uri="{28A0092B-C50C-407E-A947-70E740481C1C}">
                          <a14:useLocalDpi xmlns:a14="http://schemas.microsoft.com/office/drawing/2010/main" val="0"/>
                        </a:ext>
                      </a:extLst>
                    </a:blip>
                    <a:srcRect t="7633"/>
                    <a:stretch/>
                  </pic:blipFill>
                  <pic:spPr bwMode="auto">
                    <a:xfrm>
                      <a:off x="0" y="0"/>
                      <a:ext cx="5734050" cy="1152525"/>
                    </a:xfrm>
                    <a:prstGeom prst="rect">
                      <a:avLst/>
                    </a:prstGeom>
                    <a:noFill/>
                    <a:ln>
                      <a:noFill/>
                    </a:ln>
                    <a:extLst>
                      <a:ext uri="{53640926-AAD7-44D8-BBD7-CCE9431645EC}">
                        <a14:shadowObscured xmlns:a14="http://schemas.microsoft.com/office/drawing/2010/main"/>
                      </a:ext>
                    </a:extLst>
                  </pic:spPr>
                </pic:pic>
              </a:graphicData>
            </a:graphic>
          </wp:inline>
        </w:drawing>
      </w:r>
    </w:p>
    <w:p w14:paraId="03302896" w14:textId="77777777" w:rsidR="00476AE8" w:rsidRPr="00815672" w:rsidRDefault="00476AE8" w:rsidP="00476AE8">
      <w:pPr>
        <w:spacing w:after="0" w:line="240" w:lineRule="auto"/>
        <w:jc w:val="both"/>
        <w:rPr>
          <w:rFonts w:ascii="Times New Roman" w:hAnsi="Times New Roman" w:cs="Times New Roman"/>
          <w:sz w:val="28"/>
          <w:szCs w:val="28"/>
        </w:rPr>
      </w:pPr>
    </w:p>
    <w:p w14:paraId="474087F2" w14:textId="77777777" w:rsidR="00DA175D" w:rsidRPr="00815672" w:rsidRDefault="00DA175D" w:rsidP="00E27164">
      <w:pPr>
        <w:spacing w:line="240" w:lineRule="auto"/>
        <w:jc w:val="both"/>
        <w:rPr>
          <w:rFonts w:ascii="Times New Roman" w:hAnsi="Times New Roman" w:cs="Times New Roman"/>
          <w:sz w:val="28"/>
          <w:szCs w:val="28"/>
        </w:rPr>
      </w:pPr>
      <w:r w:rsidRPr="00815672">
        <w:rPr>
          <w:rFonts w:ascii="Times New Roman" w:hAnsi="Times New Roman"/>
          <w:sz w:val="28"/>
        </w:rPr>
        <w:t>Oznacza to, że musimy określić inny instrument wzajemnej pomocy prawnej, który mógłby mieć zastosowanie do obu państw członkowskich.</w:t>
      </w:r>
    </w:p>
    <w:p w14:paraId="11AC3472" w14:textId="77777777" w:rsidR="00DA175D" w:rsidRPr="00815672" w:rsidRDefault="00DA175D" w:rsidP="00E27164">
      <w:pPr>
        <w:spacing w:line="240" w:lineRule="auto"/>
        <w:jc w:val="both"/>
        <w:rPr>
          <w:rFonts w:ascii="Times New Roman" w:hAnsi="Times New Roman" w:cs="Times New Roman"/>
          <w:sz w:val="28"/>
          <w:szCs w:val="28"/>
        </w:rPr>
      </w:pPr>
      <w:r w:rsidRPr="00815672">
        <w:rPr>
          <w:rFonts w:ascii="Times New Roman" w:hAnsi="Times New Roman"/>
          <w:sz w:val="28"/>
        </w:rPr>
        <w:t>art. 7 Europejskiej konwencji o pomocy prawnej w sprawach karnych (konwencja z 1959 r.) przewiduje doręczanie pism i rejestrów wyroków sądowych – stawiennictwo świadków, biegłych i osób oskarżonych. Musimy sprawdzić, czy ten instrument prawny obowiązuje w obu państwach członkowskich.</w:t>
      </w:r>
    </w:p>
    <w:p w14:paraId="1664B19D" w14:textId="77777777" w:rsidR="00DA175D" w:rsidRPr="00815672" w:rsidRDefault="00DA175D" w:rsidP="00E27164">
      <w:pPr>
        <w:spacing w:line="240" w:lineRule="auto"/>
        <w:jc w:val="both"/>
        <w:rPr>
          <w:rFonts w:ascii="Times New Roman" w:hAnsi="Times New Roman" w:cs="Times New Roman"/>
          <w:sz w:val="28"/>
          <w:szCs w:val="28"/>
        </w:rPr>
      </w:pPr>
      <w:r w:rsidRPr="00815672">
        <w:rPr>
          <w:rFonts w:ascii="Times New Roman" w:hAnsi="Times New Roman"/>
          <w:sz w:val="28"/>
        </w:rPr>
        <w:t xml:space="preserve">Jak wspomniano w punkcie e) wchodzimy na stronę Biura Traktatowego Rady Europy i sprawdzamy podpisy i ratyfikacje Konwencji z 1959 roku. </w:t>
      </w:r>
    </w:p>
    <w:p w14:paraId="53F4AF00" w14:textId="0FCE1DFA" w:rsidR="00DA175D" w:rsidRPr="00815672" w:rsidRDefault="00DA175D" w:rsidP="00E27164">
      <w:pPr>
        <w:spacing w:line="240" w:lineRule="auto"/>
        <w:jc w:val="both"/>
        <w:rPr>
          <w:rFonts w:ascii="Times New Roman" w:hAnsi="Times New Roman" w:cs="Times New Roman"/>
          <w:sz w:val="28"/>
          <w:szCs w:val="28"/>
        </w:rPr>
      </w:pPr>
      <w:r w:rsidRPr="00815672">
        <w:rPr>
          <w:rFonts w:ascii="Times New Roman" w:hAnsi="Times New Roman"/>
          <w:sz w:val="28"/>
        </w:rPr>
        <w:t xml:space="preserve">Jak widać poniżej, konwencja z 1959 r. obowiązuje w obu państwach członkowskich. Irlandzki organ sądowy musi jednak zweryfikować zastrzeżenia (R) zgłoszone przez Grecję w odniesieniu do stosowania niektórych przepisów konwencji z 1959 r. Sprawdzając zastrzeżenia złożone przez Grecję zauważamy, że </w:t>
      </w:r>
      <w:r w:rsidRPr="00815672">
        <w:rPr>
          <w:rFonts w:ascii="Times New Roman" w:hAnsi="Times New Roman"/>
          <w:sz w:val="28"/>
          <w:u w:val="single"/>
        </w:rPr>
        <w:t>żadne</w:t>
      </w:r>
      <w:r w:rsidRPr="00815672">
        <w:rPr>
          <w:rFonts w:ascii="Times New Roman" w:hAnsi="Times New Roman"/>
          <w:sz w:val="28"/>
        </w:rPr>
        <w:t xml:space="preserve"> z nich nie dotyczy stosowania art. 7 Konwencji z 1959 roku.</w:t>
      </w:r>
      <w:r w:rsidRPr="00815672">
        <w:rPr>
          <w:rFonts w:ascii="Times New Roman" w:hAnsi="Times New Roman"/>
          <w:sz w:val="28"/>
        </w:rPr>
        <w:tab/>
      </w:r>
    </w:p>
    <w:p w14:paraId="6CEA78D3" w14:textId="246530A4" w:rsidR="00DA175D" w:rsidRPr="00815672" w:rsidRDefault="00DA175D" w:rsidP="00DA175D">
      <w:pPr>
        <w:spacing w:after="0" w:line="240" w:lineRule="auto"/>
        <w:jc w:val="both"/>
        <w:rPr>
          <w:rFonts w:ascii="Times New Roman" w:hAnsi="Times New Roman" w:cs="Times New Roman"/>
          <w:sz w:val="28"/>
          <w:szCs w:val="28"/>
        </w:rPr>
      </w:pPr>
      <w:r w:rsidRPr="00815672">
        <w:rPr>
          <w:noProof/>
          <w:lang w:eastAsia="pl-PL"/>
        </w:rPr>
        <w:lastRenderedPageBreak/>
        <w:drawing>
          <wp:inline distT="0" distB="0" distL="0" distR="0" wp14:anchorId="74BE6549" wp14:editId="203B7787">
            <wp:extent cx="5734050" cy="11906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noFill/>
                    </a:ln>
                  </pic:spPr>
                </pic:pic>
              </a:graphicData>
            </a:graphic>
          </wp:inline>
        </w:drawing>
      </w:r>
    </w:p>
    <w:p w14:paraId="385BA26F" w14:textId="2E736081" w:rsidR="00476AE8" w:rsidRPr="00815672" w:rsidRDefault="00476AE8" w:rsidP="0074607F">
      <w:pPr>
        <w:spacing w:line="240" w:lineRule="auto"/>
        <w:jc w:val="both"/>
        <w:rPr>
          <w:rFonts w:ascii="Times New Roman" w:hAnsi="Times New Roman" w:cs="Times New Roman"/>
          <w:sz w:val="28"/>
          <w:szCs w:val="28"/>
        </w:rPr>
      </w:pPr>
    </w:p>
    <w:p w14:paraId="43601D29" w14:textId="65C17741" w:rsidR="00876B6E" w:rsidRPr="00815672" w:rsidRDefault="00FB3E9B" w:rsidP="00FB3E9B">
      <w:pPr>
        <w:spacing w:after="0" w:line="240" w:lineRule="auto"/>
        <w:jc w:val="both"/>
        <w:rPr>
          <w:rFonts w:ascii="Times New Roman" w:hAnsi="Times New Roman" w:cs="Times New Roman"/>
          <w:i/>
          <w:color w:val="000000" w:themeColor="text1"/>
          <w:sz w:val="28"/>
          <w:szCs w:val="28"/>
        </w:rPr>
      </w:pPr>
      <w:r w:rsidRPr="00815672">
        <w:rPr>
          <w:rFonts w:ascii="Times New Roman" w:hAnsi="Times New Roman"/>
          <w:i/>
          <w:color w:val="000000" w:themeColor="text1"/>
          <w:sz w:val="28"/>
        </w:rPr>
        <w:t>7. Rumuński organ sądowy chce przesłuchać za pośrednictwem wideokonferencji świadka, który przebywa w Gruzji. Z jakiego instrumentu prawnego powinien skorzystać?</w:t>
      </w:r>
    </w:p>
    <w:p w14:paraId="1B4A0916" w14:textId="77777777" w:rsidR="00476AE8" w:rsidRPr="00815672" w:rsidRDefault="00476AE8" w:rsidP="0074607F">
      <w:pPr>
        <w:spacing w:line="240" w:lineRule="auto"/>
        <w:jc w:val="both"/>
        <w:rPr>
          <w:rFonts w:ascii="Times New Roman" w:hAnsi="Times New Roman" w:cs="Times New Roman"/>
          <w:sz w:val="28"/>
          <w:szCs w:val="28"/>
        </w:rPr>
      </w:pPr>
    </w:p>
    <w:p w14:paraId="5CA9AF37" w14:textId="77777777" w:rsidR="00876B6E" w:rsidRPr="00815672" w:rsidRDefault="00876B6E" w:rsidP="000649D5">
      <w:pPr>
        <w:spacing w:line="240" w:lineRule="auto"/>
        <w:jc w:val="both"/>
        <w:rPr>
          <w:rFonts w:ascii="Times New Roman" w:hAnsi="Times New Roman" w:cs="Times New Roman"/>
          <w:sz w:val="28"/>
          <w:szCs w:val="28"/>
        </w:rPr>
      </w:pPr>
      <w:r w:rsidRPr="00815672">
        <w:rPr>
          <w:rFonts w:ascii="Times New Roman" w:hAnsi="Times New Roman"/>
          <w:sz w:val="28"/>
        </w:rPr>
        <w:t>Mimo że jest to środek dochodzeniowy, dyrektywa 2014/41 nie ma zastosowania, ponieważ Gruzja nie jest członkiem Unii Europejskiej. Musimy zatem ponownie zwrócić naszą uwagę na stronę internetową Biura Traktatowego Rady Europy.</w:t>
      </w:r>
    </w:p>
    <w:p w14:paraId="74B3BD06" w14:textId="43E33F07" w:rsidR="00876B6E" w:rsidRPr="00815672" w:rsidRDefault="00876B6E" w:rsidP="00876B6E">
      <w:pPr>
        <w:spacing w:after="0" w:line="240" w:lineRule="auto"/>
        <w:jc w:val="both"/>
        <w:rPr>
          <w:rFonts w:ascii="Times New Roman" w:hAnsi="Times New Roman" w:cs="Times New Roman"/>
          <w:sz w:val="28"/>
          <w:szCs w:val="28"/>
        </w:rPr>
      </w:pPr>
      <w:r w:rsidRPr="00815672">
        <w:rPr>
          <w:rFonts w:ascii="Times New Roman" w:hAnsi="Times New Roman"/>
          <w:sz w:val="28"/>
        </w:rPr>
        <w:t xml:space="preserve">Przesłuchanie świadka w formie wideokonferencji jest przewidziane w art. 9 </w:t>
      </w:r>
      <w:hyperlink r:id="rId34" w:history="1">
        <w:r w:rsidRPr="00815672">
          <w:rPr>
            <w:rStyle w:val="Hipercze"/>
            <w:rFonts w:ascii="Times New Roman" w:hAnsi="Times New Roman"/>
            <w:sz w:val="28"/>
          </w:rPr>
          <w:t>drugiego protokołu dodatkowego do konwencji z 1959 r. (traktat nr 182 – Strasburg, 8 listopada 2001 r.)</w:t>
        </w:r>
      </w:hyperlink>
      <w:r w:rsidRPr="00815672">
        <w:rPr>
          <w:rFonts w:ascii="Times New Roman" w:hAnsi="Times New Roman"/>
          <w:sz w:val="28"/>
        </w:rPr>
        <w:t xml:space="preserve">. </w:t>
      </w:r>
    </w:p>
    <w:p w14:paraId="55873943" w14:textId="77777777" w:rsidR="00876B6E" w:rsidRPr="00815672" w:rsidRDefault="00876B6E" w:rsidP="00876B6E">
      <w:pPr>
        <w:spacing w:after="0" w:line="240" w:lineRule="auto"/>
        <w:jc w:val="both"/>
        <w:rPr>
          <w:rFonts w:ascii="Times New Roman" w:hAnsi="Times New Roman" w:cs="Times New Roman"/>
          <w:sz w:val="28"/>
          <w:szCs w:val="28"/>
        </w:rPr>
      </w:pPr>
      <w:r w:rsidRPr="00815672">
        <w:rPr>
          <w:rFonts w:ascii="Times New Roman" w:hAnsi="Times New Roman"/>
          <w:sz w:val="28"/>
        </w:rPr>
        <w:t xml:space="preserve">Widzimy, że ten drugi protokół dodatkowy obowiązuje zarówno w </w:t>
      </w:r>
      <w:r w:rsidRPr="00815672">
        <w:rPr>
          <w:rFonts w:ascii="Times New Roman" w:hAnsi="Times New Roman"/>
          <w:b/>
          <w:sz w:val="28"/>
        </w:rPr>
        <w:t>Rumunii</w:t>
      </w:r>
      <w:r w:rsidRPr="00815672">
        <w:rPr>
          <w:rFonts w:ascii="Times New Roman" w:hAnsi="Times New Roman"/>
          <w:sz w:val="28"/>
        </w:rPr>
        <w:t xml:space="preserve">, jak i w </w:t>
      </w:r>
      <w:r w:rsidRPr="00815672">
        <w:rPr>
          <w:rFonts w:ascii="Times New Roman" w:hAnsi="Times New Roman"/>
          <w:b/>
          <w:sz w:val="28"/>
        </w:rPr>
        <w:t>Gruzji</w:t>
      </w:r>
      <w:r w:rsidRPr="00815672">
        <w:rPr>
          <w:rFonts w:ascii="Times New Roman" w:hAnsi="Times New Roman"/>
          <w:sz w:val="28"/>
        </w:rPr>
        <w:t>, a zatem protokół ten jest instrumentem prawnym dla wzajemnej pomocy prawnej między tymi dwoma krajami.</w:t>
      </w:r>
    </w:p>
    <w:p w14:paraId="3FACA2D8" w14:textId="5CDA1259" w:rsidR="00876B6E" w:rsidRPr="00815672" w:rsidRDefault="00876B6E" w:rsidP="00876B6E">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78AD7B12" wp14:editId="5E32C5C5">
            <wp:extent cx="5734050" cy="6572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657225"/>
                    </a:xfrm>
                    <a:prstGeom prst="rect">
                      <a:avLst/>
                    </a:prstGeom>
                    <a:noFill/>
                    <a:ln>
                      <a:noFill/>
                    </a:ln>
                  </pic:spPr>
                </pic:pic>
              </a:graphicData>
            </a:graphic>
          </wp:inline>
        </w:drawing>
      </w:r>
    </w:p>
    <w:p w14:paraId="5CF01AB3" w14:textId="77777777" w:rsidR="00876B6E" w:rsidRPr="00815672" w:rsidRDefault="00876B6E" w:rsidP="00876B6E">
      <w:pPr>
        <w:spacing w:after="0" w:line="240" w:lineRule="auto"/>
        <w:jc w:val="both"/>
        <w:rPr>
          <w:rFonts w:ascii="Times New Roman" w:hAnsi="Times New Roman" w:cs="Times New Roman"/>
          <w:sz w:val="28"/>
          <w:szCs w:val="28"/>
        </w:rPr>
      </w:pPr>
    </w:p>
    <w:p w14:paraId="023D23E4" w14:textId="1ABA9E9F" w:rsidR="00876B6E" w:rsidRPr="00815672" w:rsidRDefault="00876B6E" w:rsidP="00876B6E">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32575D79" wp14:editId="4AFE5974">
            <wp:extent cx="5724525" cy="6762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676275"/>
                    </a:xfrm>
                    <a:prstGeom prst="rect">
                      <a:avLst/>
                    </a:prstGeom>
                    <a:noFill/>
                    <a:ln>
                      <a:noFill/>
                    </a:ln>
                  </pic:spPr>
                </pic:pic>
              </a:graphicData>
            </a:graphic>
          </wp:inline>
        </w:drawing>
      </w:r>
    </w:p>
    <w:p w14:paraId="7E9693A7" w14:textId="77777777" w:rsidR="00876B6E" w:rsidRPr="00815672" w:rsidRDefault="00876B6E" w:rsidP="00876B6E">
      <w:pPr>
        <w:spacing w:after="0" w:line="240" w:lineRule="auto"/>
        <w:jc w:val="both"/>
        <w:rPr>
          <w:rFonts w:ascii="Times New Roman" w:hAnsi="Times New Roman" w:cs="Times New Roman"/>
          <w:sz w:val="28"/>
          <w:szCs w:val="28"/>
        </w:rPr>
      </w:pPr>
    </w:p>
    <w:p w14:paraId="6230085E" w14:textId="77777777" w:rsidR="00876B6E" w:rsidRPr="00815672" w:rsidRDefault="00876B6E" w:rsidP="00876B6E">
      <w:pPr>
        <w:spacing w:after="0" w:line="240" w:lineRule="auto"/>
        <w:jc w:val="both"/>
        <w:rPr>
          <w:rFonts w:ascii="Times New Roman" w:hAnsi="Times New Roman" w:cs="Times New Roman"/>
          <w:sz w:val="28"/>
          <w:szCs w:val="28"/>
        </w:rPr>
      </w:pPr>
      <w:bookmarkStart w:id="6" w:name="_Hlk53755274"/>
      <w:r w:rsidRPr="00815672">
        <w:rPr>
          <w:rFonts w:ascii="Times New Roman" w:hAnsi="Times New Roman"/>
          <w:sz w:val="28"/>
        </w:rPr>
        <w:t xml:space="preserve">Obecnie rumuńskie organy sądowe muszą zweryfikować zastrzeżenia (R) i deklaracje (D) złożone przez Gruzję w odniesieniu do stosowania niektórych postanowień drugiego protokołu dodatkowego do konwencji z 1959 r. </w:t>
      </w:r>
      <w:bookmarkEnd w:id="6"/>
      <w:r w:rsidRPr="00815672">
        <w:rPr>
          <w:rFonts w:ascii="Times New Roman" w:hAnsi="Times New Roman"/>
          <w:sz w:val="28"/>
        </w:rPr>
        <w:t xml:space="preserve">Sprawdzając je zauważamy, że </w:t>
      </w:r>
      <w:r w:rsidRPr="00815672">
        <w:rPr>
          <w:rFonts w:ascii="Times New Roman" w:hAnsi="Times New Roman"/>
          <w:sz w:val="28"/>
          <w:u w:val="single"/>
        </w:rPr>
        <w:t>żadne</w:t>
      </w:r>
      <w:r w:rsidRPr="00815672">
        <w:rPr>
          <w:rFonts w:ascii="Times New Roman" w:hAnsi="Times New Roman"/>
          <w:sz w:val="28"/>
        </w:rPr>
        <w:t xml:space="preserve"> z nich nie dotyczy zastosowania art. 9 Drugiego Protokołu Dodatkowego do Konwencji z 1959 roku.</w:t>
      </w:r>
    </w:p>
    <w:p w14:paraId="1C29CD68" w14:textId="65A4FF1A" w:rsidR="00476AE8" w:rsidRPr="00815672" w:rsidRDefault="00476AE8" w:rsidP="0074607F">
      <w:pPr>
        <w:spacing w:line="240" w:lineRule="auto"/>
        <w:jc w:val="both"/>
        <w:rPr>
          <w:rFonts w:ascii="Times New Roman" w:hAnsi="Times New Roman" w:cs="Times New Roman"/>
          <w:sz w:val="28"/>
          <w:szCs w:val="28"/>
        </w:rPr>
      </w:pPr>
    </w:p>
    <w:p w14:paraId="7D89259B" w14:textId="0F487296" w:rsidR="00876B6E" w:rsidRPr="00815672" w:rsidRDefault="00FB3E9B" w:rsidP="00FB3E9B">
      <w:pPr>
        <w:spacing w:after="0" w:line="240" w:lineRule="auto"/>
        <w:jc w:val="both"/>
        <w:rPr>
          <w:rFonts w:ascii="Times New Roman" w:hAnsi="Times New Roman" w:cs="Times New Roman"/>
          <w:i/>
          <w:color w:val="000000" w:themeColor="text1"/>
          <w:sz w:val="28"/>
          <w:szCs w:val="28"/>
        </w:rPr>
      </w:pPr>
      <w:r w:rsidRPr="00815672">
        <w:rPr>
          <w:rFonts w:ascii="Times New Roman" w:hAnsi="Times New Roman"/>
          <w:i/>
          <w:color w:val="000000" w:themeColor="text1"/>
          <w:sz w:val="28"/>
        </w:rPr>
        <w:t>8. Bułgarski organ sądowy chce wezwać świadka, który przebywa w Norwegii. Z jakiego instrumentu prawnego powinien skorzystać?</w:t>
      </w:r>
    </w:p>
    <w:p w14:paraId="05DB6510" w14:textId="77777777" w:rsidR="00876B6E" w:rsidRPr="00815672" w:rsidRDefault="00876B6E" w:rsidP="0074607F">
      <w:pPr>
        <w:spacing w:line="240" w:lineRule="auto"/>
        <w:jc w:val="both"/>
        <w:rPr>
          <w:rFonts w:ascii="Times New Roman" w:hAnsi="Times New Roman" w:cs="Times New Roman"/>
          <w:sz w:val="28"/>
          <w:szCs w:val="28"/>
        </w:rPr>
      </w:pPr>
    </w:p>
    <w:p w14:paraId="4A405775" w14:textId="77777777" w:rsidR="00876B6E" w:rsidRPr="00815672" w:rsidRDefault="00876B6E" w:rsidP="00430CB8">
      <w:pPr>
        <w:spacing w:line="240" w:lineRule="auto"/>
        <w:jc w:val="both"/>
        <w:rPr>
          <w:rFonts w:ascii="Times New Roman" w:hAnsi="Times New Roman" w:cs="Times New Roman"/>
          <w:sz w:val="28"/>
          <w:szCs w:val="28"/>
        </w:rPr>
      </w:pPr>
      <w:r w:rsidRPr="00815672">
        <w:rPr>
          <w:rFonts w:ascii="Times New Roman" w:hAnsi="Times New Roman"/>
          <w:sz w:val="28"/>
        </w:rPr>
        <w:lastRenderedPageBreak/>
        <w:t>W pierwszej kolejności należy zauważyć, że dyrektywa 2014/41 w sprawie europejskiego nakazu dochodzeniowego nie ma zastosowania w tym konkretnym przypadku.</w:t>
      </w:r>
    </w:p>
    <w:p w14:paraId="3DA85EF7" w14:textId="791D6466" w:rsidR="00FB3E9B" w:rsidRPr="00815672" w:rsidRDefault="00876B6E" w:rsidP="00C1785B">
      <w:pPr>
        <w:spacing w:line="240" w:lineRule="auto"/>
        <w:jc w:val="both"/>
        <w:rPr>
          <w:rFonts w:ascii="Times New Roman" w:hAnsi="Times New Roman" w:cs="Times New Roman"/>
          <w:sz w:val="28"/>
          <w:szCs w:val="28"/>
        </w:rPr>
      </w:pPr>
      <w:r w:rsidRPr="00815672">
        <w:rPr>
          <w:rFonts w:ascii="Times New Roman" w:hAnsi="Times New Roman"/>
          <w:sz w:val="28"/>
        </w:rPr>
        <w:t xml:space="preserve">Następnie, mimo że Norwegia nie jest członkiem Unii Europejskiej, niektóre postanowienia konwencji z 2000 r. nadal mają zastosowanie w odniesieniu do Norwegii i Islandii z UE zgodnie z </w:t>
      </w:r>
      <w:hyperlink r:id="rId37" w:history="1">
        <w:r w:rsidRPr="00815672">
          <w:rPr>
            <w:rStyle w:val="Hipercze"/>
            <w:rFonts w:ascii="Times New Roman" w:hAnsi="Times New Roman"/>
            <w:b/>
            <w:sz w:val="28"/>
          </w:rPr>
          <w:t xml:space="preserve">Umowa </w:t>
        </w:r>
        <w:r w:rsidRPr="00815672">
          <w:rPr>
            <w:rStyle w:val="Hipercze"/>
            <w:rFonts w:ascii="Times New Roman" w:hAnsi="Times New Roman"/>
            <w:sz w:val="28"/>
          </w:rPr>
          <w:t>między Unią Europejską a Republiką Islandii i Królestwem Norwegii w sprawie stosowania niektórych postanowień Konwencji z dnia 29 maja 2000 r. o pomocy prawnej w sprawach karnych pomiędzy państwami członkowskimi UE oraz protokołu z 2001 r. do tej konwencji</w:t>
        </w:r>
      </w:hyperlink>
      <w:r w:rsidRPr="00815672">
        <w:rPr>
          <w:rFonts w:ascii="Times New Roman" w:hAnsi="Times New Roman"/>
          <w:sz w:val="28"/>
        </w:rPr>
        <w:t>.</w:t>
      </w:r>
    </w:p>
    <w:p w14:paraId="162CCF52" w14:textId="4DABFB6B" w:rsidR="00476AE8" w:rsidRPr="00815672" w:rsidRDefault="00876B6E" w:rsidP="00876B6E">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57D2BA42" wp14:editId="42D8B597">
            <wp:extent cx="4257675" cy="22193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7675" cy="2219325"/>
                    </a:xfrm>
                    <a:prstGeom prst="rect">
                      <a:avLst/>
                    </a:prstGeom>
                    <a:noFill/>
                    <a:ln>
                      <a:noFill/>
                    </a:ln>
                  </pic:spPr>
                </pic:pic>
              </a:graphicData>
            </a:graphic>
          </wp:inline>
        </w:drawing>
      </w:r>
    </w:p>
    <w:p w14:paraId="327144E0" w14:textId="77777777" w:rsidR="00876B6E" w:rsidRPr="00815672" w:rsidRDefault="00876B6E" w:rsidP="00C1785B">
      <w:pPr>
        <w:spacing w:line="240" w:lineRule="auto"/>
        <w:jc w:val="both"/>
        <w:rPr>
          <w:rFonts w:ascii="Times New Roman" w:hAnsi="Times New Roman" w:cs="Times New Roman"/>
          <w:sz w:val="28"/>
          <w:szCs w:val="28"/>
        </w:rPr>
      </w:pPr>
      <w:r w:rsidRPr="00815672">
        <w:rPr>
          <w:rFonts w:ascii="Times New Roman" w:hAnsi="Times New Roman"/>
          <w:sz w:val="28"/>
        </w:rPr>
        <w:t xml:space="preserve">Zwracamy uwagę, że art. 5 dotyczący przesyłania dokumentów proceduralnych </w:t>
      </w:r>
      <w:r w:rsidRPr="00815672">
        <w:rPr>
          <w:rFonts w:ascii="Times New Roman" w:hAnsi="Times New Roman"/>
          <w:sz w:val="28"/>
          <w:u w:val="single"/>
        </w:rPr>
        <w:t>nie jest wymieniony w art. 1 ust. 2 wyżej wymienionej umowy</w:t>
      </w:r>
      <w:r w:rsidRPr="00815672">
        <w:rPr>
          <w:rFonts w:ascii="Times New Roman" w:hAnsi="Times New Roman"/>
          <w:sz w:val="28"/>
        </w:rPr>
        <w:t>, co oznacza, że Konwencja z 2000 r. nie będzie instrumentem prawnym dla wzajemnej pomocy prawnej między dwoma krajami.</w:t>
      </w:r>
    </w:p>
    <w:p w14:paraId="3E6C1865" w14:textId="77777777" w:rsidR="00876B6E" w:rsidRPr="00815672" w:rsidRDefault="00876B6E" w:rsidP="00876B6E">
      <w:pPr>
        <w:spacing w:after="0" w:line="240" w:lineRule="auto"/>
        <w:jc w:val="both"/>
        <w:rPr>
          <w:rFonts w:ascii="Times New Roman" w:hAnsi="Times New Roman" w:cs="Times New Roman"/>
          <w:sz w:val="28"/>
          <w:szCs w:val="28"/>
        </w:rPr>
      </w:pPr>
      <w:r w:rsidRPr="00815672">
        <w:rPr>
          <w:rFonts w:ascii="Times New Roman" w:hAnsi="Times New Roman"/>
          <w:sz w:val="28"/>
        </w:rPr>
        <w:t>Przypominamy, że art. 7 Konwencji z 1959 r. dotyczy przesyłania dokumentów procesowych, więc zwrócimy na niego uwagę. Widzimy, że w obu krajach obowiązuje konwencja z 1959 roku. Obecnie bułgarskie organy sądowe muszą zweryfikować zastrzeżenia (R) i deklaracje (D) złożone przez Norwegię w odniesieniu do stosowania niektórych postanowień konwencji z 1959 r.</w:t>
      </w:r>
    </w:p>
    <w:p w14:paraId="53F0BE6C" w14:textId="77777777" w:rsidR="00876B6E" w:rsidRPr="00815672" w:rsidRDefault="00876B6E" w:rsidP="00876B6E">
      <w:pPr>
        <w:spacing w:after="0" w:line="240" w:lineRule="auto"/>
        <w:jc w:val="both"/>
        <w:rPr>
          <w:rFonts w:ascii="Times New Roman" w:hAnsi="Times New Roman" w:cs="Times New Roman"/>
          <w:sz w:val="28"/>
          <w:szCs w:val="28"/>
        </w:rPr>
      </w:pPr>
    </w:p>
    <w:p w14:paraId="55C60602" w14:textId="3C4C141A" w:rsidR="00876B6E" w:rsidRPr="00815672" w:rsidRDefault="00876B6E" w:rsidP="00876B6E">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0825F786" wp14:editId="61595CDA">
            <wp:extent cx="5734050" cy="7048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inline>
        </w:drawing>
      </w:r>
    </w:p>
    <w:p w14:paraId="28E14D39" w14:textId="77777777" w:rsidR="00876B6E" w:rsidRPr="00815672" w:rsidRDefault="00876B6E" w:rsidP="00876B6E">
      <w:pPr>
        <w:spacing w:after="0" w:line="240" w:lineRule="auto"/>
        <w:jc w:val="both"/>
        <w:rPr>
          <w:rFonts w:ascii="Times New Roman" w:hAnsi="Times New Roman" w:cs="Times New Roman"/>
          <w:sz w:val="28"/>
          <w:szCs w:val="28"/>
        </w:rPr>
      </w:pPr>
    </w:p>
    <w:p w14:paraId="665C5D05" w14:textId="20B1C784" w:rsidR="00876B6E" w:rsidRPr="00815672" w:rsidRDefault="00876B6E" w:rsidP="00876B6E">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33957AD7" wp14:editId="5A94FCC4">
            <wp:extent cx="5734050" cy="6477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647700"/>
                    </a:xfrm>
                    <a:prstGeom prst="rect">
                      <a:avLst/>
                    </a:prstGeom>
                    <a:noFill/>
                    <a:ln>
                      <a:noFill/>
                    </a:ln>
                  </pic:spPr>
                </pic:pic>
              </a:graphicData>
            </a:graphic>
          </wp:inline>
        </w:drawing>
      </w:r>
    </w:p>
    <w:p w14:paraId="00697671" w14:textId="77777777" w:rsidR="00876B6E" w:rsidRPr="00815672" w:rsidRDefault="00876B6E" w:rsidP="00876B6E">
      <w:pPr>
        <w:spacing w:after="0" w:line="240" w:lineRule="auto"/>
        <w:jc w:val="both"/>
        <w:rPr>
          <w:rFonts w:ascii="Times New Roman" w:hAnsi="Times New Roman" w:cs="Times New Roman"/>
          <w:sz w:val="28"/>
          <w:szCs w:val="28"/>
        </w:rPr>
      </w:pPr>
    </w:p>
    <w:p w14:paraId="125E3DEB" w14:textId="6EEE9CC1" w:rsidR="00876B6E" w:rsidRPr="00815672" w:rsidRDefault="00876B6E" w:rsidP="00876B6E">
      <w:pPr>
        <w:spacing w:after="0" w:line="240" w:lineRule="auto"/>
        <w:jc w:val="both"/>
        <w:rPr>
          <w:rFonts w:ascii="Times New Roman" w:hAnsi="Times New Roman" w:cs="Times New Roman"/>
          <w:sz w:val="28"/>
          <w:szCs w:val="28"/>
        </w:rPr>
      </w:pPr>
      <w:r w:rsidRPr="00815672">
        <w:rPr>
          <w:rFonts w:ascii="Times New Roman" w:hAnsi="Times New Roman"/>
          <w:sz w:val="28"/>
        </w:rPr>
        <w:t>Poniżej znajdują się Zastrzeżenia i Deklaracje złożone przez Norwegię do Konwencji z 1959 r. dotyczące stosowania art. 7.</w:t>
      </w:r>
    </w:p>
    <w:p w14:paraId="1E157271" w14:textId="4BFC82C8" w:rsidR="00876B6E" w:rsidRPr="00815672" w:rsidRDefault="00876B6E" w:rsidP="00876B6E">
      <w:pPr>
        <w:spacing w:after="0" w:line="240" w:lineRule="auto"/>
        <w:jc w:val="both"/>
        <w:rPr>
          <w:rFonts w:ascii="Times New Roman" w:hAnsi="Times New Roman" w:cs="Times New Roman"/>
          <w:sz w:val="28"/>
          <w:szCs w:val="28"/>
        </w:rPr>
      </w:pPr>
      <w:r w:rsidRPr="00815672">
        <w:rPr>
          <w:noProof/>
          <w:lang w:eastAsia="pl-PL"/>
        </w:rPr>
        <w:lastRenderedPageBreak/>
        <w:drawing>
          <wp:inline distT="0" distB="0" distL="0" distR="0" wp14:anchorId="08965590" wp14:editId="6273435D">
            <wp:extent cx="5724525" cy="119062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p>
    <w:p w14:paraId="37D414D8" w14:textId="74F7B499" w:rsidR="00876B6E" w:rsidRPr="00815672" w:rsidRDefault="00876B6E" w:rsidP="00876B6E">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0A5D256C" wp14:editId="619A3BDF">
            <wp:extent cx="5724525" cy="28765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6CA99C92" w14:textId="41E88334" w:rsidR="00876B6E" w:rsidRPr="00815672" w:rsidRDefault="00876B6E" w:rsidP="0074607F">
      <w:pPr>
        <w:spacing w:line="240" w:lineRule="auto"/>
        <w:jc w:val="both"/>
        <w:rPr>
          <w:rFonts w:ascii="Times New Roman" w:hAnsi="Times New Roman" w:cs="Times New Roman"/>
          <w:sz w:val="28"/>
          <w:szCs w:val="28"/>
        </w:rPr>
      </w:pPr>
    </w:p>
    <w:p w14:paraId="5D47713A" w14:textId="71F97CEC" w:rsidR="00876B6E" w:rsidRPr="00815672" w:rsidRDefault="00FB3E9B" w:rsidP="00FB3E9B">
      <w:pPr>
        <w:spacing w:after="0" w:line="240" w:lineRule="auto"/>
        <w:jc w:val="both"/>
        <w:rPr>
          <w:rFonts w:ascii="Times New Roman" w:hAnsi="Times New Roman" w:cs="Times New Roman"/>
          <w:i/>
          <w:color w:val="000000" w:themeColor="text1"/>
          <w:sz w:val="28"/>
          <w:szCs w:val="28"/>
        </w:rPr>
      </w:pPr>
      <w:r w:rsidRPr="00815672">
        <w:rPr>
          <w:rFonts w:ascii="Times New Roman" w:hAnsi="Times New Roman"/>
          <w:i/>
          <w:color w:val="000000" w:themeColor="text1"/>
          <w:sz w:val="28"/>
        </w:rPr>
        <w:t>9. Niemiecki organ sądowy chce przesłuchać w formie wideokonferencji świadka, który przebywa w Szwajcarii. Z jakiego instrumentu prawnego powinien skorzystać?</w:t>
      </w:r>
    </w:p>
    <w:p w14:paraId="0FFE269A" w14:textId="59D906C5" w:rsidR="00876B6E" w:rsidRPr="00815672" w:rsidRDefault="00876B6E" w:rsidP="0074607F">
      <w:pPr>
        <w:spacing w:line="240" w:lineRule="auto"/>
        <w:jc w:val="both"/>
        <w:rPr>
          <w:rFonts w:ascii="Times New Roman" w:hAnsi="Times New Roman" w:cs="Times New Roman"/>
          <w:sz w:val="28"/>
          <w:szCs w:val="28"/>
        </w:rPr>
      </w:pPr>
    </w:p>
    <w:p w14:paraId="3453FAB7" w14:textId="77777777" w:rsidR="00876B6E" w:rsidRPr="00815672" w:rsidRDefault="00876B6E" w:rsidP="00C1785B">
      <w:pPr>
        <w:spacing w:line="240" w:lineRule="auto"/>
        <w:jc w:val="both"/>
        <w:rPr>
          <w:rFonts w:ascii="Times New Roman" w:hAnsi="Times New Roman" w:cs="Times New Roman"/>
          <w:sz w:val="28"/>
          <w:szCs w:val="28"/>
        </w:rPr>
      </w:pPr>
      <w:r w:rsidRPr="00815672">
        <w:rPr>
          <w:rFonts w:ascii="Times New Roman" w:hAnsi="Times New Roman"/>
          <w:sz w:val="28"/>
        </w:rPr>
        <w:t>W pierwszej kolejności należy zauważyć, że dyrektywa 2014/41 w sprawie europejskiego nakazu dochodzeniowego nie ma zastosowania w tym konkretnym przypadku.</w:t>
      </w:r>
    </w:p>
    <w:p w14:paraId="14C61E04" w14:textId="77777777" w:rsidR="00876B6E" w:rsidRPr="00815672" w:rsidRDefault="00876B6E" w:rsidP="00C1785B">
      <w:pPr>
        <w:spacing w:line="240" w:lineRule="auto"/>
        <w:jc w:val="both"/>
        <w:rPr>
          <w:rFonts w:ascii="Times New Roman" w:hAnsi="Times New Roman" w:cs="Times New Roman"/>
          <w:sz w:val="28"/>
          <w:szCs w:val="28"/>
        </w:rPr>
      </w:pPr>
      <w:r w:rsidRPr="00815672">
        <w:rPr>
          <w:rFonts w:ascii="Times New Roman" w:hAnsi="Times New Roman"/>
          <w:sz w:val="28"/>
        </w:rPr>
        <w:t>Po drugie, konwencja z 2000 r. również nie ma zastosowania.</w:t>
      </w:r>
    </w:p>
    <w:p w14:paraId="0F7A49A3" w14:textId="4959D62F" w:rsidR="00876B6E" w:rsidRPr="00815672" w:rsidRDefault="00876B6E" w:rsidP="00C1785B">
      <w:pPr>
        <w:spacing w:line="240" w:lineRule="auto"/>
        <w:jc w:val="both"/>
        <w:rPr>
          <w:rFonts w:ascii="Times New Roman" w:hAnsi="Times New Roman" w:cs="Times New Roman"/>
          <w:sz w:val="28"/>
          <w:szCs w:val="28"/>
        </w:rPr>
      </w:pPr>
      <w:r w:rsidRPr="00815672">
        <w:rPr>
          <w:rFonts w:ascii="Times New Roman" w:hAnsi="Times New Roman"/>
          <w:sz w:val="28"/>
        </w:rPr>
        <w:t>Przesłuchanie świadka w formie wideokonferencji jest przewidziane w art. 9 Drugiego protokołu dodatkowego do konwencji z 1959 r. (Traktat nr 182 – Strasburg, 8 listopada 2001 r</w:t>
      </w:r>
      <w:r w:rsidR="00E556C5" w:rsidRPr="00815672">
        <w:rPr>
          <w:rFonts w:ascii="Times New Roman" w:hAnsi="Times New Roman"/>
          <w:sz w:val="28"/>
        </w:rPr>
        <w:t>.) . Link</w:t>
      </w:r>
      <w:r w:rsidRPr="00815672">
        <w:rPr>
          <w:rFonts w:ascii="Times New Roman" w:hAnsi="Times New Roman"/>
          <w:sz w:val="28"/>
        </w:rPr>
        <w:t xml:space="preserve"> znajduje się poniżej: </w:t>
      </w:r>
    </w:p>
    <w:p w14:paraId="61679EF2" w14:textId="77777777" w:rsidR="00876B6E" w:rsidRPr="00815672" w:rsidRDefault="00800598" w:rsidP="00C1785B">
      <w:pPr>
        <w:spacing w:line="240" w:lineRule="auto"/>
        <w:jc w:val="both"/>
        <w:rPr>
          <w:rFonts w:ascii="Times New Roman" w:hAnsi="Times New Roman" w:cs="Times New Roman"/>
          <w:sz w:val="28"/>
          <w:szCs w:val="28"/>
        </w:rPr>
      </w:pPr>
      <w:hyperlink r:id="rId43" w:history="1">
        <w:r w:rsidR="00637D4A" w:rsidRPr="00815672">
          <w:rPr>
            <w:rStyle w:val="Hipercze"/>
            <w:rFonts w:ascii="Times New Roman" w:hAnsi="Times New Roman"/>
            <w:sz w:val="28"/>
          </w:rPr>
          <w:t>https://www.coe.int/en/web/conventions/full-list/-/conventions/treaty/182</w:t>
        </w:r>
      </w:hyperlink>
      <w:r w:rsidR="00637D4A" w:rsidRPr="00815672">
        <w:rPr>
          <w:rFonts w:ascii="Times New Roman" w:hAnsi="Times New Roman"/>
          <w:sz w:val="28"/>
        </w:rPr>
        <w:t xml:space="preserve"> </w:t>
      </w:r>
    </w:p>
    <w:p w14:paraId="24D717B0" w14:textId="4C159107" w:rsidR="00876B6E" w:rsidRPr="00815672" w:rsidRDefault="00876B6E" w:rsidP="00C1785B">
      <w:pPr>
        <w:spacing w:line="240" w:lineRule="auto"/>
        <w:jc w:val="both"/>
        <w:rPr>
          <w:rFonts w:ascii="Times New Roman" w:hAnsi="Times New Roman" w:cs="Times New Roman"/>
          <w:sz w:val="28"/>
          <w:szCs w:val="28"/>
        </w:rPr>
      </w:pPr>
      <w:r w:rsidRPr="00815672">
        <w:rPr>
          <w:rFonts w:ascii="Times New Roman" w:hAnsi="Times New Roman"/>
          <w:sz w:val="28"/>
        </w:rPr>
        <w:t xml:space="preserve">Widzimy, że protokół ten obowiązuje zarówno w </w:t>
      </w:r>
      <w:r w:rsidRPr="00815672">
        <w:rPr>
          <w:rFonts w:ascii="Times New Roman" w:hAnsi="Times New Roman"/>
          <w:b/>
          <w:sz w:val="28"/>
        </w:rPr>
        <w:t>Niemczech</w:t>
      </w:r>
      <w:r w:rsidRPr="00815672">
        <w:rPr>
          <w:rFonts w:ascii="Times New Roman" w:hAnsi="Times New Roman"/>
          <w:sz w:val="28"/>
        </w:rPr>
        <w:t xml:space="preserve">, jak i w </w:t>
      </w:r>
      <w:r w:rsidRPr="00815672">
        <w:rPr>
          <w:rFonts w:ascii="Times New Roman" w:hAnsi="Times New Roman"/>
          <w:b/>
          <w:sz w:val="28"/>
        </w:rPr>
        <w:t>Szwajcarii</w:t>
      </w:r>
      <w:r w:rsidRPr="00815672">
        <w:rPr>
          <w:rFonts w:ascii="Times New Roman" w:hAnsi="Times New Roman"/>
          <w:sz w:val="28"/>
        </w:rPr>
        <w:t>, a więc jest on instrumentem prawnym dla wzajemnej pomocy prawnej między tymi dwoma krajami.</w:t>
      </w:r>
    </w:p>
    <w:p w14:paraId="6AB48DCE" w14:textId="458C0AB5" w:rsidR="00876B6E" w:rsidRPr="00815672" w:rsidRDefault="00876B6E" w:rsidP="00876B6E">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009FC4DD" wp14:editId="61B05A7B">
            <wp:extent cx="5734050" cy="6762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676275"/>
                    </a:xfrm>
                    <a:prstGeom prst="rect">
                      <a:avLst/>
                    </a:prstGeom>
                    <a:noFill/>
                    <a:ln>
                      <a:noFill/>
                    </a:ln>
                  </pic:spPr>
                </pic:pic>
              </a:graphicData>
            </a:graphic>
          </wp:inline>
        </w:drawing>
      </w:r>
    </w:p>
    <w:p w14:paraId="2BB113FE" w14:textId="77777777" w:rsidR="00876B6E" w:rsidRPr="00815672" w:rsidRDefault="00876B6E" w:rsidP="00876B6E">
      <w:pPr>
        <w:spacing w:after="0" w:line="240" w:lineRule="auto"/>
        <w:jc w:val="both"/>
        <w:rPr>
          <w:rFonts w:ascii="Times New Roman" w:hAnsi="Times New Roman" w:cs="Times New Roman"/>
          <w:sz w:val="28"/>
          <w:szCs w:val="28"/>
        </w:rPr>
      </w:pPr>
    </w:p>
    <w:p w14:paraId="413B78A1" w14:textId="7269A942" w:rsidR="00876B6E" w:rsidRPr="00815672" w:rsidRDefault="00876B6E" w:rsidP="00876B6E">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0C50064A" wp14:editId="19EB4F62">
            <wp:extent cx="5724525" cy="6477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1CE786F0" w14:textId="0B3A5A5B" w:rsidR="00876B6E" w:rsidRPr="00815672" w:rsidRDefault="00876B6E" w:rsidP="00C1785B">
      <w:pPr>
        <w:spacing w:before="160" w:after="0" w:line="240" w:lineRule="auto"/>
        <w:jc w:val="both"/>
        <w:rPr>
          <w:rFonts w:ascii="Times New Roman" w:hAnsi="Times New Roman" w:cs="Times New Roman"/>
          <w:sz w:val="28"/>
          <w:szCs w:val="28"/>
        </w:rPr>
      </w:pPr>
      <w:r w:rsidRPr="00815672">
        <w:rPr>
          <w:rFonts w:ascii="Times New Roman" w:hAnsi="Times New Roman"/>
          <w:sz w:val="28"/>
        </w:rPr>
        <w:t>Obecnie niemiecki organ sądowy musi zweryfikować deklaracje (D) złożone przez Szwajcarię w odniesieniu do stosowania niektórych przepisów Drugiego protokołu dodatkowego do konwencji z 1959 r. Sprawdzając je zauważamy, że żadne z nich nie dotyczy zastosowania art. 9 Drugiego Protokołu Dodatkowego do Konwencji z 1959 roku.</w:t>
      </w:r>
    </w:p>
    <w:p w14:paraId="79307150" w14:textId="06339B09" w:rsidR="00876B6E" w:rsidRPr="00815672" w:rsidRDefault="00876B6E" w:rsidP="00876B6E">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750DFA9B" wp14:editId="0C7F2ED0">
            <wp:extent cx="5734050" cy="296227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14:paraId="40B1B1B3" w14:textId="77777777" w:rsidR="00876B6E" w:rsidRPr="00815672" w:rsidRDefault="00876B6E" w:rsidP="00876B6E">
      <w:pPr>
        <w:spacing w:after="0" w:line="240" w:lineRule="auto"/>
        <w:jc w:val="both"/>
        <w:rPr>
          <w:rFonts w:ascii="Times New Roman" w:hAnsi="Times New Roman" w:cs="Times New Roman"/>
          <w:sz w:val="28"/>
          <w:szCs w:val="28"/>
        </w:rPr>
      </w:pPr>
    </w:p>
    <w:tbl>
      <w:tblPr>
        <w:tblW w:w="90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76B6E" w:rsidRPr="00815672" w14:paraId="49001154" w14:textId="77777777" w:rsidTr="00876B6E">
        <w:trPr>
          <w:trHeight w:val="1070"/>
        </w:trPr>
        <w:tc>
          <w:tcPr>
            <w:tcW w:w="90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FAF9B7" w14:textId="77777777" w:rsidR="00876B6E" w:rsidRPr="00815672" w:rsidRDefault="00876B6E">
            <w:pPr>
              <w:spacing w:after="0" w:line="240" w:lineRule="auto"/>
              <w:jc w:val="both"/>
              <w:rPr>
                <w:rFonts w:ascii="Times New Roman" w:hAnsi="Times New Roman" w:cs="Times New Roman"/>
                <w:b/>
                <w:bCs/>
                <w:sz w:val="28"/>
                <w:szCs w:val="28"/>
              </w:rPr>
            </w:pPr>
            <w:r w:rsidRPr="00815672">
              <w:rPr>
                <w:rFonts w:ascii="Times New Roman" w:hAnsi="Times New Roman"/>
                <w:b/>
                <w:sz w:val="28"/>
              </w:rPr>
              <w:t>Kluczowe punkty, o których należy pamiętać przy określaniu instrumentu prawnego mającego zastosowanie w procesie współpracy sądowej:</w:t>
            </w:r>
          </w:p>
          <w:p w14:paraId="5E70CE65" w14:textId="77777777" w:rsidR="00876B6E" w:rsidRPr="00815672" w:rsidRDefault="00876B6E">
            <w:pPr>
              <w:spacing w:after="0" w:line="240" w:lineRule="auto"/>
              <w:jc w:val="both"/>
              <w:rPr>
                <w:rFonts w:ascii="Times New Roman" w:hAnsi="Times New Roman" w:cs="Times New Roman"/>
                <w:sz w:val="28"/>
                <w:szCs w:val="28"/>
              </w:rPr>
            </w:pPr>
          </w:p>
          <w:p w14:paraId="4040F034" w14:textId="77B07A0A" w:rsidR="00876B6E" w:rsidRPr="00815672" w:rsidRDefault="00876B6E" w:rsidP="00D43636">
            <w:pPr>
              <w:pStyle w:val="Akapitzlist"/>
              <w:numPr>
                <w:ilvl w:val="0"/>
                <w:numId w:val="16"/>
              </w:numPr>
              <w:spacing w:after="120" w:line="240" w:lineRule="auto"/>
              <w:ind w:left="703" w:hanging="357"/>
              <w:contextualSpacing w:val="0"/>
              <w:jc w:val="both"/>
              <w:rPr>
                <w:rFonts w:ascii="Times New Roman" w:hAnsi="Times New Roman" w:cs="Times New Roman"/>
                <w:sz w:val="28"/>
                <w:szCs w:val="28"/>
              </w:rPr>
            </w:pPr>
            <w:r w:rsidRPr="00815672">
              <w:rPr>
                <w:rFonts w:ascii="Times New Roman" w:hAnsi="Times New Roman"/>
                <w:sz w:val="28"/>
              </w:rPr>
              <w:t xml:space="preserve">Zawsze należy szukać instrumentu prawnego dotyczącego współpracy sądowej w sprawach karnych </w:t>
            </w:r>
            <w:r w:rsidRPr="00815672">
              <w:rPr>
                <w:rFonts w:ascii="Times New Roman" w:hAnsi="Times New Roman"/>
                <w:b/>
                <w:sz w:val="28"/>
              </w:rPr>
              <w:t>obowiązującego</w:t>
            </w:r>
            <w:r w:rsidRPr="00815672">
              <w:rPr>
                <w:rFonts w:ascii="Times New Roman" w:hAnsi="Times New Roman"/>
                <w:sz w:val="28"/>
              </w:rPr>
              <w:t xml:space="preserve"> w obu krajach uczestniczących w procesie zawierania umów o współpracy sądowej w sprawach karnych.</w:t>
            </w:r>
          </w:p>
          <w:p w14:paraId="74864E9D" w14:textId="7F1B090E" w:rsidR="00876B6E" w:rsidRPr="00815672" w:rsidRDefault="00876B6E" w:rsidP="00D43636">
            <w:pPr>
              <w:pStyle w:val="Akapitzlist"/>
              <w:numPr>
                <w:ilvl w:val="0"/>
                <w:numId w:val="16"/>
              </w:numPr>
              <w:spacing w:after="120" w:line="240" w:lineRule="auto"/>
              <w:ind w:left="703" w:hanging="357"/>
              <w:contextualSpacing w:val="0"/>
              <w:jc w:val="both"/>
              <w:rPr>
                <w:rFonts w:ascii="Times New Roman" w:hAnsi="Times New Roman" w:cs="Times New Roman"/>
                <w:sz w:val="28"/>
                <w:szCs w:val="28"/>
              </w:rPr>
            </w:pPr>
            <w:r w:rsidRPr="00815672">
              <w:rPr>
                <w:rFonts w:ascii="Times New Roman" w:hAnsi="Times New Roman"/>
                <w:sz w:val="28"/>
              </w:rPr>
              <w:t xml:space="preserve">Zawsze należy </w:t>
            </w:r>
            <w:r w:rsidRPr="00815672">
              <w:rPr>
                <w:rFonts w:ascii="Times New Roman" w:hAnsi="Times New Roman"/>
                <w:b/>
                <w:sz w:val="28"/>
              </w:rPr>
              <w:t>sprawdzić państwa, które podpisały konwencję (lub protokoły),</w:t>
            </w:r>
            <w:r w:rsidRPr="00815672">
              <w:rPr>
                <w:rFonts w:ascii="Times New Roman" w:hAnsi="Times New Roman"/>
                <w:sz w:val="28"/>
              </w:rPr>
              <w:t xml:space="preserve"> a także </w:t>
            </w:r>
            <w:r w:rsidRPr="00815672">
              <w:rPr>
                <w:rFonts w:ascii="Times New Roman" w:hAnsi="Times New Roman"/>
                <w:b/>
                <w:sz w:val="28"/>
              </w:rPr>
              <w:t>sprawdzić ewentualne zastrzeżenia i deklaracje złożone</w:t>
            </w:r>
            <w:r w:rsidRPr="00815672">
              <w:rPr>
                <w:rFonts w:ascii="Times New Roman" w:hAnsi="Times New Roman"/>
                <w:sz w:val="28"/>
              </w:rPr>
              <w:t xml:space="preserve"> przez państwo rozpatrujące wniosek.</w:t>
            </w:r>
          </w:p>
          <w:p w14:paraId="39296D99" w14:textId="794C2E47" w:rsidR="00876B6E" w:rsidRPr="00815672" w:rsidRDefault="00876B6E" w:rsidP="00D43636">
            <w:pPr>
              <w:pStyle w:val="Akapitzlist"/>
              <w:numPr>
                <w:ilvl w:val="0"/>
                <w:numId w:val="16"/>
              </w:numPr>
              <w:spacing w:after="120" w:line="240" w:lineRule="auto"/>
              <w:ind w:left="703" w:hanging="357"/>
              <w:contextualSpacing w:val="0"/>
              <w:jc w:val="both"/>
              <w:rPr>
                <w:rFonts w:ascii="Times New Roman" w:hAnsi="Times New Roman" w:cs="Times New Roman"/>
                <w:sz w:val="28"/>
                <w:szCs w:val="28"/>
              </w:rPr>
            </w:pPr>
            <w:r w:rsidRPr="00815672">
              <w:rPr>
                <w:rFonts w:ascii="Times New Roman" w:hAnsi="Times New Roman"/>
                <w:b/>
                <w:sz w:val="28"/>
              </w:rPr>
              <w:t>Sprawdzić stan wdrożenia</w:t>
            </w:r>
            <w:r w:rsidRPr="00815672">
              <w:rPr>
                <w:rFonts w:ascii="Times New Roman" w:hAnsi="Times New Roman"/>
                <w:sz w:val="28"/>
              </w:rPr>
              <w:t xml:space="preserve"> decyzji ramowych Rady lub dyrektyw dla państw członkowskich Unii Europejskiej</w:t>
            </w:r>
            <w:r w:rsidRPr="00815672">
              <w:rPr>
                <w:rFonts w:ascii="Times New Roman" w:hAnsi="Times New Roman"/>
                <w:sz w:val="28"/>
                <w:u w:val="single"/>
              </w:rPr>
              <w:t xml:space="preserve"> (zob. strona internetowa EJN</w:t>
            </w:r>
            <w:r w:rsidRPr="00815672">
              <w:rPr>
                <w:rFonts w:ascii="Times New Roman" w:hAnsi="Times New Roman"/>
                <w:sz w:val="28"/>
              </w:rPr>
              <w:t>).</w:t>
            </w:r>
          </w:p>
          <w:p w14:paraId="0DB7A2AA" w14:textId="104986E7" w:rsidR="00876B6E" w:rsidRPr="00815672" w:rsidRDefault="00876B6E" w:rsidP="00D43636">
            <w:pPr>
              <w:pStyle w:val="Akapitzlist"/>
              <w:numPr>
                <w:ilvl w:val="0"/>
                <w:numId w:val="16"/>
              </w:numPr>
              <w:spacing w:after="120" w:line="240" w:lineRule="auto"/>
              <w:ind w:left="703" w:hanging="357"/>
              <w:contextualSpacing w:val="0"/>
              <w:jc w:val="both"/>
              <w:rPr>
                <w:rFonts w:ascii="Times New Roman" w:hAnsi="Times New Roman" w:cs="Times New Roman"/>
                <w:sz w:val="28"/>
                <w:szCs w:val="28"/>
              </w:rPr>
            </w:pPr>
            <w:r w:rsidRPr="00815672">
              <w:rPr>
                <w:rFonts w:ascii="Times New Roman" w:hAnsi="Times New Roman"/>
                <w:sz w:val="28"/>
              </w:rPr>
              <w:t xml:space="preserve">Organ wydający nakaz </w:t>
            </w:r>
            <w:r w:rsidRPr="00815672">
              <w:rPr>
                <w:rFonts w:ascii="Times New Roman" w:hAnsi="Times New Roman"/>
                <w:b/>
                <w:sz w:val="28"/>
              </w:rPr>
              <w:t>nie będzie stosował instrumentu prawnego zastąpionego innym</w:t>
            </w:r>
            <w:r w:rsidRPr="00815672">
              <w:rPr>
                <w:rFonts w:ascii="Times New Roman" w:hAnsi="Times New Roman"/>
                <w:sz w:val="28"/>
              </w:rPr>
              <w:t xml:space="preserve"> tylko dlatego, że uważa, iż poprzedni działał szybciej lub proces współpracy przebiegał sprawniej. Przykładowo, </w:t>
            </w:r>
            <w:r w:rsidRPr="00815672">
              <w:rPr>
                <w:rFonts w:ascii="Times New Roman" w:hAnsi="Times New Roman"/>
                <w:sz w:val="28"/>
              </w:rPr>
              <w:lastRenderedPageBreak/>
              <w:t xml:space="preserve">organ wydający nakaz nie może skorzystać z Konwencji z dnia 29 maja 2000 r. o pomocy prawnej w sprawach karnych pomiędzy państwami członkowskimi UE zamiast z dyrektywy 2014/41/UE z dnia 3 kwietnia 2014 r. w sprawie europejskiego nakazu dochodzeniowego, </w:t>
            </w:r>
            <w:r w:rsidRPr="00815672">
              <w:rPr>
                <w:rFonts w:ascii="Times New Roman" w:hAnsi="Times New Roman"/>
                <w:b/>
                <w:sz w:val="28"/>
              </w:rPr>
              <w:t>w celu zgromadzenia dowodów</w:t>
            </w:r>
            <w:r w:rsidRPr="00815672">
              <w:rPr>
                <w:rFonts w:ascii="Times New Roman" w:hAnsi="Times New Roman"/>
                <w:sz w:val="28"/>
              </w:rPr>
              <w:t xml:space="preserve"> w konkretnej sytuacji ujętej w dyrektywie i w konwencji z 2000 r. (np. przesłuchanie świadka w formie wideokonferencji). </w:t>
            </w:r>
          </w:p>
          <w:p w14:paraId="588FB8C9" w14:textId="6C8A9ECD" w:rsidR="00876B6E" w:rsidRPr="00815672" w:rsidRDefault="00876B6E" w:rsidP="00D43636">
            <w:pPr>
              <w:pStyle w:val="Akapitzlist"/>
              <w:numPr>
                <w:ilvl w:val="0"/>
                <w:numId w:val="16"/>
              </w:numPr>
              <w:spacing w:after="120" w:line="240" w:lineRule="auto"/>
              <w:ind w:left="703" w:hanging="357"/>
              <w:contextualSpacing w:val="0"/>
              <w:jc w:val="both"/>
              <w:rPr>
                <w:rFonts w:ascii="Times New Roman" w:hAnsi="Times New Roman" w:cs="Times New Roman"/>
                <w:sz w:val="28"/>
                <w:szCs w:val="28"/>
              </w:rPr>
            </w:pPr>
            <w:r w:rsidRPr="00815672">
              <w:rPr>
                <w:rFonts w:ascii="Times New Roman" w:hAnsi="Times New Roman"/>
                <w:sz w:val="28"/>
              </w:rPr>
              <w:t xml:space="preserve">W tym przypadku, zgodnie z art. 34 ust. 1 dyrektywy, dyrektywa jest instrumentem prawnym mającym zastosowanie, ponieważ </w:t>
            </w:r>
            <w:r w:rsidRPr="00815672">
              <w:rPr>
                <w:rFonts w:ascii="Times New Roman" w:hAnsi="Times New Roman"/>
                <w:b/>
                <w:sz w:val="28"/>
              </w:rPr>
              <w:t>zastępuje od dnia 22 maja 2017</w:t>
            </w:r>
            <w:r w:rsidRPr="00815672">
              <w:rPr>
                <w:rFonts w:ascii="Times New Roman" w:hAnsi="Times New Roman"/>
                <w:sz w:val="28"/>
              </w:rPr>
              <w:t xml:space="preserve">r. </w:t>
            </w:r>
            <w:r w:rsidRPr="00815672">
              <w:rPr>
                <w:rFonts w:ascii="Times New Roman" w:hAnsi="Times New Roman"/>
                <w:b/>
                <w:sz w:val="28"/>
              </w:rPr>
              <w:t>odpowiednie przepisy konwencji z 2000</w:t>
            </w:r>
            <w:r w:rsidRPr="00815672">
              <w:rPr>
                <w:rFonts w:ascii="Times New Roman" w:hAnsi="Times New Roman"/>
                <w:sz w:val="28"/>
              </w:rPr>
              <w:t xml:space="preserve"> r. w celu gromadzenia dowodów (tak więc w naszym wyżej wymienionym przykładzie art. 10 konwencji z 2000 r. został zastąpiony art. 24 dyrektywy 2014/41 w sprawie europejskiego nakazu dochodzeniowego). Konwencja z 2000 r. nie może być postrzegana jako wielostronna umowa lub porozumienie, o których mowa w art. 34 ust. 3 dyrektywy, ponieważ celem dyrektywy było zastąpienie jej prostszym i skuteczniejszym systemem</w:t>
            </w:r>
            <w:r w:rsidRPr="00815672">
              <w:rPr>
                <w:rFonts w:ascii="Times New Roman" w:hAnsi="Times New Roman"/>
                <w:b/>
                <w:sz w:val="28"/>
              </w:rPr>
              <w:t xml:space="preserve">(zob. sprawa C-296/08 – Goicoechea – ust. 54 i 55 mające zastosowanie </w:t>
            </w:r>
            <w:r w:rsidRPr="00815672">
              <w:rPr>
                <w:rFonts w:ascii="Times New Roman" w:hAnsi="Times New Roman"/>
                <w:b/>
                <w:i/>
                <w:sz w:val="28"/>
              </w:rPr>
              <w:t>mutatis mutandis</w:t>
            </w:r>
            <w:r w:rsidRPr="00815672">
              <w:rPr>
                <w:rFonts w:ascii="Times New Roman" w:hAnsi="Times New Roman"/>
                <w:sz w:val="28"/>
              </w:rPr>
              <w:t>.</w:t>
            </w:r>
          </w:p>
          <w:p w14:paraId="49B05268" w14:textId="01BE8969" w:rsidR="00876B6E" w:rsidRPr="00815672" w:rsidRDefault="00876B6E" w:rsidP="00D43636">
            <w:pPr>
              <w:pStyle w:val="Akapitzlist"/>
              <w:numPr>
                <w:ilvl w:val="0"/>
                <w:numId w:val="16"/>
              </w:numPr>
              <w:spacing w:after="120" w:line="240" w:lineRule="auto"/>
              <w:ind w:left="703" w:hanging="357"/>
              <w:contextualSpacing w:val="0"/>
              <w:jc w:val="both"/>
              <w:rPr>
                <w:rFonts w:ascii="Times New Roman" w:hAnsi="Times New Roman" w:cs="Times New Roman"/>
                <w:sz w:val="28"/>
                <w:szCs w:val="28"/>
              </w:rPr>
            </w:pPr>
            <w:r w:rsidRPr="00815672">
              <w:rPr>
                <w:rFonts w:ascii="Times New Roman" w:hAnsi="Times New Roman"/>
                <w:sz w:val="28"/>
              </w:rPr>
              <w:t xml:space="preserve">Dania i Irlandia </w:t>
            </w:r>
            <w:r w:rsidRPr="00815672">
              <w:rPr>
                <w:rFonts w:ascii="Times New Roman" w:hAnsi="Times New Roman"/>
                <w:b/>
                <w:sz w:val="28"/>
              </w:rPr>
              <w:t>nie</w:t>
            </w:r>
            <w:r w:rsidRPr="00815672">
              <w:rPr>
                <w:rFonts w:ascii="Times New Roman" w:hAnsi="Times New Roman"/>
                <w:sz w:val="28"/>
              </w:rPr>
              <w:t xml:space="preserve"> są </w:t>
            </w:r>
            <w:r w:rsidRPr="00815672">
              <w:rPr>
                <w:rFonts w:ascii="Times New Roman" w:hAnsi="Times New Roman"/>
                <w:b/>
                <w:sz w:val="28"/>
              </w:rPr>
              <w:t>związane</w:t>
            </w:r>
            <w:r w:rsidRPr="00815672">
              <w:rPr>
                <w:rFonts w:ascii="Times New Roman" w:hAnsi="Times New Roman"/>
                <w:sz w:val="28"/>
              </w:rPr>
              <w:t xml:space="preserve"> dyrektywą 2014/41 w sprawie europejskiego nakazu dochodzeniowego.</w:t>
            </w:r>
          </w:p>
          <w:p w14:paraId="32963F1D" w14:textId="12E12716" w:rsidR="00876B6E" w:rsidRPr="00815672" w:rsidRDefault="00876B6E" w:rsidP="00D43636">
            <w:pPr>
              <w:pStyle w:val="Akapitzlist"/>
              <w:numPr>
                <w:ilvl w:val="0"/>
                <w:numId w:val="16"/>
              </w:numPr>
              <w:spacing w:after="120" w:line="240" w:lineRule="auto"/>
              <w:ind w:left="703" w:hanging="357"/>
              <w:contextualSpacing w:val="0"/>
              <w:jc w:val="both"/>
              <w:rPr>
                <w:rFonts w:ascii="Times New Roman" w:hAnsi="Times New Roman" w:cs="Times New Roman"/>
                <w:sz w:val="28"/>
                <w:szCs w:val="28"/>
              </w:rPr>
            </w:pPr>
            <w:r w:rsidRPr="00815672">
              <w:rPr>
                <w:rFonts w:ascii="Times New Roman" w:hAnsi="Times New Roman"/>
                <w:sz w:val="28"/>
              </w:rPr>
              <w:t xml:space="preserve">Konwencja z 2000 r. </w:t>
            </w:r>
            <w:r w:rsidRPr="00815672">
              <w:rPr>
                <w:rFonts w:ascii="Times New Roman" w:hAnsi="Times New Roman"/>
                <w:b/>
                <w:sz w:val="28"/>
              </w:rPr>
              <w:t>nie weszła w życie</w:t>
            </w:r>
            <w:r w:rsidRPr="00815672">
              <w:rPr>
                <w:rFonts w:ascii="Times New Roman" w:hAnsi="Times New Roman"/>
                <w:sz w:val="28"/>
              </w:rPr>
              <w:t xml:space="preserve"> w Grecji i Chorwacji.</w:t>
            </w:r>
          </w:p>
        </w:tc>
      </w:tr>
    </w:tbl>
    <w:p w14:paraId="44B435E9" w14:textId="06AD777B" w:rsidR="00C151FE" w:rsidRPr="00815672" w:rsidRDefault="00C151FE" w:rsidP="0074607F">
      <w:pPr>
        <w:rPr>
          <w:rFonts w:ascii="Times New Roman" w:hAnsi="Times New Roman" w:cs="Times New Roman"/>
          <w:b/>
          <w:bCs/>
          <w:sz w:val="28"/>
          <w:szCs w:val="28"/>
        </w:rPr>
      </w:pPr>
    </w:p>
    <w:p w14:paraId="7B9E659F" w14:textId="2D05B95C" w:rsidR="003D6286" w:rsidRPr="00815672" w:rsidRDefault="00C151FE" w:rsidP="0074607F">
      <w:pPr>
        <w:rPr>
          <w:rFonts w:ascii="Times New Roman" w:hAnsi="Times New Roman" w:cs="Times New Roman"/>
          <w:b/>
          <w:bCs/>
          <w:sz w:val="28"/>
          <w:szCs w:val="28"/>
        </w:rPr>
      </w:pPr>
      <w:r w:rsidRPr="00815672">
        <w:br w:type="page"/>
      </w:r>
    </w:p>
    <w:p w14:paraId="527A8093" w14:textId="5D9C91C9" w:rsidR="006C0B14" w:rsidRPr="00815672" w:rsidRDefault="006C0B14" w:rsidP="0074607F">
      <w:pPr>
        <w:jc w:val="both"/>
        <w:rPr>
          <w:rFonts w:ascii="Times New Roman" w:hAnsi="Times New Roman" w:cs="Times New Roman"/>
          <w:b/>
          <w:bCs/>
          <w:color w:val="2F5496" w:themeColor="accent1" w:themeShade="BF"/>
          <w:sz w:val="28"/>
          <w:szCs w:val="28"/>
        </w:rPr>
      </w:pPr>
      <w:r w:rsidRPr="00815672">
        <w:rPr>
          <w:rFonts w:ascii="Times New Roman" w:hAnsi="Times New Roman"/>
          <w:b/>
          <w:color w:val="2F5496" w:themeColor="accent1" w:themeShade="BF"/>
          <w:sz w:val="28"/>
        </w:rPr>
        <w:lastRenderedPageBreak/>
        <w:t>A. II.</w:t>
      </w:r>
      <w:r w:rsidRPr="00815672">
        <w:rPr>
          <w:rFonts w:ascii="Times New Roman" w:hAnsi="Times New Roman"/>
          <w:color w:val="2F5496" w:themeColor="accent1" w:themeShade="BF"/>
          <w:sz w:val="28"/>
        </w:rPr>
        <w:t xml:space="preserve"> </w:t>
      </w:r>
      <w:r w:rsidRPr="00815672">
        <w:rPr>
          <w:rFonts w:ascii="Times New Roman" w:hAnsi="Times New Roman"/>
          <w:b/>
          <w:color w:val="2F5496" w:themeColor="accent1" w:themeShade="BF"/>
          <w:sz w:val="28"/>
        </w:rPr>
        <w:t>Scenariusz przypadku:</w:t>
      </w:r>
    </w:p>
    <w:p w14:paraId="76A8B764" w14:textId="3DCDAAE4" w:rsidR="00C151FE" w:rsidRPr="00815672" w:rsidRDefault="00E73811" w:rsidP="00C151FE">
      <w:pPr>
        <w:jc w:val="both"/>
        <w:rPr>
          <w:rFonts w:ascii="Times New Roman" w:hAnsi="Times New Roman" w:cs="Times New Roman"/>
          <w:b/>
          <w:bCs/>
          <w:color w:val="2F5496" w:themeColor="accent1" w:themeShade="BF"/>
          <w:sz w:val="28"/>
          <w:szCs w:val="28"/>
        </w:rPr>
      </w:pPr>
      <w:r w:rsidRPr="00815672">
        <w:rPr>
          <w:rFonts w:ascii="Times New Roman" w:hAnsi="Times New Roman"/>
          <w:b/>
          <w:color w:val="2F5496" w:themeColor="accent1" w:themeShade="BF"/>
          <w:sz w:val="28"/>
        </w:rPr>
        <w:t>Rozwiązania:</w:t>
      </w:r>
    </w:p>
    <w:p w14:paraId="5B9A4CEE" w14:textId="5E1B9F17" w:rsidR="00C151FE" w:rsidRPr="00815672" w:rsidRDefault="00C151FE" w:rsidP="00C151FE">
      <w:pPr>
        <w:jc w:val="both"/>
        <w:rPr>
          <w:rFonts w:ascii="Times New Roman" w:hAnsi="Times New Roman" w:cs="Times New Roman"/>
          <w:i/>
          <w:color w:val="2F5496" w:themeColor="accent1" w:themeShade="BF"/>
          <w:sz w:val="28"/>
          <w:szCs w:val="28"/>
        </w:rPr>
      </w:pPr>
      <w:r w:rsidRPr="00815672">
        <w:rPr>
          <w:rFonts w:ascii="Times New Roman" w:hAnsi="Times New Roman"/>
          <w:b/>
          <w:i/>
          <w:color w:val="2F5496" w:themeColor="accent1" w:themeShade="BF"/>
          <w:sz w:val="28"/>
        </w:rPr>
        <w:t>P1.</w:t>
      </w:r>
      <w:r w:rsidRPr="00815672">
        <w:rPr>
          <w:rFonts w:ascii="Times New Roman" w:hAnsi="Times New Roman"/>
          <w:i/>
          <w:color w:val="2F5496" w:themeColor="accent1" w:themeShade="BF"/>
          <w:sz w:val="28"/>
        </w:rPr>
        <w:t xml:space="preserve"> Jaki instrument prawny należy zastosować, aby przesłuchać świadka A.B. w formie wideokonferencji? Jeżeli przesłuchanie świadka w formie wideokonferencji nie jest możliwe, czy świadek może zostać przesłuchany w formie telekonferencji?</w:t>
      </w:r>
    </w:p>
    <w:p w14:paraId="4C1F0E3B" w14:textId="419065B3" w:rsidR="00243470" w:rsidRPr="00815672" w:rsidRDefault="00243470" w:rsidP="00C151FE">
      <w:pPr>
        <w:spacing w:line="240" w:lineRule="auto"/>
        <w:jc w:val="both"/>
        <w:rPr>
          <w:rFonts w:ascii="Times New Roman" w:hAnsi="Times New Roman" w:cs="Times New Roman"/>
          <w:sz w:val="28"/>
          <w:szCs w:val="28"/>
        </w:rPr>
      </w:pPr>
      <w:r w:rsidRPr="00815672">
        <w:rPr>
          <w:rFonts w:ascii="Times New Roman" w:hAnsi="Times New Roman"/>
          <w:sz w:val="28"/>
        </w:rPr>
        <w:t xml:space="preserve">Jak wyjaśniono w sprawie wprowadzającej, widzimy, że </w:t>
      </w:r>
      <w:r w:rsidRPr="00815672">
        <w:rPr>
          <w:rFonts w:ascii="Times New Roman" w:hAnsi="Times New Roman"/>
          <w:b/>
          <w:sz w:val="28"/>
        </w:rPr>
        <w:t>Rumunia</w:t>
      </w:r>
      <w:r w:rsidRPr="00815672">
        <w:rPr>
          <w:rFonts w:ascii="Times New Roman" w:hAnsi="Times New Roman"/>
          <w:sz w:val="28"/>
        </w:rPr>
        <w:t xml:space="preserve"> dokonała transpozycji dyrektywy w sprawie europejskiego nakazu dochodzeniowego, a </w:t>
      </w:r>
      <w:r w:rsidRPr="00815672">
        <w:rPr>
          <w:rFonts w:ascii="Times New Roman" w:hAnsi="Times New Roman"/>
          <w:b/>
          <w:sz w:val="28"/>
        </w:rPr>
        <w:t>Dania</w:t>
      </w:r>
      <w:r w:rsidRPr="00815672">
        <w:rPr>
          <w:rFonts w:ascii="Times New Roman" w:hAnsi="Times New Roman"/>
          <w:sz w:val="28"/>
        </w:rPr>
        <w:t xml:space="preserve"> nie uczestniczy w tym akcie prawnym i nie jest nim związana zgodnie z motywem 45 tej dyrektywy. </w:t>
      </w:r>
    </w:p>
    <w:p w14:paraId="10C261E6" w14:textId="728BC4A9" w:rsidR="00243470" w:rsidRPr="00815672" w:rsidRDefault="00243470" w:rsidP="00C151FE">
      <w:pPr>
        <w:spacing w:line="240" w:lineRule="auto"/>
        <w:jc w:val="both"/>
        <w:rPr>
          <w:rFonts w:ascii="Times New Roman" w:hAnsi="Times New Roman" w:cs="Times New Roman"/>
          <w:sz w:val="28"/>
          <w:szCs w:val="28"/>
        </w:rPr>
      </w:pPr>
      <w:r w:rsidRPr="00815672">
        <w:rPr>
          <w:rFonts w:ascii="Times New Roman" w:hAnsi="Times New Roman"/>
          <w:sz w:val="28"/>
        </w:rPr>
        <w:t xml:space="preserve">Oznacza to, że </w:t>
      </w:r>
      <w:hyperlink r:id="rId47" w:history="1">
        <w:r w:rsidRPr="00815672">
          <w:rPr>
            <w:rStyle w:val="Hipercze"/>
            <w:rFonts w:ascii="Times New Roman" w:hAnsi="Times New Roman"/>
            <w:color w:val="auto"/>
            <w:sz w:val="28"/>
            <w:u w:val="none"/>
          </w:rPr>
          <w:t>Konwencja z dnia 29 maja 2000 r. o wzajemnej pomocy w sprawach karnych pomiędzy państwami członkowskimi UE</w:t>
        </w:r>
      </w:hyperlink>
      <w:r w:rsidRPr="00815672">
        <w:rPr>
          <w:rFonts w:ascii="Times New Roman" w:hAnsi="Times New Roman"/>
          <w:b/>
          <w:sz w:val="28"/>
        </w:rPr>
        <w:t xml:space="preserve"> </w:t>
      </w:r>
      <w:r w:rsidRPr="00815672">
        <w:rPr>
          <w:rFonts w:ascii="Times New Roman" w:hAnsi="Times New Roman"/>
          <w:sz w:val="28"/>
        </w:rPr>
        <w:t xml:space="preserve">ma zastosowanie, ponieważ obowiązuje ona w obu państwach członkowskich. </w:t>
      </w:r>
    </w:p>
    <w:p w14:paraId="56F62272" w14:textId="1BE904B6" w:rsidR="00E124AF" w:rsidRPr="00815672" w:rsidRDefault="0043615E" w:rsidP="00E10620">
      <w:pPr>
        <w:spacing w:line="240" w:lineRule="auto"/>
        <w:jc w:val="both"/>
        <w:rPr>
          <w:rFonts w:ascii="Times New Roman" w:hAnsi="Times New Roman" w:cs="Times New Roman"/>
          <w:sz w:val="28"/>
          <w:szCs w:val="28"/>
        </w:rPr>
      </w:pPr>
      <w:r w:rsidRPr="00815672">
        <w:rPr>
          <w:rFonts w:ascii="Times New Roman" w:hAnsi="Times New Roman"/>
          <w:sz w:val="28"/>
        </w:rPr>
        <w:t xml:space="preserve">Wymogi dotyczące </w:t>
      </w:r>
      <w:r w:rsidRPr="00815672">
        <w:rPr>
          <w:rFonts w:ascii="Times New Roman" w:hAnsi="Times New Roman"/>
          <w:b/>
          <w:sz w:val="28"/>
        </w:rPr>
        <w:t>przesłuchania</w:t>
      </w:r>
      <w:r w:rsidRPr="00815672">
        <w:rPr>
          <w:rFonts w:ascii="Times New Roman" w:hAnsi="Times New Roman"/>
          <w:sz w:val="28"/>
        </w:rPr>
        <w:t xml:space="preserve"> świadka w </w:t>
      </w:r>
      <w:r w:rsidRPr="00815672">
        <w:rPr>
          <w:rFonts w:ascii="Times New Roman" w:hAnsi="Times New Roman"/>
          <w:b/>
          <w:sz w:val="28"/>
        </w:rPr>
        <w:t>formie wideokonferencji</w:t>
      </w:r>
      <w:r w:rsidRPr="00815672">
        <w:rPr>
          <w:rFonts w:ascii="Times New Roman" w:hAnsi="Times New Roman"/>
          <w:sz w:val="28"/>
        </w:rPr>
        <w:t xml:space="preserve"> są określone w </w:t>
      </w:r>
      <w:r w:rsidRPr="00815672">
        <w:rPr>
          <w:rFonts w:ascii="Times New Roman" w:hAnsi="Times New Roman"/>
          <w:sz w:val="28"/>
          <w:u w:val="single"/>
        </w:rPr>
        <w:t>art. 10 ust. 1-8 Konwencji z 2000</w:t>
      </w:r>
      <w:r w:rsidRPr="00815672">
        <w:rPr>
          <w:rFonts w:ascii="Times New Roman" w:hAnsi="Times New Roman"/>
          <w:sz w:val="28"/>
        </w:rPr>
        <w:t xml:space="preserve"> r. i o ile Dania </w:t>
      </w:r>
      <w:r w:rsidRPr="00815672">
        <w:rPr>
          <w:rFonts w:ascii="Times New Roman" w:hAnsi="Times New Roman"/>
          <w:b/>
          <w:sz w:val="28"/>
        </w:rPr>
        <w:t>nie złożyła żadnych deklaracji dotyczących przesłuchania świadków w formie wideokonferencji (zobacz deklaracje poszczególnych państw w linku poniżej)</w:t>
      </w:r>
      <w:r w:rsidRPr="00815672">
        <w:rPr>
          <w:rFonts w:ascii="Times New Roman" w:hAnsi="Times New Roman"/>
          <w:sz w:val="28"/>
        </w:rPr>
        <w:t>.</w:t>
      </w: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815672" w14:paraId="0FB505C6" w14:textId="77777777" w:rsidTr="00C151FE">
        <w:trPr>
          <w:trHeight w:val="1732"/>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945BD6" w14:textId="1D285095" w:rsidR="00E124AF" w:rsidRPr="00815672" w:rsidRDefault="00E124AF">
            <w:pPr>
              <w:spacing w:after="0" w:line="240" w:lineRule="auto"/>
              <w:ind w:left="48"/>
              <w:jc w:val="both"/>
              <w:rPr>
                <w:rFonts w:ascii="Times New Roman" w:hAnsi="Times New Roman" w:cs="Times New Roman"/>
                <w:sz w:val="28"/>
                <w:szCs w:val="28"/>
              </w:rPr>
            </w:pPr>
            <w:r w:rsidRPr="00815672">
              <w:rPr>
                <w:rFonts w:ascii="Times New Roman" w:hAnsi="Times New Roman"/>
                <w:sz w:val="28"/>
              </w:rPr>
              <w:t xml:space="preserve">Deklaracje złożone przez każde państwo członkowskie w odniesieniu do niektórych postanowień konwencji z 2000 r </w:t>
            </w:r>
            <w:hyperlink r:id="rId48" w:history="1">
              <w:r w:rsidRPr="00815672">
                <w:rPr>
                  <w:rStyle w:val="Hipercze"/>
                  <w:rFonts w:ascii="Times New Roman" w:hAnsi="Times New Roman"/>
                  <w:sz w:val="28"/>
                </w:rPr>
                <w:t>można znaleźć na stronie internetowej EJN</w:t>
              </w:r>
            </w:hyperlink>
            <w:r w:rsidRPr="00815672">
              <w:rPr>
                <w:rFonts w:ascii="Times New Roman" w:hAnsi="Times New Roman"/>
                <w:sz w:val="28"/>
              </w:rPr>
              <w:t>.</w:t>
            </w:r>
          </w:p>
          <w:p w14:paraId="580CA2CB" w14:textId="77777777" w:rsidR="00E124AF" w:rsidRPr="00815672" w:rsidRDefault="00E124AF">
            <w:pPr>
              <w:spacing w:after="0" w:line="240" w:lineRule="auto"/>
              <w:ind w:left="48"/>
              <w:jc w:val="both"/>
              <w:rPr>
                <w:rFonts w:ascii="Times New Roman" w:hAnsi="Times New Roman" w:cs="Times New Roman"/>
                <w:sz w:val="28"/>
                <w:szCs w:val="28"/>
              </w:rPr>
            </w:pPr>
          </w:p>
          <w:p w14:paraId="59AE530D" w14:textId="3DB51CAE" w:rsidR="00E124AF" w:rsidRPr="00815672" w:rsidRDefault="00E124AF" w:rsidP="00C151FE">
            <w:pPr>
              <w:spacing w:after="0" w:line="240" w:lineRule="auto"/>
              <w:ind w:left="48"/>
              <w:jc w:val="both"/>
              <w:rPr>
                <w:rFonts w:ascii="Times New Roman" w:hAnsi="Times New Roman" w:cs="Times New Roman"/>
                <w:sz w:val="28"/>
                <w:szCs w:val="28"/>
              </w:rPr>
            </w:pPr>
            <w:r w:rsidRPr="00815672">
              <w:rPr>
                <w:rFonts w:ascii="Times New Roman" w:hAnsi="Times New Roman"/>
                <w:sz w:val="28"/>
              </w:rPr>
              <w:t xml:space="preserve">Oświadczenia złożone przez Danię w odniesieniu do postanowień Konwencji z 2000 r. </w:t>
            </w:r>
            <w:hyperlink r:id="rId49" w:history="1">
              <w:r w:rsidRPr="00815672">
                <w:rPr>
                  <w:rStyle w:val="Hipercze"/>
                  <w:rFonts w:ascii="Times New Roman" w:hAnsi="Times New Roman"/>
                  <w:sz w:val="28"/>
                </w:rPr>
                <w:t>są dostępne tutaj</w:t>
              </w:r>
            </w:hyperlink>
            <w:r w:rsidRPr="00815672">
              <w:rPr>
                <w:rFonts w:ascii="Times New Roman" w:hAnsi="Times New Roman"/>
                <w:sz w:val="28"/>
              </w:rPr>
              <w:t>.</w:t>
            </w:r>
          </w:p>
        </w:tc>
      </w:tr>
    </w:tbl>
    <w:p w14:paraId="20D0A2AD" w14:textId="77777777" w:rsidR="00E124AF" w:rsidRPr="00815672" w:rsidRDefault="00E124AF" w:rsidP="0074607F">
      <w:pPr>
        <w:spacing w:line="240" w:lineRule="auto"/>
        <w:jc w:val="both"/>
        <w:rPr>
          <w:rFonts w:ascii="Times New Roman" w:hAnsi="Times New Roman" w:cs="Times New Roman"/>
          <w:sz w:val="28"/>
          <w:szCs w:val="28"/>
        </w:rPr>
      </w:pPr>
    </w:p>
    <w:p w14:paraId="0B516959" w14:textId="556689B1" w:rsidR="00E124AF" w:rsidRPr="00815672" w:rsidRDefault="00165112"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Jeżeli z różnych powodów nie jest możliwe przesłuchanie świadka w formie wideokonferencji, </w:t>
      </w:r>
      <w:r w:rsidRPr="00815672">
        <w:rPr>
          <w:rFonts w:ascii="Times New Roman" w:hAnsi="Times New Roman"/>
          <w:b/>
          <w:sz w:val="28"/>
        </w:rPr>
        <w:t xml:space="preserve">przesłuchanie </w:t>
      </w:r>
      <w:r w:rsidRPr="00815672">
        <w:rPr>
          <w:rFonts w:ascii="Times New Roman" w:hAnsi="Times New Roman"/>
          <w:sz w:val="28"/>
        </w:rPr>
        <w:t>może zostać przeprowadzone w formie</w:t>
      </w:r>
      <w:r w:rsidRPr="00815672">
        <w:rPr>
          <w:rFonts w:ascii="Times New Roman" w:hAnsi="Times New Roman"/>
          <w:b/>
          <w:sz w:val="28"/>
        </w:rPr>
        <w:t xml:space="preserve"> telekonferencji </w:t>
      </w:r>
      <w:r w:rsidRPr="00815672">
        <w:rPr>
          <w:rFonts w:ascii="Times New Roman" w:hAnsi="Times New Roman"/>
          <w:sz w:val="28"/>
        </w:rPr>
        <w:t xml:space="preserve">zgodnie z wymogami </w:t>
      </w:r>
      <w:r w:rsidRPr="00815672">
        <w:rPr>
          <w:rFonts w:ascii="Times New Roman" w:hAnsi="Times New Roman"/>
          <w:sz w:val="28"/>
          <w:u w:val="single"/>
        </w:rPr>
        <w:t xml:space="preserve">art. 11 Konwencji z 2000 </w:t>
      </w:r>
      <w:r w:rsidRPr="00815672">
        <w:rPr>
          <w:rFonts w:ascii="Times New Roman" w:hAnsi="Times New Roman"/>
          <w:sz w:val="28"/>
        </w:rPr>
        <w:t>r.</w:t>
      </w:r>
    </w:p>
    <w:p w14:paraId="3050320E" w14:textId="77777777" w:rsidR="00E124AF" w:rsidRPr="00815672" w:rsidRDefault="00DA6C52" w:rsidP="0013415C">
      <w:pPr>
        <w:pStyle w:val="Akapitzlist"/>
        <w:numPr>
          <w:ilvl w:val="0"/>
          <w:numId w:val="18"/>
        </w:numPr>
        <w:spacing w:after="0" w:line="240" w:lineRule="auto"/>
        <w:jc w:val="both"/>
        <w:rPr>
          <w:rStyle w:val="Hipercze"/>
          <w:rFonts w:ascii="Times New Roman" w:hAnsi="Times New Roman" w:cs="Times New Roman"/>
          <w:bCs/>
          <w:i/>
          <w:color w:val="auto"/>
          <w:sz w:val="28"/>
          <w:szCs w:val="28"/>
          <w:u w:val="none"/>
        </w:rPr>
      </w:pPr>
      <w:r w:rsidRPr="00815672">
        <w:rPr>
          <w:rFonts w:ascii="Times New Roman" w:hAnsi="Times New Roman"/>
          <w:i/>
          <w:sz w:val="28"/>
        </w:rPr>
        <w:t xml:space="preserve">Jeżeli właściwy organ wnioskujący pochodzi z </w:t>
      </w:r>
      <w:r w:rsidRPr="00815672">
        <w:rPr>
          <w:rFonts w:ascii="Times New Roman" w:hAnsi="Times New Roman"/>
          <w:i/>
          <w:sz w:val="28"/>
          <w:u w:val="single"/>
        </w:rPr>
        <w:t>Chorwacji</w:t>
      </w:r>
      <w:r w:rsidRPr="00815672">
        <w:rPr>
          <w:rFonts w:ascii="Times New Roman" w:hAnsi="Times New Roman"/>
          <w:i/>
          <w:sz w:val="28"/>
        </w:rPr>
        <w:t xml:space="preserve">, wówczas </w:t>
      </w:r>
      <w:r w:rsidRPr="00815672">
        <w:rPr>
          <w:rFonts w:ascii="Times New Roman" w:hAnsi="Times New Roman"/>
          <w:i/>
          <w:sz w:val="28"/>
          <w:u w:val="single"/>
        </w:rPr>
        <w:t>art. 9 ust. 1-7 Drugiego protokołu dodatkowego do Europejskiej konwencji o pomocy prawnej w sprawach karnych z 1959 r. (Strasburg, 8 listopada 2001 r.)</w:t>
      </w:r>
      <w:r w:rsidRPr="00815672">
        <w:rPr>
          <w:rFonts w:ascii="Times New Roman" w:hAnsi="Times New Roman"/>
          <w:i/>
          <w:sz w:val="28"/>
        </w:rPr>
        <w:t xml:space="preserve"> będzie miał zastosowanie do przesłuchania świadka w formie wideokonferencji lub telekonferencji, ponieważ Chorwacja nie podpisała Konwencji z dnia 29 maja 2000 r. o pomocy prawnej w sprawach karnych pomiędzy państwami członkowskimi UE </w:t>
      </w:r>
      <w:hyperlink r:id="rId50" w:history="1">
        <w:r w:rsidRPr="00815672">
          <w:rPr>
            <w:rStyle w:val="Hipercze"/>
            <w:rFonts w:ascii="Times New Roman" w:hAnsi="Times New Roman"/>
            <w:i/>
            <w:color w:val="auto"/>
            <w:sz w:val="28"/>
            <w:u w:val="none"/>
          </w:rPr>
          <w:t>Konwencji z dnia 29 maja 2000 r. o pomocy prawnej w sprawach karnych pomiędzy państwami członkowskimi UE</w:t>
        </w:r>
      </w:hyperlink>
      <w:r w:rsidRPr="00815672">
        <w:rPr>
          <w:rStyle w:val="Hipercze"/>
          <w:rFonts w:ascii="Times New Roman" w:hAnsi="Times New Roman"/>
          <w:i/>
          <w:color w:val="auto"/>
          <w:sz w:val="28"/>
          <w:u w:val="none"/>
        </w:rPr>
        <w:t xml:space="preserve"> a Dania nie jest związana dyrektywą 2014/41 w sprawie europejskiego nakazu dochodzeniowego.</w:t>
      </w:r>
    </w:p>
    <w:p w14:paraId="4C3C003A" w14:textId="66921102" w:rsidR="007675C0" w:rsidRPr="00815672" w:rsidRDefault="007675C0" w:rsidP="0074607F">
      <w:pPr>
        <w:rPr>
          <w:rFonts w:ascii="Times New Roman" w:hAnsi="Times New Roman" w:cs="Times New Roman"/>
          <w:b/>
          <w:bCs/>
          <w:sz w:val="28"/>
          <w:szCs w:val="28"/>
        </w:rPr>
      </w:pPr>
    </w:p>
    <w:p w14:paraId="0CA366E7" w14:textId="73AF51FB" w:rsidR="00C151FE" w:rsidRPr="00815672" w:rsidRDefault="00C151FE" w:rsidP="0074607F">
      <w:pPr>
        <w:rPr>
          <w:rFonts w:ascii="Times New Roman" w:hAnsi="Times New Roman" w:cs="Times New Roman"/>
          <w:b/>
          <w:bCs/>
          <w:sz w:val="28"/>
          <w:szCs w:val="28"/>
        </w:rPr>
      </w:pPr>
    </w:p>
    <w:p w14:paraId="27E8EE84" w14:textId="2E12F9D2" w:rsidR="00C151FE" w:rsidRPr="00815672" w:rsidRDefault="00C151FE" w:rsidP="0074607F">
      <w:pPr>
        <w:rPr>
          <w:rFonts w:ascii="Times New Roman" w:hAnsi="Times New Roman" w:cs="Times New Roman"/>
          <w:b/>
          <w:bCs/>
          <w:sz w:val="28"/>
          <w:szCs w:val="28"/>
        </w:rPr>
      </w:pPr>
    </w:p>
    <w:p w14:paraId="2906CC26" w14:textId="04D2A600" w:rsidR="00C151FE" w:rsidRPr="00815672" w:rsidRDefault="00C151FE" w:rsidP="0074607F">
      <w:pPr>
        <w:rPr>
          <w:rFonts w:ascii="Times New Roman" w:hAnsi="Times New Roman" w:cs="Times New Roman"/>
          <w:b/>
          <w:bCs/>
          <w:sz w:val="28"/>
          <w:szCs w:val="28"/>
        </w:rPr>
      </w:pPr>
    </w:p>
    <w:p w14:paraId="2036F976" w14:textId="4BDCBC00" w:rsidR="00C151FE" w:rsidRPr="00815672" w:rsidRDefault="00C151FE" w:rsidP="00C151FE">
      <w:pPr>
        <w:jc w:val="both"/>
        <w:rPr>
          <w:rFonts w:ascii="Times New Roman" w:hAnsi="Times New Roman" w:cs="Times New Roman"/>
          <w:i/>
          <w:color w:val="2F5496" w:themeColor="accent1" w:themeShade="BF"/>
          <w:sz w:val="28"/>
          <w:szCs w:val="28"/>
        </w:rPr>
      </w:pPr>
      <w:r w:rsidRPr="00815672">
        <w:rPr>
          <w:rFonts w:ascii="Times New Roman" w:hAnsi="Times New Roman"/>
          <w:b/>
          <w:i/>
          <w:color w:val="2F5496" w:themeColor="accent1" w:themeShade="BF"/>
          <w:sz w:val="28"/>
        </w:rPr>
        <w:t>P2.</w:t>
      </w:r>
      <w:r w:rsidRPr="00815672">
        <w:rPr>
          <w:rFonts w:ascii="Times New Roman" w:hAnsi="Times New Roman"/>
          <w:i/>
          <w:color w:val="2F5496" w:themeColor="accent1" w:themeShade="BF"/>
          <w:sz w:val="28"/>
        </w:rPr>
        <w:t xml:space="preserve"> Czy istnieje możliwość przesłuchania podejrzanego J.H. w formie wideokonferencji? </w:t>
      </w:r>
    </w:p>
    <w:p w14:paraId="6CD14D07" w14:textId="6B372CD5" w:rsidR="0051374B" w:rsidRPr="00815672" w:rsidRDefault="0051374B" w:rsidP="00C151FE">
      <w:pPr>
        <w:spacing w:line="240" w:lineRule="auto"/>
        <w:jc w:val="both"/>
        <w:rPr>
          <w:rFonts w:ascii="Times New Roman" w:hAnsi="Times New Roman" w:cs="Times New Roman"/>
          <w:sz w:val="28"/>
          <w:szCs w:val="28"/>
        </w:rPr>
      </w:pPr>
      <w:r w:rsidRPr="00815672">
        <w:rPr>
          <w:rFonts w:ascii="Times New Roman" w:hAnsi="Times New Roman"/>
          <w:sz w:val="28"/>
        </w:rPr>
        <w:t xml:space="preserve">Jak wyjaśniono w sprawie wprowadzającej, </w:t>
      </w:r>
      <w:r w:rsidRPr="00815672">
        <w:rPr>
          <w:rFonts w:ascii="Times New Roman" w:hAnsi="Times New Roman"/>
          <w:b/>
          <w:sz w:val="28"/>
        </w:rPr>
        <w:t>Rumunia</w:t>
      </w:r>
      <w:r w:rsidRPr="00815672">
        <w:rPr>
          <w:rFonts w:ascii="Times New Roman" w:hAnsi="Times New Roman"/>
          <w:sz w:val="28"/>
        </w:rPr>
        <w:t xml:space="preserve"> dokonała transpozycji dyrektywy 2014/41/UE w sprawie europejskiego nakazu dochodzeniowego, ale </w:t>
      </w:r>
      <w:r w:rsidRPr="00815672">
        <w:rPr>
          <w:rFonts w:ascii="Times New Roman" w:hAnsi="Times New Roman"/>
          <w:b/>
          <w:sz w:val="28"/>
        </w:rPr>
        <w:t>Irlandia</w:t>
      </w:r>
      <w:r w:rsidRPr="00815672">
        <w:rPr>
          <w:rFonts w:ascii="Times New Roman" w:hAnsi="Times New Roman"/>
          <w:sz w:val="28"/>
        </w:rPr>
        <w:t xml:space="preserve"> </w:t>
      </w:r>
      <w:r w:rsidRPr="00815672">
        <w:rPr>
          <w:rFonts w:ascii="Times New Roman" w:hAnsi="Times New Roman"/>
          <w:sz w:val="28"/>
          <w:u w:val="single"/>
        </w:rPr>
        <w:t>nie</w:t>
      </w:r>
      <w:r w:rsidRPr="00815672">
        <w:rPr>
          <w:rFonts w:ascii="Times New Roman" w:hAnsi="Times New Roman"/>
          <w:sz w:val="28"/>
        </w:rPr>
        <w:t xml:space="preserve"> uczestniczy w tym procesie i </w:t>
      </w:r>
      <w:r w:rsidRPr="00815672">
        <w:rPr>
          <w:rFonts w:ascii="Times New Roman" w:hAnsi="Times New Roman"/>
          <w:sz w:val="28"/>
          <w:u w:val="single"/>
        </w:rPr>
        <w:t>nie</w:t>
      </w:r>
      <w:r w:rsidRPr="00815672">
        <w:rPr>
          <w:rFonts w:ascii="Times New Roman" w:hAnsi="Times New Roman"/>
          <w:sz w:val="28"/>
        </w:rPr>
        <w:t xml:space="preserve"> jest związana tym instrumentem prawnym zgodnie z motywem (44) tej samej dyrektywy.</w:t>
      </w:r>
    </w:p>
    <w:p w14:paraId="0C28D99F" w14:textId="3EB70832" w:rsidR="00F626A9" w:rsidRPr="00815672" w:rsidRDefault="00F626A9" w:rsidP="00C151FE">
      <w:pPr>
        <w:spacing w:line="240" w:lineRule="auto"/>
        <w:jc w:val="both"/>
        <w:rPr>
          <w:rFonts w:ascii="Times New Roman" w:hAnsi="Times New Roman" w:cs="Times New Roman"/>
          <w:sz w:val="28"/>
          <w:szCs w:val="28"/>
        </w:rPr>
      </w:pPr>
      <w:r w:rsidRPr="00815672">
        <w:rPr>
          <w:rFonts w:ascii="Times New Roman" w:hAnsi="Times New Roman"/>
          <w:sz w:val="28"/>
        </w:rPr>
        <w:t>Zarówno Rumunia, jak i Irlandia podpisały i ratyfikowały konwencję z 2000 r., a w przypadku Irlandii konwencja obowiązuje od dnia 23 sierpnia 2020 r.</w:t>
      </w:r>
    </w:p>
    <w:p w14:paraId="678558EC" w14:textId="77777777" w:rsidR="00993FFC" w:rsidRPr="00815672" w:rsidRDefault="00993FFC" w:rsidP="00C151FE">
      <w:pPr>
        <w:spacing w:line="240" w:lineRule="auto"/>
        <w:jc w:val="both"/>
        <w:rPr>
          <w:rFonts w:ascii="Times New Roman" w:hAnsi="Times New Roman" w:cs="Times New Roman"/>
          <w:sz w:val="28"/>
          <w:szCs w:val="28"/>
        </w:rPr>
      </w:pPr>
      <w:r w:rsidRPr="00815672">
        <w:rPr>
          <w:rFonts w:ascii="Times New Roman" w:hAnsi="Times New Roman"/>
          <w:sz w:val="28"/>
        </w:rPr>
        <w:t xml:space="preserve">Oznacza to, że </w:t>
      </w:r>
      <w:hyperlink r:id="rId51" w:history="1">
        <w:r w:rsidRPr="00815672">
          <w:rPr>
            <w:rStyle w:val="Hipercze"/>
            <w:rFonts w:ascii="Times New Roman" w:hAnsi="Times New Roman"/>
            <w:color w:val="auto"/>
            <w:sz w:val="28"/>
            <w:u w:val="none"/>
          </w:rPr>
          <w:t>Konwencja z dnia 29 maja 2000 r. o wzajemnej pomocy w sprawach karnych pomiędzy państwami członkowskimi UE</w:t>
        </w:r>
      </w:hyperlink>
      <w:r w:rsidRPr="00815672">
        <w:rPr>
          <w:rFonts w:ascii="Times New Roman" w:hAnsi="Times New Roman"/>
          <w:b/>
          <w:sz w:val="28"/>
        </w:rPr>
        <w:t xml:space="preserve"> </w:t>
      </w:r>
      <w:r w:rsidRPr="00815672">
        <w:rPr>
          <w:rFonts w:ascii="Times New Roman" w:hAnsi="Times New Roman"/>
          <w:sz w:val="28"/>
        </w:rPr>
        <w:t>ma zastosowanie, ponieważ oba państwa członkowskie podpisały ją i ratyfikowały.</w:t>
      </w:r>
    </w:p>
    <w:p w14:paraId="645F77A5" w14:textId="0EC241E1" w:rsidR="001C4632" w:rsidRPr="00815672" w:rsidRDefault="00993FFC"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Wymogi dotyczące </w:t>
      </w:r>
      <w:r w:rsidRPr="00815672">
        <w:rPr>
          <w:rFonts w:ascii="Times New Roman" w:hAnsi="Times New Roman"/>
          <w:b/>
          <w:sz w:val="28"/>
        </w:rPr>
        <w:t>przesłuchania</w:t>
      </w:r>
      <w:r w:rsidRPr="00815672">
        <w:rPr>
          <w:rFonts w:ascii="Times New Roman" w:hAnsi="Times New Roman"/>
          <w:sz w:val="28"/>
        </w:rPr>
        <w:t xml:space="preserve"> podejrzanego w </w:t>
      </w:r>
      <w:r w:rsidRPr="00815672">
        <w:rPr>
          <w:rFonts w:ascii="Times New Roman" w:hAnsi="Times New Roman"/>
          <w:b/>
          <w:sz w:val="28"/>
        </w:rPr>
        <w:t>formie wideokonferencji</w:t>
      </w:r>
      <w:r w:rsidRPr="00815672">
        <w:rPr>
          <w:rFonts w:ascii="Times New Roman" w:hAnsi="Times New Roman"/>
          <w:sz w:val="28"/>
        </w:rPr>
        <w:t xml:space="preserve"> są określone w </w:t>
      </w:r>
      <w:r w:rsidRPr="00815672">
        <w:rPr>
          <w:rFonts w:ascii="Times New Roman" w:hAnsi="Times New Roman"/>
          <w:sz w:val="28"/>
          <w:u w:val="single"/>
        </w:rPr>
        <w:t>art. 10 ust. 9 Konwencji z 2000</w:t>
      </w:r>
      <w:r w:rsidRPr="00815672">
        <w:rPr>
          <w:rFonts w:ascii="Times New Roman" w:hAnsi="Times New Roman"/>
          <w:sz w:val="28"/>
        </w:rPr>
        <w:t xml:space="preserve"> r. i o ile Irlandia </w:t>
      </w:r>
      <w:r w:rsidRPr="00815672">
        <w:rPr>
          <w:rFonts w:ascii="Times New Roman" w:hAnsi="Times New Roman"/>
          <w:b/>
          <w:sz w:val="28"/>
        </w:rPr>
        <w:t>nie złożyła żadnych deklaracji dotyczących przesłuchania świadków w formie wideokonferencji (zobacz deklaracje złożone przez poszczególne państwa w linku poniżej)</w:t>
      </w:r>
      <w:r w:rsidRPr="00815672">
        <w:rPr>
          <w:rFonts w:ascii="Times New Roman" w:hAnsi="Times New Roman"/>
          <w:sz w:val="28"/>
        </w:rPr>
        <w:t>.</w:t>
      </w:r>
    </w:p>
    <w:p w14:paraId="0013C951" w14:textId="77777777" w:rsidR="00E124AF" w:rsidRPr="00815672" w:rsidRDefault="00E124AF" w:rsidP="00E124AF">
      <w:pPr>
        <w:spacing w:after="0" w:line="240" w:lineRule="auto"/>
        <w:jc w:val="both"/>
        <w:rPr>
          <w:rFonts w:ascii="Times New Roman" w:hAnsi="Times New Roman" w:cs="Times New Roman"/>
          <w:sz w:val="28"/>
          <w:szCs w:val="28"/>
        </w:rPr>
      </w:pP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815672" w14:paraId="296D4901" w14:textId="77777777" w:rsidTr="00C151FE">
        <w:trPr>
          <w:trHeight w:val="1738"/>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1EE7AB" w14:textId="0A9B4707" w:rsidR="00E124AF" w:rsidRPr="00815672" w:rsidRDefault="00E124AF">
            <w:pPr>
              <w:spacing w:after="0" w:line="240" w:lineRule="auto"/>
              <w:ind w:left="48"/>
              <w:jc w:val="both"/>
              <w:rPr>
                <w:rFonts w:ascii="Times New Roman" w:hAnsi="Times New Roman" w:cs="Times New Roman"/>
                <w:sz w:val="28"/>
                <w:szCs w:val="28"/>
              </w:rPr>
            </w:pPr>
            <w:r w:rsidRPr="00815672">
              <w:rPr>
                <w:rFonts w:ascii="Times New Roman" w:hAnsi="Times New Roman"/>
                <w:sz w:val="28"/>
              </w:rPr>
              <w:t xml:space="preserve">Deklaracje złożone przez każde państwo członkowskie w odniesieniu do niektórych postanowień konwencji z 2000 r </w:t>
            </w:r>
            <w:hyperlink r:id="rId52" w:history="1">
              <w:r w:rsidRPr="00815672">
                <w:rPr>
                  <w:rStyle w:val="Hipercze"/>
                  <w:rFonts w:ascii="Times New Roman" w:hAnsi="Times New Roman"/>
                  <w:sz w:val="28"/>
                </w:rPr>
                <w:t>można znaleźć na stronie internetowej EJN</w:t>
              </w:r>
            </w:hyperlink>
            <w:r w:rsidRPr="00815672">
              <w:rPr>
                <w:rFonts w:ascii="Times New Roman" w:hAnsi="Times New Roman"/>
                <w:sz w:val="28"/>
              </w:rPr>
              <w:t>.</w:t>
            </w:r>
          </w:p>
          <w:p w14:paraId="0DF0BEBD" w14:textId="77777777" w:rsidR="00E124AF" w:rsidRPr="00815672" w:rsidRDefault="00E124AF">
            <w:pPr>
              <w:spacing w:after="0" w:line="240" w:lineRule="auto"/>
              <w:ind w:left="48"/>
              <w:jc w:val="both"/>
              <w:rPr>
                <w:rFonts w:ascii="Times New Roman" w:hAnsi="Times New Roman" w:cs="Times New Roman"/>
                <w:sz w:val="28"/>
                <w:szCs w:val="28"/>
              </w:rPr>
            </w:pPr>
          </w:p>
          <w:p w14:paraId="2FA6B4A7" w14:textId="63412D49" w:rsidR="00E124AF" w:rsidRPr="00815672" w:rsidRDefault="00E124AF" w:rsidP="00C151FE">
            <w:pPr>
              <w:spacing w:after="0" w:line="240" w:lineRule="auto"/>
              <w:ind w:left="48"/>
              <w:jc w:val="both"/>
              <w:rPr>
                <w:rFonts w:ascii="Times New Roman" w:hAnsi="Times New Roman" w:cs="Times New Roman"/>
                <w:sz w:val="28"/>
                <w:szCs w:val="28"/>
              </w:rPr>
            </w:pPr>
            <w:r w:rsidRPr="00815672">
              <w:rPr>
                <w:rFonts w:ascii="Times New Roman" w:hAnsi="Times New Roman"/>
                <w:sz w:val="28"/>
              </w:rPr>
              <w:t xml:space="preserve">Oświadczenia złożone przez Irlandię w odniesieniu do postanowień Konwencji z 2000 r </w:t>
            </w:r>
            <w:hyperlink r:id="rId53" w:history="1">
              <w:r w:rsidRPr="00815672">
                <w:rPr>
                  <w:rStyle w:val="Hipercze"/>
                  <w:rFonts w:ascii="Times New Roman" w:hAnsi="Times New Roman"/>
                  <w:sz w:val="28"/>
                </w:rPr>
                <w:t>można uzyskać dostęp tutaj</w:t>
              </w:r>
            </w:hyperlink>
            <w:r w:rsidRPr="00815672">
              <w:rPr>
                <w:rFonts w:ascii="Times New Roman" w:hAnsi="Times New Roman"/>
                <w:sz w:val="28"/>
              </w:rPr>
              <w:t>.</w:t>
            </w:r>
          </w:p>
        </w:tc>
      </w:tr>
    </w:tbl>
    <w:p w14:paraId="609684A4" w14:textId="77777777" w:rsidR="00E124AF" w:rsidRPr="00815672" w:rsidRDefault="00E124AF" w:rsidP="00E124AF">
      <w:pPr>
        <w:spacing w:after="0" w:line="240" w:lineRule="auto"/>
        <w:jc w:val="both"/>
        <w:rPr>
          <w:rFonts w:ascii="Times New Roman" w:hAnsi="Times New Roman" w:cs="Times New Roman"/>
          <w:sz w:val="28"/>
          <w:szCs w:val="28"/>
        </w:rPr>
      </w:pPr>
    </w:p>
    <w:p w14:paraId="0F1DD1DF" w14:textId="5532FB84" w:rsidR="000F2DCF" w:rsidRPr="00815672" w:rsidRDefault="00E124AF" w:rsidP="0074607F">
      <w:pPr>
        <w:spacing w:line="240" w:lineRule="auto"/>
        <w:jc w:val="both"/>
        <w:rPr>
          <w:rFonts w:ascii="Times New Roman" w:hAnsi="Times New Roman" w:cs="Times New Roman"/>
          <w:sz w:val="28"/>
          <w:szCs w:val="28"/>
        </w:rPr>
      </w:pPr>
      <w:r w:rsidRPr="00815672">
        <w:rPr>
          <w:rFonts w:ascii="Times New Roman" w:hAnsi="Times New Roman"/>
          <w:i/>
          <w:sz w:val="28"/>
        </w:rPr>
        <w:t xml:space="preserve">Jeżeli właściwy organ wnioskujący pochodzi z </w:t>
      </w:r>
      <w:r w:rsidRPr="00815672">
        <w:rPr>
          <w:rFonts w:ascii="Times New Roman" w:hAnsi="Times New Roman"/>
          <w:i/>
          <w:sz w:val="28"/>
          <w:u w:val="single"/>
        </w:rPr>
        <w:t>Chorwacji</w:t>
      </w:r>
      <w:r w:rsidRPr="00815672">
        <w:rPr>
          <w:rFonts w:ascii="Times New Roman" w:hAnsi="Times New Roman"/>
          <w:i/>
          <w:sz w:val="28"/>
        </w:rPr>
        <w:t xml:space="preserve">, wówczas </w:t>
      </w:r>
      <w:r w:rsidRPr="00815672">
        <w:rPr>
          <w:rFonts w:ascii="Times New Roman" w:hAnsi="Times New Roman"/>
          <w:i/>
          <w:sz w:val="28"/>
          <w:u w:val="single"/>
        </w:rPr>
        <w:t>art. 9 ust. 8 Drugiego protokołu dodatkowego do Europejskiej konwencji o pomocy prawnej w sprawach karnych z 1959 r. (Strasburg, 8 listopada 2001 r.)</w:t>
      </w:r>
      <w:r w:rsidRPr="00815672">
        <w:rPr>
          <w:rFonts w:ascii="Times New Roman" w:hAnsi="Times New Roman"/>
          <w:i/>
          <w:sz w:val="28"/>
        </w:rPr>
        <w:t xml:space="preserve"> będzie miał zastosowanie do przesłuchania podejrzanego w formie wideokonferencji lub telekonferencji, ponieważ Chorwacja nie podpisała Konwencji z dnia 29 maja 2000 r. o pomocy prawnej w sprawach karnych pomiędzy państwami członkowskimi UE </w:t>
      </w:r>
      <w:hyperlink r:id="rId54" w:history="1">
        <w:r w:rsidRPr="00815672">
          <w:rPr>
            <w:rStyle w:val="Hipercze"/>
            <w:rFonts w:ascii="Times New Roman" w:hAnsi="Times New Roman"/>
            <w:i/>
            <w:color w:val="auto"/>
            <w:sz w:val="28"/>
            <w:u w:val="none"/>
          </w:rPr>
          <w:t>Konwencji z dnia 29 maja 2000 r. o wzajemnej pomocy w sprawach karnych pomiędzy państwami członkowskimi UE</w:t>
        </w:r>
      </w:hyperlink>
      <w:r w:rsidRPr="00815672">
        <w:rPr>
          <w:rStyle w:val="Hipercze"/>
          <w:rFonts w:ascii="Times New Roman" w:hAnsi="Times New Roman"/>
          <w:i/>
          <w:color w:val="auto"/>
          <w:sz w:val="28"/>
          <w:u w:val="none"/>
        </w:rPr>
        <w:t xml:space="preserve"> a Irlandia nie jest związana dyrektywą 2014/41 w sprawie europejskiego nakazu dochodzeniowego.</w:t>
      </w:r>
    </w:p>
    <w:p w14:paraId="4CDD0E46" w14:textId="1C252041" w:rsidR="00C151FE" w:rsidRPr="00815672" w:rsidRDefault="00C151FE" w:rsidP="00C151FE">
      <w:pPr>
        <w:jc w:val="both"/>
        <w:rPr>
          <w:rFonts w:ascii="Times New Roman" w:hAnsi="Times New Roman" w:cs="Times New Roman"/>
          <w:i/>
          <w:color w:val="2F5496" w:themeColor="accent1" w:themeShade="BF"/>
          <w:sz w:val="28"/>
          <w:szCs w:val="28"/>
        </w:rPr>
      </w:pPr>
      <w:r w:rsidRPr="00815672">
        <w:rPr>
          <w:rFonts w:ascii="Times New Roman" w:hAnsi="Times New Roman"/>
          <w:b/>
          <w:i/>
          <w:color w:val="2F5496" w:themeColor="accent1" w:themeShade="BF"/>
          <w:sz w:val="28"/>
        </w:rPr>
        <w:lastRenderedPageBreak/>
        <w:t>P3.</w:t>
      </w:r>
      <w:r w:rsidRPr="00815672">
        <w:rPr>
          <w:rFonts w:ascii="Times New Roman" w:hAnsi="Times New Roman"/>
          <w:i/>
          <w:color w:val="2F5496" w:themeColor="accent1" w:themeShade="BF"/>
          <w:sz w:val="28"/>
        </w:rPr>
        <w:t xml:space="preserve"> Określenie właściwych organów rozpatrujących wniosek w Danii i Irlandii, oraz kanałów przekazywania informacji, które należy wykorzystać.</w:t>
      </w:r>
    </w:p>
    <w:p w14:paraId="31A294EA" w14:textId="6F47E5A8" w:rsidR="00DA2D25" w:rsidRPr="00815672" w:rsidRDefault="006557E8" w:rsidP="00C151FE">
      <w:pPr>
        <w:spacing w:line="240" w:lineRule="auto"/>
        <w:jc w:val="both"/>
        <w:rPr>
          <w:rFonts w:ascii="Times New Roman" w:hAnsi="Times New Roman" w:cs="Times New Roman"/>
          <w:b/>
          <w:bCs/>
          <w:sz w:val="28"/>
          <w:szCs w:val="28"/>
        </w:rPr>
      </w:pPr>
      <w:r w:rsidRPr="00815672">
        <w:rPr>
          <w:rFonts w:ascii="Times New Roman" w:hAnsi="Times New Roman"/>
          <w:b/>
          <w:sz w:val="28"/>
        </w:rPr>
        <w:t>LoR =&gt; Rumunia (lub inne państwa członkowskie z wyjątkiem Chorwacji i Grecji) – Dania</w:t>
      </w:r>
    </w:p>
    <w:p w14:paraId="1B69D09A" w14:textId="77777777" w:rsidR="006557E8" w:rsidRPr="00815672" w:rsidRDefault="006557E8"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Zgodnie z art. 6 ust. 1 konwencji z 2000 r. wnioski o wzajemną pomoc są sporządzane na piśmie lub za pomocą jakiegokolwiek środka umożliwiającego uzyskanie dokumentu pisemnego w warunkach pozwalających otrzymującemu państwu członkowskiemu na stwierdzenie autentyczności i przesyłane </w:t>
      </w:r>
      <w:r w:rsidRPr="00815672">
        <w:rPr>
          <w:rFonts w:ascii="Times New Roman" w:hAnsi="Times New Roman"/>
          <w:b/>
          <w:sz w:val="28"/>
          <w:u w:val="single"/>
        </w:rPr>
        <w:t>bezpośrednio</w:t>
      </w:r>
      <w:r w:rsidRPr="00815672">
        <w:rPr>
          <w:rFonts w:ascii="Times New Roman" w:hAnsi="Times New Roman"/>
          <w:sz w:val="28"/>
        </w:rPr>
        <w:t xml:space="preserve"> między organami sądowymi właściwymi miejscowo do ich zainicjowania i wykonania oraz zwracane tą samą drogą, chyba że ustalono inaczej.</w:t>
      </w:r>
    </w:p>
    <w:p w14:paraId="1E193B94" w14:textId="77777777" w:rsidR="006557E8" w:rsidRPr="00815672" w:rsidRDefault="006557E8"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Właściwy organ rozpatrujący wniosek można zidentyfikować za pomocą </w:t>
      </w:r>
      <w:r w:rsidRPr="00815672">
        <w:rPr>
          <w:rFonts w:ascii="Times New Roman" w:hAnsi="Times New Roman"/>
          <w:b/>
          <w:sz w:val="28"/>
        </w:rPr>
        <w:t>atlasu</w:t>
      </w:r>
      <w:r w:rsidRPr="00815672">
        <w:rPr>
          <w:rFonts w:ascii="Times New Roman" w:hAnsi="Times New Roman"/>
          <w:sz w:val="28"/>
        </w:rPr>
        <w:t xml:space="preserve"> na </w:t>
      </w:r>
      <w:r w:rsidRPr="00815672">
        <w:rPr>
          <w:rFonts w:ascii="Times New Roman" w:hAnsi="Times New Roman"/>
          <w:sz w:val="28"/>
          <w:u w:val="single"/>
        </w:rPr>
        <w:t>stronie internetowej EJN</w:t>
      </w:r>
      <w:r w:rsidRPr="00815672">
        <w:rPr>
          <w:rFonts w:ascii="Times New Roman" w:hAnsi="Times New Roman"/>
          <w:sz w:val="28"/>
        </w:rPr>
        <w:t xml:space="preserve">. </w:t>
      </w:r>
    </w:p>
    <w:p w14:paraId="7EE5AD0F" w14:textId="02E7745F" w:rsidR="00DA2D25" w:rsidRPr="00815672" w:rsidRDefault="006557E8" w:rsidP="00DA2D25">
      <w:pPr>
        <w:spacing w:after="0" w:line="240" w:lineRule="auto"/>
        <w:jc w:val="both"/>
        <w:rPr>
          <w:rFonts w:ascii="Times New Roman" w:hAnsi="Times New Roman" w:cs="Times New Roman"/>
          <w:sz w:val="28"/>
          <w:szCs w:val="28"/>
        </w:rPr>
      </w:pPr>
      <w:r w:rsidRPr="00815672">
        <w:rPr>
          <w:rFonts w:ascii="Times New Roman" w:hAnsi="Times New Roman"/>
          <w:sz w:val="28"/>
        </w:rPr>
        <w:t xml:space="preserve">Wybieramy kraj – Dania, potrzebny środek dochodzeniowy – 703. Przesłuchanie świadków: w formie wideokonferencji, następnie należy wybrać </w:t>
      </w:r>
      <w:r w:rsidRPr="00815672">
        <w:rPr>
          <w:rFonts w:ascii="Times New Roman" w:hAnsi="Times New Roman"/>
          <w:i/>
          <w:sz w:val="28"/>
        </w:rPr>
        <w:t>wszystkie inne sprawy (nie</w:t>
      </w:r>
      <w:r w:rsidR="00166EED" w:rsidRPr="00815672">
        <w:rPr>
          <w:rFonts w:ascii="Times New Roman" w:hAnsi="Times New Roman"/>
          <w:i/>
          <w:sz w:val="28"/>
        </w:rPr>
        <w:t xml:space="preserve"> </w:t>
      </w:r>
      <w:r w:rsidRPr="00815672">
        <w:rPr>
          <w:rFonts w:ascii="Times New Roman" w:hAnsi="Times New Roman"/>
          <w:i/>
          <w:sz w:val="28"/>
        </w:rPr>
        <w:t>dotyczy to</w:t>
      </w:r>
      <w:r w:rsidRPr="00815672">
        <w:rPr>
          <w:rFonts w:ascii="Times New Roman" w:hAnsi="Times New Roman"/>
          <w:i/>
        </w:rPr>
        <w:t xml:space="preserve"> </w:t>
      </w:r>
      <w:r w:rsidRPr="00815672">
        <w:rPr>
          <w:rFonts w:ascii="Times New Roman" w:hAnsi="Times New Roman"/>
          <w:i/>
          <w:sz w:val="28"/>
        </w:rPr>
        <w:t xml:space="preserve">poważnych wykroczeń gospodarczych, prania brudnych pieniędzy), </w:t>
      </w:r>
      <w:r w:rsidRPr="00815672">
        <w:rPr>
          <w:rFonts w:ascii="Times New Roman" w:hAnsi="Times New Roman"/>
          <w:sz w:val="28"/>
        </w:rPr>
        <w:t>właściwy instrument prawny – Konwencję z 2000 r., a dodanie miasta – Aarhus – powinno wskazać nam właściwy organ, do którego należy bezpośrednio wysłać wniosek (patrz kroki poniżej).</w:t>
      </w:r>
    </w:p>
    <w:p w14:paraId="78B5D4CF" w14:textId="72B20295" w:rsidR="00DA2D25" w:rsidRPr="00815672" w:rsidRDefault="00DA2D25" w:rsidP="00DA2D25">
      <w:pPr>
        <w:spacing w:after="0" w:line="240" w:lineRule="auto"/>
        <w:jc w:val="both"/>
        <w:rPr>
          <w:rFonts w:ascii="Times New Roman" w:hAnsi="Times New Roman" w:cs="Times New Roman"/>
          <w:sz w:val="28"/>
          <w:szCs w:val="28"/>
        </w:rPr>
      </w:pPr>
    </w:p>
    <w:p w14:paraId="637A1A39" w14:textId="7850A084" w:rsidR="00DA2D25" w:rsidRPr="00815672" w:rsidRDefault="00DA2D25" w:rsidP="00DA2D25">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649C53FF" wp14:editId="16593B9D">
            <wp:extent cx="5734050" cy="21717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2171700"/>
                    </a:xfrm>
                    <a:prstGeom prst="rect">
                      <a:avLst/>
                    </a:prstGeom>
                    <a:noFill/>
                    <a:ln>
                      <a:noFill/>
                    </a:ln>
                  </pic:spPr>
                </pic:pic>
              </a:graphicData>
            </a:graphic>
          </wp:inline>
        </w:drawing>
      </w:r>
    </w:p>
    <w:p w14:paraId="5E4CEE86" w14:textId="77777777" w:rsidR="00DA2D25" w:rsidRPr="00815672" w:rsidRDefault="00DA2D25" w:rsidP="00DA2D25">
      <w:pPr>
        <w:spacing w:after="0" w:line="240" w:lineRule="auto"/>
        <w:jc w:val="both"/>
        <w:rPr>
          <w:rFonts w:ascii="Times New Roman" w:hAnsi="Times New Roman" w:cs="Times New Roman"/>
          <w:sz w:val="28"/>
          <w:szCs w:val="28"/>
        </w:rPr>
      </w:pPr>
    </w:p>
    <w:p w14:paraId="48676126" w14:textId="6242FD67" w:rsidR="00DA2D25" w:rsidRPr="00815672" w:rsidRDefault="00DA2D25" w:rsidP="00DA2D25">
      <w:pPr>
        <w:spacing w:after="0" w:line="240" w:lineRule="auto"/>
        <w:jc w:val="both"/>
        <w:rPr>
          <w:rFonts w:ascii="Times New Roman" w:hAnsi="Times New Roman" w:cs="Times New Roman"/>
          <w:sz w:val="28"/>
          <w:szCs w:val="28"/>
        </w:rPr>
      </w:pPr>
      <w:r w:rsidRPr="00815672">
        <w:rPr>
          <w:noProof/>
          <w:lang w:eastAsia="pl-PL"/>
        </w:rPr>
        <w:lastRenderedPageBreak/>
        <w:drawing>
          <wp:inline distT="0" distB="0" distL="0" distR="0" wp14:anchorId="5C4F5573" wp14:editId="0487A148">
            <wp:extent cx="5734050" cy="3409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3409950"/>
                    </a:xfrm>
                    <a:prstGeom prst="rect">
                      <a:avLst/>
                    </a:prstGeom>
                    <a:noFill/>
                    <a:ln>
                      <a:noFill/>
                    </a:ln>
                  </pic:spPr>
                </pic:pic>
              </a:graphicData>
            </a:graphic>
          </wp:inline>
        </w:drawing>
      </w:r>
    </w:p>
    <w:p w14:paraId="4106B9CF" w14:textId="1031F1A6" w:rsidR="00DA2D25" w:rsidRPr="00815672" w:rsidRDefault="00DA2D25" w:rsidP="00DA2D25">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6A8DF843" wp14:editId="520B225C">
            <wp:extent cx="5724525" cy="286702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3A130D38" w14:textId="77777777" w:rsidR="00DA2D25" w:rsidRPr="00815672" w:rsidRDefault="00DA2D25" w:rsidP="00DA2D25">
      <w:pPr>
        <w:spacing w:after="0" w:line="240" w:lineRule="auto"/>
        <w:jc w:val="both"/>
        <w:rPr>
          <w:rFonts w:ascii="Times New Roman" w:hAnsi="Times New Roman" w:cs="Times New Roman"/>
          <w:sz w:val="28"/>
          <w:szCs w:val="28"/>
        </w:rPr>
      </w:pPr>
    </w:p>
    <w:p w14:paraId="3219F1DC" w14:textId="4604A23E" w:rsidR="00DA2D25" w:rsidRPr="00815672" w:rsidRDefault="00DA2D25" w:rsidP="00DA2D25">
      <w:pPr>
        <w:spacing w:after="0" w:line="240" w:lineRule="auto"/>
        <w:jc w:val="both"/>
        <w:rPr>
          <w:rFonts w:ascii="Times New Roman" w:hAnsi="Times New Roman" w:cs="Times New Roman"/>
          <w:sz w:val="28"/>
          <w:szCs w:val="28"/>
        </w:rPr>
      </w:pPr>
      <w:r w:rsidRPr="00815672">
        <w:rPr>
          <w:noProof/>
          <w:lang w:eastAsia="pl-PL"/>
        </w:rPr>
        <w:lastRenderedPageBreak/>
        <w:drawing>
          <wp:inline distT="0" distB="0" distL="0" distR="0" wp14:anchorId="3AD0F931" wp14:editId="2411572A">
            <wp:extent cx="5731510" cy="3769995"/>
            <wp:effectExtent l="0" t="0" r="2540" b="1905"/>
            <wp:docPr id="2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8"/>
                    <a:stretch>
                      <a:fillRect/>
                    </a:stretch>
                  </pic:blipFill>
                  <pic:spPr>
                    <a:xfrm>
                      <a:off x="0" y="0"/>
                      <a:ext cx="5731510" cy="3769995"/>
                    </a:xfrm>
                    <a:prstGeom prst="rect">
                      <a:avLst/>
                    </a:prstGeom>
                  </pic:spPr>
                </pic:pic>
              </a:graphicData>
            </a:graphic>
          </wp:inline>
        </w:drawing>
      </w:r>
    </w:p>
    <w:p w14:paraId="12C74009" w14:textId="00F0481B" w:rsidR="00DA2D25" w:rsidRPr="00815672" w:rsidRDefault="00DA2D25" w:rsidP="00DA2D25">
      <w:pPr>
        <w:spacing w:after="0" w:line="240" w:lineRule="auto"/>
        <w:jc w:val="both"/>
        <w:rPr>
          <w:rFonts w:ascii="Times New Roman" w:hAnsi="Times New Roman" w:cs="Times New Roman"/>
          <w:sz w:val="28"/>
          <w:szCs w:val="28"/>
        </w:rPr>
      </w:pPr>
    </w:p>
    <w:p w14:paraId="3A3E689C" w14:textId="5EBE3CC6" w:rsidR="00DA2D25" w:rsidRPr="00815672" w:rsidRDefault="00DA2D25" w:rsidP="00DA2D25">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67C2E0FE" wp14:editId="50D6E28E">
            <wp:extent cx="5734050" cy="45529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4552950"/>
                    </a:xfrm>
                    <a:prstGeom prst="rect">
                      <a:avLst/>
                    </a:prstGeom>
                    <a:noFill/>
                    <a:ln>
                      <a:noFill/>
                    </a:ln>
                  </pic:spPr>
                </pic:pic>
              </a:graphicData>
            </a:graphic>
          </wp:inline>
        </w:drawing>
      </w:r>
    </w:p>
    <w:p w14:paraId="73741FE8" w14:textId="77777777" w:rsidR="00DA2D25" w:rsidRPr="00815672" w:rsidRDefault="00DA2D25" w:rsidP="00DA2D25">
      <w:pPr>
        <w:spacing w:after="0" w:line="240" w:lineRule="auto"/>
        <w:jc w:val="both"/>
        <w:rPr>
          <w:rFonts w:ascii="Times New Roman" w:hAnsi="Times New Roman" w:cs="Times New Roman"/>
          <w:sz w:val="28"/>
          <w:szCs w:val="28"/>
        </w:rPr>
      </w:pPr>
    </w:p>
    <w:p w14:paraId="480904A0" w14:textId="5054B347" w:rsidR="00E15A11" w:rsidRPr="00815672" w:rsidRDefault="006557E8" w:rsidP="0074607F">
      <w:pPr>
        <w:jc w:val="both"/>
        <w:rPr>
          <w:rFonts w:ascii="Times New Roman" w:hAnsi="Times New Roman" w:cs="Times New Roman"/>
          <w:sz w:val="28"/>
          <w:szCs w:val="28"/>
        </w:rPr>
      </w:pPr>
      <w:r w:rsidRPr="00815672">
        <w:rPr>
          <w:rFonts w:ascii="Times New Roman" w:hAnsi="Times New Roman"/>
          <w:sz w:val="28"/>
        </w:rPr>
        <w:lastRenderedPageBreak/>
        <w:t>Po wysłaniu wniosku do tego właściwego organu, organ wnioskujący i organ rozpatrujący wniosek nawiążą kontakt w celu uzgodnienia wszystkich szczegółów technicznych dotyczących przesłuchania.</w:t>
      </w:r>
    </w:p>
    <w:p w14:paraId="21B89991" w14:textId="26F083E0" w:rsidR="00D20F10" w:rsidRPr="00815672" w:rsidRDefault="00613A58" w:rsidP="00C151FE">
      <w:pPr>
        <w:jc w:val="both"/>
        <w:rPr>
          <w:rFonts w:ascii="Times New Roman" w:hAnsi="Times New Roman" w:cs="Times New Roman"/>
          <w:sz w:val="28"/>
          <w:szCs w:val="28"/>
        </w:rPr>
      </w:pPr>
      <w:r w:rsidRPr="00815672">
        <w:rPr>
          <w:rFonts w:ascii="Times New Roman" w:hAnsi="Times New Roman"/>
          <w:sz w:val="28"/>
        </w:rPr>
        <w:t xml:space="preserve">W przypadku </w:t>
      </w:r>
      <w:r w:rsidRPr="00815672">
        <w:rPr>
          <w:rFonts w:ascii="Times New Roman" w:hAnsi="Times New Roman"/>
          <w:sz w:val="28"/>
          <w:u w:val="single"/>
        </w:rPr>
        <w:t>Chorwacji</w:t>
      </w:r>
      <w:r w:rsidRPr="00815672">
        <w:rPr>
          <w:rFonts w:ascii="Times New Roman" w:hAnsi="Times New Roman"/>
          <w:sz w:val="28"/>
        </w:rPr>
        <w:t xml:space="preserve"> zastosowanie będzie miał art. 4 Drugiego protokołu dodatkowego do Europejskiej konwencji o pomocy prawnej w sprawach karnych z 1959 r., oczywiście jeśli nie istnieje bardziej korzystna umowa dwustronna między tymi dwoma krajami (kanał Ministerstwo Sprawiedliwości do Ministerstwa Sprawiedliwości).</w:t>
      </w:r>
    </w:p>
    <w:p w14:paraId="2F6C4674" w14:textId="622AFF62" w:rsidR="001F0975" w:rsidRPr="00815672" w:rsidRDefault="006557E8" w:rsidP="00C151FE">
      <w:pPr>
        <w:spacing w:line="240" w:lineRule="auto"/>
        <w:jc w:val="both"/>
        <w:rPr>
          <w:rFonts w:ascii="Times New Roman" w:hAnsi="Times New Roman" w:cs="Times New Roman"/>
          <w:b/>
          <w:bCs/>
          <w:sz w:val="28"/>
          <w:szCs w:val="28"/>
        </w:rPr>
      </w:pPr>
      <w:r w:rsidRPr="00815672">
        <w:rPr>
          <w:rFonts w:ascii="Times New Roman" w:hAnsi="Times New Roman"/>
          <w:b/>
          <w:sz w:val="28"/>
        </w:rPr>
        <w:t>Wniosek =&gt; Rumunia (lub inne państwa członkowskie z wyjątkiem Grecji i Chorwacji) – Irlandia</w:t>
      </w:r>
    </w:p>
    <w:p w14:paraId="1C5356DC" w14:textId="67D799A5" w:rsidR="001F0975" w:rsidRPr="00815672" w:rsidRDefault="001F0975" w:rsidP="0074607F">
      <w:pPr>
        <w:spacing w:line="240" w:lineRule="auto"/>
        <w:jc w:val="both"/>
        <w:rPr>
          <w:rFonts w:ascii="Times New Roman" w:hAnsi="Times New Roman" w:cs="Times New Roman"/>
          <w:sz w:val="28"/>
          <w:szCs w:val="28"/>
        </w:rPr>
      </w:pPr>
      <w:r w:rsidRPr="00815672">
        <w:rPr>
          <w:rFonts w:ascii="Times New Roman" w:hAnsi="Times New Roman"/>
          <w:sz w:val="28"/>
        </w:rPr>
        <w:t>Zgodnie z art. 6 ust. 1 Konwencji z 2000 r. wnioski o wzajemną pomoc są sporządzane na piśmie lub za pomocą jakiegokolwiek środka umożliwiającego uzyskanie dokumentu pisemnego w warunkach pozwalających otrzymującemu państwu członkowskiemu na stwierdzenie autentyczności i przesyłane bezpośrednio między organami sądowymi właściwymi miejscowo do ich zainicjowania i wykonania oraz zwracane tą samą drogą, chyba że ustalono inaczej.</w:t>
      </w:r>
    </w:p>
    <w:p w14:paraId="2A9AA6AC" w14:textId="41B50BEC" w:rsidR="0074607F" w:rsidRPr="00815672" w:rsidRDefault="001F0975" w:rsidP="00D14C39">
      <w:pPr>
        <w:spacing w:line="240" w:lineRule="auto"/>
        <w:jc w:val="both"/>
        <w:rPr>
          <w:rFonts w:ascii="Times New Roman" w:hAnsi="Times New Roman" w:cs="Times New Roman"/>
          <w:sz w:val="28"/>
          <w:szCs w:val="28"/>
        </w:rPr>
      </w:pPr>
      <w:r w:rsidRPr="00815672">
        <w:rPr>
          <w:rFonts w:ascii="Times New Roman" w:hAnsi="Times New Roman"/>
          <w:sz w:val="28"/>
        </w:rPr>
        <w:t xml:space="preserve">Niezależnie od ust. 1, odpowiednio Zjednoczone Królestwo i </w:t>
      </w:r>
      <w:r w:rsidRPr="00815672">
        <w:rPr>
          <w:rFonts w:ascii="Times New Roman" w:hAnsi="Times New Roman"/>
          <w:b/>
          <w:sz w:val="28"/>
        </w:rPr>
        <w:t>Irlandia</w:t>
      </w:r>
      <w:r w:rsidRPr="00815672">
        <w:rPr>
          <w:rFonts w:ascii="Times New Roman" w:hAnsi="Times New Roman"/>
          <w:sz w:val="28"/>
        </w:rPr>
        <w:t xml:space="preserve">, </w:t>
      </w:r>
      <w:r w:rsidRPr="00815672">
        <w:rPr>
          <w:rFonts w:ascii="Times New Roman" w:hAnsi="Times New Roman"/>
          <w:b/>
          <w:sz w:val="28"/>
        </w:rPr>
        <w:t>przy dokonywaniu powiadomienia przewidzianego w art. 27 ust. 2</w:t>
      </w:r>
      <w:r w:rsidRPr="00815672">
        <w:rPr>
          <w:rFonts w:ascii="Times New Roman" w:hAnsi="Times New Roman"/>
          <w:sz w:val="28"/>
        </w:rPr>
        <w:t xml:space="preserve">, </w:t>
      </w:r>
      <w:r w:rsidRPr="00815672">
        <w:rPr>
          <w:rFonts w:ascii="Times New Roman" w:hAnsi="Times New Roman"/>
          <w:b/>
          <w:bCs/>
          <w:sz w:val="28"/>
        </w:rPr>
        <w:t>mogą</w:t>
      </w:r>
      <w:r w:rsidRPr="00815672">
        <w:rPr>
          <w:rFonts w:ascii="Times New Roman" w:hAnsi="Times New Roman"/>
          <w:sz w:val="28"/>
        </w:rPr>
        <w:t xml:space="preserve"> </w:t>
      </w:r>
      <w:r w:rsidRPr="00815672">
        <w:rPr>
          <w:rFonts w:ascii="Times New Roman" w:hAnsi="Times New Roman"/>
          <w:b/>
          <w:sz w:val="28"/>
        </w:rPr>
        <w:t>oświadczyć, że wnioski i komunikaty kierowane do nich, jak określono w oświadczeniu, muszą być przesyłane za pośrednictwem ich organu centralnego</w:t>
      </w:r>
      <w:r w:rsidRPr="00815672">
        <w:rPr>
          <w:rFonts w:ascii="Times New Roman" w:hAnsi="Times New Roman"/>
          <w:sz w:val="28"/>
        </w:rPr>
        <w:t>. Te państwa członkowskie mogą w każdej chwili, w formie kolejnej deklaracji, ograniczyć zakres takiej deklaracji w celu nadania większej skuteczności ust. 1. Uczynią to, gdy postanowienia Konwencji wykonawczej do Układu z Schengen dotyczące wzajemnej pomocy zostaną wobec nich zastosowane (art. 6 ust. 3 Konwencji z 2000 r.).</w:t>
      </w:r>
    </w:p>
    <w:p w14:paraId="77011DF2" w14:textId="00E6BAD7" w:rsidR="00D14C39" w:rsidRPr="00815672" w:rsidRDefault="006557E8" w:rsidP="00D14C39">
      <w:pPr>
        <w:spacing w:after="0" w:line="240" w:lineRule="auto"/>
        <w:jc w:val="both"/>
        <w:rPr>
          <w:rFonts w:ascii="Times New Roman" w:hAnsi="Times New Roman" w:cs="Times New Roman"/>
          <w:sz w:val="28"/>
          <w:szCs w:val="28"/>
        </w:rPr>
      </w:pPr>
      <w:r w:rsidRPr="00815672">
        <w:rPr>
          <w:rFonts w:ascii="Times New Roman" w:hAnsi="Times New Roman"/>
          <w:sz w:val="28"/>
        </w:rPr>
        <w:t xml:space="preserve">Irlandia </w:t>
      </w:r>
      <w:r w:rsidRPr="00815672">
        <w:rPr>
          <w:rFonts w:ascii="Times New Roman" w:hAnsi="Times New Roman"/>
          <w:sz w:val="28"/>
          <w:u w:val="single"/>
        </w:rPr>
        <w:t>złożyła oświadczenie</w:t>
      </w:r>
      <w:r w:rsidRPr="00815672">
        <w:rPr>
          <w:rFonts w:ascii="Times New Roman" w:hAnsi="Times New Roman"/>
          <w:sz w:val="28"/>
        </w:rPr>
        <w:t xml:space="preserve"> do tego artykułu, w związku z czym </w:t>
      </w:r>
      <w:r w:rsidRPr="00815672">
        <w:rPr>
          <w:rFonts w:ascii="Times New Roman" w:hAnsi="Times New Roman"/>
          <w:b/>
          <w:sz w:val="28"/>
        </w:rPr>
        <w:t>wszystkie wpływające wnioski są przesyłane do Ministra Sprawiedliwości i Równouprawnienia jako organu centralnego (zob. poniżej)</w:t>
      </w:r>
      <w:r w:rsidRPr="00815672">
        <w:rPr>
          <w:rFonts w:ascii="Times New Roman" w:hAnsi="Times New Roman"/>
          <w:sz w:val="28"/>
        </w:rPr>
        <w:t>.</w:t>
      </w:r>
    </w:p>
    <w:p w14:paraId="366B3C5B" w14:textId="20C116F6" w:rsidR="001F0975" w:rsidRPr="00815672" w:rsidRDefault="006557E8" w:rsidP="0074607F">
      <w:pPr>
        <w:spacing w:line="240" w:lineRule="auto"/>
        <w:jc w:val="both"/>
        <w:rPr>
          <w:rFonts w:ascii="Times New Roman" w:hAnsi="Times New Roman" w:cs="Times New Roman"/>
          <w:sz w:val="28"/>
          <w:szCs w:val="28"/>
        </w:rPr>
      </w:pPr>
      <w:r w:rsidRPr="00815672">
        <w:rPr>
          <w:rFonts w:ascii="Times New Roman" w:hAnsi="Times New Roman"/>
          <w:sz w:val="28"/>
        </w:rPr>
        <w:t>.</w:t>
      </w:r>
    </w:p>
    <w:p w14:paraId="4CA44DFE" w14:textId="09F8DD05" w:rsidR="001F0975" w:rsidRPr="00815672" w:rsidRDefault="001F0975" w:rsidP="0074607F">
      <w:pPr>
        <w:spacing w:line="240" w:lineRule="auto"/>
        <w:jc w:val="both"/>
        <w:rPr>
          <w:rFonts w:ascii="Times New Roman" w:hAnsi="Times New Roman" w:cs="Times New Roman"/>
          <w:sz w:val="28"/>
          <w:szCs w:val="28"/>
        </w:rPr>
      </w:pPr>
      <w:r w:rsidRPr="00815672">
        <w:rPr>
          <w:rFonts w:ascii="Times New Roman" w:hAnsi="Times New Roman"/>
          <w:noProof/>
          <w:lang w:eastAsia="pl-PL"/>
        </w:rPr>
        <w:drawing>
          <wp:inline distT="0" distB="0" distL="0" distR="0" wp14:anchorId="6FADC430" wp14:editId="06373750">
            <wp:extent cx="5731510" cy="7156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715645"/>
                    </a:xfrm>
                    <a:prstGeom prst="rect">
                      <a:avLst/>
                    </a:prstGeom>
                  </pic:spPr>
                </pic:pic>
              </a:graphicData>
            </a:graphic>
          </wp:inline>
        </w:drawing>
      </w:r>
    </w:p>
    <w:p w14:paraId="3996749B" w14:textId="2B43B5B3" w:rsidR="006557E8" w:rsidRPr="00815672" w:rsidRDefault="006557E8" w:rsidP="0074607F">
      <w:pPr>
        <w:spacing w:line="240" w:lineRule="auto"/>
        <w:jc w:val="both"/>
        <w:rPr>
          <w:rFonts w:ascii="Times New Roman" w:hAnsi="Times New Roman" w:cs="Times New Roman"/>
          <w:sz w:val="28"/>
          <w:szCs w:val="28"/>
        </w:rPr>
      </w:pPr>
      <w:r w:rsidRPr="00815672">
        <w:rPr>
          <w:rFonts w:ascii="Times New Roman" w:hAnsi="Times New Roman"/>
          <w:sz w:val="28"/>
        </w:rPr>
        <w:t>Z tego powodu wniosek o wzajemną pomoc jest kierowany na piśmie przez Ministerstwo Sprawiedliwości Rumunii (organ wnioskujący) do Ministerstwa Sprawiedliwości i Równości Irlandii (jako organu centralnego rozpatrującego wniosek) i jest odsyłany tą samą drogą.</w:t>
      </w:r>
    </w:p>
    <w:p w14:paraId="1805A64E" w14:textId="2E9A6934" w:rsidR="00945A47" w:rsidRPr="00815672" w:rsidRDefault="00945A47" w:rsidP="0074607F">
      <w:pPr>
        <w:rPr>
          <w:rFonts w:ascii="Times New Roman" w:hAnsi="Times New Roman" w:cs="Times New Roman"/>
          <w:sz w:val="28"/>
          <w:szCs w:val="28"/>
        </w:rPr>
      </w:pPr>
    </w:p>
    <w:p w14:paraId="52B0A100" w14:textId="77777777" w:rsidR="00D14C39" w:rsidRPr="00815672" w:rsidRDefault="00D14C39" w:rsidP="00D14C39">
      <w:pPr>
        <w:spacing w:after="0" w:line="240" w:lineRule="auto"/>
        <w:jc w:val="both"/>
        <w:rPr>
          <w:rFonts w:ascii="Times New Roman" w:hAnsi="Times New Roman" w:cs="Times New Roman"/>
          <w:sz w:val="28"/>
          <w:szCs w:val="28"/>
        </w:rPr>
      </w:pPr>
    </w:p>
    <w:p w14:paraId="5D1D5A5C" w14:textId="4E030FAC" w:rsidR="00D14C39" w:rsidRPr="00815672" w:rsidRDefault="00D14C39" w:rsidP="00D14C39">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6D36B17C" wp14:editId="627C1A1F">
            <wp:extent cx="5734050" cy="265747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2657475"/>
                    </a:xfrm>
                    <a:prstGeom prst="rect">
                      <a:avLst/>
                    </a:prstGeom>
                    <a:noFill/>
                    <a:ln>
                      <a:noFill/>
                    </a:ln>
                  </pic:spPr>
                </pic:pic>
              </a:graphicData>
            </a:graphic>
          </wp:inline>
        </w:drawing>
      </w:r>
    </w:p>
    <w:p w14:paraId="4A2061B3" w14:textId="77777777" w:rsidR="00D14C39" w:rsidRPr="00815672" w:rsidRDefault="00D14C39" w:rsidP="00D14C39">
      <w:pPr>
        <w:spacing w:after="0" w:line="240" w:lineRule="auto"/>
        <w:jc w:val="both"/>
        <w:rPr>
          <w:rFonts w:ascii="Times New Roman" w:hAnsi="Times New Roman" w:cs="Times New Roman"/>
          <w:sz w:val="28"/>
          <w:szCs w:val="28"/>
        </w:rPr>
      </w:pPr>
    </w:p>
    <w:p w14:paraId="5750E78B" w14:textId="77777777" w:rsidR="00D14C39" w:rsidRPr="00815672" w:rsidRDefault="00D14C39" w:rsidP="00D14C39">
      <w:pPr>
        <w:spacing w:after="0" w:line="240" w:lineRule="auto"/>
        <w:jc w:val="both"/>
        <w:rPr>
          <w:rFonts w:ascii="Times New Roman" w:hAnsi="Times New Roman" w:cs="Times New Roman"/>
          <w:sz w:val="28"/>
          <w:szCs w:val="28"/>
        </w:rPr>
      </w:pPr>
    </w:p>
    <w:p w14:paraId="55CF9F54" w14:textId="77777777" w:rsidR="00D14C39" w:rsidRPr="00815672" w:rsidRDefault="00D14C39" w:rsidP="00D14C39">
      <w:pPr>
        <w:spacing w:after="0" w:line="240" w:lineRule="auto"/>
        <w:jc w:val="both"/>
        <w:rPr>
          <w:rFonts w:ascii="Times New Roman" w:hAnsi="Times New Roman" w:cs="Times New Roman"/>
          <w:sz w:val="28"/>
          <w:szCs w:val="28"/>
        </w:rPr>
      </w:pPr>
    </w:p>
    <w:p w14:paraId="19203F92" w14:textId="77777777" w:rsidR="00D14C39" w:rsidRPr="00815672" w:rsidRDefault="00D14C39" w:rsidP="00D14C39">
      <w:pPr>
        <w:spacing w:after="0" w:line="240" w:lineRule="auto"/>
        <w:jc w:val="both"/>
        <w:rPr>
          <w:rFonts w:ascii="Times New Roman" w:hAnsi="Times New Roman" w:cs="Times New Roman"/>
          <w:sz w:val="28"/>
          <w:szCs w:val="28"/>
        </w:rPr>
      </w:pPr>
    </w:p>
    <w:p w14:paraId="053386A7" w14:textId="64EB7335" w:rsidR="00D14C39" w:rsidRPr="00815672" w:rsidRDefault="00D14C39" w:rsidP="00D14C39">
      <w:pPr>
        <w:spacing w:after="0" w:line="240" w:lineRule="auto"/>
        <w:jc w:val="both"/>
        <w:rPr>
          <w:rFonts w:ascii="Times New Roman" w:hAnsi="Times New Roman" w:cs="Times New Roman"/>
          <w:sz w:val="28"/>
          <w:szCs w:val="28"/>
        </w:rPr>
      </w:pPr>
      <w:r w:rsidRPr="00815672">
        <w:rPr>
          <w:noProof/>
          <w:lang w:eastAsia="pl-PL"/>
        </w:rPr>
        <w:drawing>
          <wp:inline distT="0" distB="0" distL="0" distR="0" wp14:anchorId="6643D0DD" wp14:editId="5A2F5562">
            <wp:extent cx="5734050" cy="456247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4562475"/>
                    </a:xfrm>
                    <a:prstGeom prst="rect">
                      <a:avLst/>
                    </a:prstGeom>
                    <a:noFill/>
                    <a:ln>
                      <a:noFill/>
                    </a:ln>
                  </pic:spPr>
                </pic:pic>
              </a:graphicData>
            </a:graphic>
          </wp:inline>
        </w:drawing>
      </w:r>
    </w:p>
    <w:p w14:paraId="57F4CD0C" w14:textId="77777777" w:rsidR="00D14C39" w:rsidRPr="00815672" w:rsidRDefault="00D14C39" w:rsidP="00D14C39">
      <w:pPr>
        <w:spacing w:after="0" w:line="240" w:lineRule="auto"/>
        <w:jc w:val="both"/>
        <w:rPr>
          <w:rFonts w:ascii="Times New Roman" w:hAnsi="Times New Roman" w:cs="Times New Roman"/>
          <w:sz w:val="28"/>
          <w:szCs w:val="28"/>
        </w:rPr>
      </w:pPr>
    </w:p>
    <w:p w14:paraId="656B17A1" w14:textId="66F1B4A0" w:rsidR="00D14C39" w:rsidRPr="00815672" w:rsidRDefault="00D14C39" w:rsidP="00D14C39">
      <w:pPr>
        <w:spacing w:after="0" w:line="240" w:lineRule="auto"/>
        <w:jc w:val="both"/>
        <w:rPr>
          <w:rFonts w:ascii="Times New Roman" w:hAnsi="Times New Roman" w:cs="Times New Roman"/>
          <w:sz w:val="28"/>
          <w:szCs w:val="28"/>
        </w:rPr>
      </w:pPr>
      <w:r w:rsidRPr="00815672">
        <w:rPr>
          <w:noProof/>
          <w:lang w:eastAsia="pl-PL"/>
        </w:rPr>
        <w:lastRenderedPageBreak/>
        <w:drawing>
          <wp:inline distT="0" distB="0" distL="0" distR="0" wp14:anchorId="10D50A32" wp14:editId="03C2E5AC">
            <wp:extent cx="5734050" cy="32194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58766643" w14:textId="77777777" w:rsidR="00D14C39" w:rsidRPr="00815672" w:rsidRDefault="00D14C39" w:rsidP="00D14C39">
      <w:pPr>
        <w:spacing w:after="0" w:line="240" w:lineRule="auto"/>
        <w:jc w:val="both"/>
        <w:rPr>
          <w:rFonts w:ascii="Times New Roman" w:hAnsi="Times New Roman" w:cs="Times New Roman"/>
          <w:sz w:val="28"/>
          <w:szCs w:val="28"/>
        </w:rPr>
      </w:pPr>
    </w:p>
    <w:p w14:paraId="24C17A81" w14:textId="77777777" w:rsidR="00D14C39" w:rsidRPr="00815672" w:rsidRDefault="00D14C39" w:rsidP="00D14C39">
      <w:pPr>
        <w:spacing w:after="0" w:line="240" w:lineRule="auto"/>
        <w:jc w:val="both"/>
        <w:rPr>
          <w:rFonts w:ascii="Times New Roman" w:hAnsi="Times New Roman" w:cs="Times New Roman"/>
          <w:sz w:val="28"/>
          <w:szCs w:val="28"/>
        </w:rPr>
      </w:pPr>
    </w:p>
    <w:p w14:paraId="250AD5D5" w14:textId="0F2082F8" w:rsidR="00D14C39" w:rsidRPr="00815672" w:rsidRDefault="008A7C0A" w:rsidP="008A7C0A">
      <w:pPr>
        <w:jc w:val="both"/>
        <w:rPr>
          <w:rFonts w:ascii="Times New Roman" w:hAnsi="Times New Roman" w:cs="Times New Roman"/>
          <w:i/>
          <w:color w:val="2F5496" w:themeColor="accent1" w:themeShade="BF"/>
          <w:sz w:val="28"/>
          <w:szCs w:val="28"/>
        </w:rPr>
      </w:pPr>
      <w:r w:rsidRPr="00815672">
        <w:rPr>
          <w:rFonts w:ascii="Times New Roman" w:hAnsi="Times New Roman"/>
          <w:b/>
          <w:i/>
          <w:color w:val="2F5496" w:themeColor="accent1" w:themeShade="BF"/>
          <w:sz w:val="28"/>
        </w:rPr>
        <w:t>P4.</w:t>
      </w:r>
      <w:r w:rsidRPr="00815672">
        <w:rPr>
          <w:rFonts w:ascii="Times New Roman" w:hAnsi="Times New Roman"/>
          <w:i/>
          <w:color w:val="2F5496" w:themeColor="accent1" w:themeShade="BF"/>
          <w:sz w:val="28"/>
        </w:rPr>
        <w:t xml:space="preserve"> Która forma wniosku powinna zostać użyta przez wnioskujący organ sądowy, gdy wnosi on o przeprowadzenie rozprawy w formie wideokonferencji lub telekonferencji?</w:t>
      </w:r>
    </w:p>
    <w:p w14:paraId="1090DA8D" w14:textId="47D282B2" w:rsidR="00916191" w:rsidRPr="00815672" w:rsidRDefault="00916191" w:rsidP="008A7C0A">
      <w:pPr>
        <w:spacing w:line="240" w:lineRule="auto"/>
        <w:jc w:val="both"/>
        <w:rPr>
          <w:rFonts w:ascii="Times New Roman" w:hAnsi="Times New Roman" w:cs="Times New Roman"/>
          <w:sz w:val="28"/>
          <w:szCs w:val="28"/>
        </w:rPr>
      </w:pPr>
      <w:r w:rsidRPr="00815672">
        <w:rPr>
          <w:rFonts w:ascii="Times New Roman" w:hAnsi="Times New Roman"/>
          <w:b/>
          <w:sz w:val="28"/>
        </w:rPr>
        <w:t xml:space="preserve">Ani w Konwencji z 2000 r., ani w Konwencji z 1959 r. i jej protokołach dodatkowych nie </w:t>
      </w:r>
      <w:r w:rsidRPr="00815672">
        <w:rPr>
          <w:rFonts w:ascii="Times New Roman" w:hAnsi="Times New Roman"/>
          <w:sz w:val="28"/>
        </w:rPr>
        <w:t xml:space="preserve">ma </w:t>
      </w:r>
      <w:r w:rsidRPr="00815672">
        <w:rPr>
          <w:rFonts w:ascii="Times New Roman" w:hAnsi="Times New Roman"/>
          <w:sz w:val="28"/>
          <w:u w:val="single"/>
        </w:rPr>
        <w:t>szczególnego formularza</w:t>
      </w:r>
      <w:r w:rsidRPr="00815672">
        <w:rPr>
          <w:rFonts w:ascii="Times New Roman" w:hAnsi="Times New Roman"/>
          <w:sz w:val="28"/>
        </w:rPr>
        <w:t xml:space="preserve"> dla wniosku, który organ wnioskujący ma przesłać organowi wezwanemu.</w:t>
      </w:r>
    </w:p>
    <w:p w14:paraId="0388DBBC" w14:textId="324B7625" w:rsidR="00A231AD" w:rsidRPr="00815672" w:rsidRDefault="00A231AD" w:rsidP="008A7C0A">
      <w:pPr>
        <w:spacing w:line="240" w:lineRule="auto"/>
        <w:jc w:val="both"/>
        <w:rPr>
          <w:rFonts w:ascii="Times New Roman" w:hAnsi="Times New Roman" w:cs="Times New Roman"/>
          <w:sz w:val="28"/>
          <w:szCs w:val="28"/>
        </w:rPr>
      </w:pPr>
      <w:r w:rsidRPr="00815672">
        <w:rPr>
          <w:rFonts w:ascii="Times New Roman" w:hAnsi="Times New Roman"/>
          <w:sz w:val="28"/>
        </w:rPr>
        <w:t>Organ wnioskujący z trudem przygotowywał różne formy wniosku, które miały być przesyłane do organu rozpatrującego wniosek. A to nie jest łatwe zadanie!</w:t>
      </w:r>
    </w:p>
    <w:p w14:paraId="75C1A034" w14:textId="532368F8" w:rsidR="00D14C39" w:rsidRPr="00815672" w:rsidRDefault="00A231AD" w:rsidP="008A7C0A">
      <w:pPr>
        <w:spacing w:line="240" w:lineRule="auto"/>
        <w:jc w:val="both"/>
        <w:rPr>
          <w:rFonts w:ascii="Times New Roman" w:hAnsi="Times New Roman" w:cs="Times New Roman"/>
          <w:sz w:val="28"/>
          <w:szCs w:val="28"/>
        </w:rPr>
      </w:pPr>
      <w:r w:rsidRPr="00815672">
        <w:rPr>
          <w:rFonts w:ascii="Times New Roman" w:hAnsi="Times New Roman"/>
          <w:sz w:val="28"/>
        </w:rPr>
        <w:t xml:space="preserve">Z tego powodu na stronie internetowej EJN w sekcji – </w:t>
      </w:r>
      <w:r w:rsidRPr="00815672">
        <w:rPr>
          <w:rFonts w:ascii="Times New Roman" w:hAnsi="Times New Roman"/>
          <w:b/>
          <w:sz w:val="28"/>
        </w:rPr>
        <w:t>Kompendium</w:t>
      </w:r>
      <w:r w:rsidRPr="00815672">
        <w:rPr>
          <w:rFonts w:ascii="Times New Roman" w:hAnsi="Times New Roman"/>
          <w:sz w:val="28"/>
        </w:rPr>
        <w:t xml:space="preserve"> – istnieje możliwość sporządzenia wniosku w zależności od tego, czy organ rozpatrujący wniosek ma siedzibę w państwie członkowskim UE, Norwegii czy państwie spoza UE.</w:t>
      </w:r>
    </w:p>
    <w:p w14:paraId="107ED23B" w14:textId="77777777" w:rsidR="008C28C5" w:rsidRPr="00815672" w:rsidRDefault="008C28C5" w:rsidP="008A7C0A">
      <w:pPr>
        <w:spacing w:line="240" w:lineRule="auto"/>
        <w:jc w:val="both"/>
        <w:rPr>
          <w:rFonts w:ascii="Times New Roman" w:hAnsi="Times New Roman" w:cs="Times New Roman"/>
          <w:sz w:val="28"/>
          <w:szCs w:val="28"/>
        </w:rPr>
      </w:pPr>
    </w:p>
    <w:tbl>
      <w:tblPr>
        <w:tblW w:w="91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0"/>
      </w:tblGrid>
      <w:tr w:rsidR="00D14C39" w:rsidRPr="00815672" w14:paraId="4A193CE7" w14:textId="77777777" w:rsidTr="008A7C0A">
        <w:trPr>
          <w:trHeight w:val="425"/>
        </w:trPr>
        <w:tc>
          <w:tcPr>
            <w:tcW w:w="91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07C42BD" w14:textId="7BF1A670" w:rsidR="00D14C39" w:rsidRPr="00815672" w:rsidRDefault="00D14C39" w:rsidP="008A7C0A">
            <w:pPr>
              <w:spacing w:after="0" w:line="240" w:lineRule="auto"/>
              <w:ind w:left="84"/>
              <w:jc w:val="both"/>
              <w:rPr>
                <w:rFonts w:ascii="Times New Roman" w:hAnsi="Times New Roman" w:cs="Times New Roman"/>
                <w:sz w:val="28"/>
                <w:szCs w:val="28"/>
              </w:rPr>
            </w:pPr>
            <w:r w:rsidRPr="00815672">
              <w:rPr>
                <w:rFonts w:ascii="Times New Roman" w:hAnsi="Times New Roman"/>
                <w:b/>
                <w:sz w:val="28"/>
              </w:rPr>
              <w:t>Podręcznik użytkownika Kompendium</w:t>
            </w:r>
            <w:r w:rsidRPr="00815672">
              <w:rPr>
                <w:rFonts w:ascii="Times New Roman" w:hAnsi="Times New Roman"/>
                <w:sz w:val="28"/>
              </w:rPr>
              <w:t xml:space="preserve"> jest </w:t>
            </w:r>
            <w:hyperlink r:id="rId64" w:history="1">
              <w:r w:rsidRPr="00815672">
                <w:rPr>
                  <w:rStyle w:val="Hipercze"/>
                  <w:rFonts w:ascii="Times New Roman" w:hAnsi="Times New Roman"/>
                  <w:sz w:val="28"/>
                </w:rPr>
                <w:t>dostępny na tej samej stronie internetowej</w:t>
              </w:r>
            </w:hyperlink>
            <w:r w:rsidRPr="00815672">
              <w:rPr>
                <w:rFonts w:ascii="Times New Roman" w:hAnsi="Times New Roman"/>
                <w:sz w:val="28"/>
              </w:rPr>
              <w:t>.</w:t>
            </w:r>
          </w:p>
        </w:tc>
      </w:tr>
    </w:tbl>
    <w:p w14:paraId="1758607A" w14:textId="17014061" w:rsidR="008C28C5" w:rsidRPr="00815672" w:rsidRDefault="008C28C5" w:rsidP="0074607F">
      <w:pPr>
        <w:spacing w:line="240" w:lineRule="auto"/>
        <w:jc w:val="both"/>
        <w:rPr>
          <w:rFonts w:ascii="Times New Roman" w:hAnsi="Times New Roman" w:cs="Times New Roman"/>
          <w:sz w:val="28"/>
          <w:szCs w:val="28"/>
        </w:rPr>
      </w:pPr>
    </w:p>
    <w:p w14:paraId="260F80B0" w14:textId="77777777" w:rsidR="008C28C5" w:rsidRPr="00815672" w:rsidRDefault="008C28C5">
      <w:pPr>
        <w:rPr>
          <w:rFonts w:ascii="Times New Roman" w:hAnsi="Times New Roman" w:cs="Times New Roman"/>
          <w:sz w:val="28"/>
          <w:szCs w:val="28"/>
        </w:rPr>
      </w:pPr>
      <w:r w:rsidRPr="00815672">
        <w:br w:type="page"/>
      </w:r>
    </w:p>
    <w:p w14:paraId="675DDD57" w14:textId="095D0816" w:rsidR="005A194C" w:rsidRPr="00815672" w:rsidRDefault="008C28C5" w:rsidP="004D0EA9">
      <w:pPr>
        <w:jc w:val="both"/>
        <w:rPr>
          <w:rFonts w:ascii="Times New Roman" w:hAnsi="Times New Roman" w:cs="Times New Roman"/>
          <w:i/>
          <w:color w:val="2F5496" w:themeColor="accent1" w:themeShade="BF"/>
          <w:sz w:val="28"/>
          <w:szCs w:val="28"/>
        </w:rPr>
      </w:pPr>
      <w:r w:rsidRPr="00815672">
        <w:rPr>
          <w:rFonts w:ascii="Times New Roman" w:hAnsi="Times New Roman"/>
          <w:b/>
          <w:i/>
          <w:color w:val="2F5496" w:themeColor="accent1" w:themeShade="BF"/>
          <w:sz w:val="28"/>
        </w:rPr>
        <w:lastRenderedPageBreak/>
        <w:t>P5.</w:t>
      </w:r>
      <w:r w:rsidRPr="00815672">
        <w:rPr>
          <w:rFonts w:ascii="Times New Roman" w:hAnsi="Times New Roman"/>
          <w:i/>
          <w:color w:val="2F5496" w:themeColor="accent1" w:themeShade="BF"/>
          <w:sz w:val="28"/>
        </w:rPr>
        <w:t xml:space="preserve"> Wypełnić wnioski niezbędne do przesłuchania świadka i podejrzanego.</w:t>
      </w:r>
    </w:p>
    <w:p w14:paraId="7718D2F8" w14:textId="1C30CDEB" w:rsidR="00353CD7" w:rsidRPr="00815672" w:rsidRDefault="00353CD7" w:rsidP="008C28C5">
      <w:pPr>
        <w:spacing w:line="240" w:lineRule="auto"/>
        <w:jc w:val="both"/>
        <w:rPr>
          <w:rFonts w:ascii="Times New Roman" w:hAnsi="Times New Roman" w:cs="Times New Roman"/>
          <w:sz w:val="28"/>
          <w:szCs w:val="28"/>
        </w:rPr>
      </w:pPr>
      <w:r w:rsidRPr="00815672">
        <w:rPr>
          <w:rFonts w:ascii="Times New Roman" w:hAnsi="Times New Roman"/>
          <w:sz w:val="28"/>
        </w:rPr>
        <w:t>Uczestnicy będą musieli wypełnić wniosek w celu przesłuchania świadka i/lub podejrzanego przez wzajemną pomoc prawną.</w:t>
      </w:r>
    </w:p>
    <w:p w14:paraId="2DD1242A" w14:textId="3E53FE28" w:rsidR="00BE2FBB" w:rsidRPr="00815672" w:rsidRDefault="00353CD7" w:rsidP="008C28C5">
      <w:pPr>
        <w:spacing w:line="240" w:lineRule="auto"/>
        <w:jc w:val="both"/>
        <w:rPr>
          <w:rFonts w:ascii="Times New Roman" w:hAnsi="Times New Roman" w:cs="Times New Roman"/>
          <w:sz w:val="28"/>
          <w:szCs w:val="28"/>
        </w:rPr>
      </w:pPr>
      <w:r w:rsidRPr="00815672">
        <w:rPr>
          <w:rFonts w:ascii="Times New Roman" w:hAnsi="Times New Roman"/>
          <w:sz w:val="28"/>
          <w:u w:val="single"/>
        </w:rPr>
        <w:t>Uwagi przy wypełnianiu wniosków do przesłuchania świadka i podejrzanego</w:t>
      </w:r>
      <w:r w:rsidRPr="00815672">
        <w:rPr>
          <w:rFonts w:ascii="Times New Roman" w:hAnsi="Times New Roman"/>
          <w:sz w:val="28"/>
        </w:rPr>
        <w:t xml:space="preserve">: </w:t>
      </w:r>
    </w:p>
    <w:p w14:paraId="5894C81B" w14:textId="597FD993" w:rsidR="00353CD7" w:rsidRPr="00815672" w:rsidRDefault="00353CD7" w:rsidP="0013415C">
      <w:pPr>
        <w:pStyle w:val="Akapitzlist"/>
        <w:numPr>
          <w:ilvl w:val="0"/>
          <w:numId w:val="3"/>
        </w:numPr>
        <w:contextualSpacing w:val="0"/>
        <w:jc w:val="both"/>
        <w:rPr>
          <w:rFonts w:ascii="Times New Roman" w:hAnsi="Times New Roman" w:cs="Times New Roman"/>
          <w:sz w:val="28"/>
          <w:szCs w:val="28"/>
        </w:rPr>
      </w:pPr>
      <w:r w:rsidRPr="00815672">
        <w:rPr>
          <w:rFonts w:ascii="Times New Roman" w:hAnsi="Times New Roman"/>
          <w:sz w:val="28"/>
        </w:rPr>
        <w:t xml:space="preserve">Przy wypełnianiu wniosku o wzajemną pomoc prawną w sekcji – </w:t>
      </w:r>
      <w:r w:rsidRPr="00815672">
        <w:rPr>
          <w:rFonts w:ascii="Times New Roman" w:hAnsi="Times New Roman"/>
          <w:b/>
          <w:sz w:val="28"/>
        </w:rPr>
        <w:t>Organ wnioskujący</w:t>
      </w:r>
      <w:r w:rsidRPr="00815672">
        <w:rPr>
          <w:rFonts w:ascii="Times New Roman" w:hAnsi="Times New Roman"/>
          <w:sz w:val="28"/>
        </w:rPr>
        <w:t xml:space="preserve"> – należy podać wszystkie dane krajowego organu sądowego właściwego do prowadzenia dochodzenia w sprawie przestępstw przewidzianych w scenariuszu przypadku </w:t>
      </w:r>
      <w:r w:rsidRPr="00815672">
        <w:rPr>
          <w:rFonts w:ascii="Times New Roman" w:hAnsi="Times New Roman"/>
          <w:b/>
          <w:sz w:val="28"/>
          <w:u w:val="single"/>
        </w:rPr>
        <w:t xml:space="preserve">z kraju, w którym odbywa się seminarium </w:t>
      </w:r>
      <w:r w:rsidRPr="00815672">
        <w:rPr>
          <w:rFonts w:ascii="Times New Roman" w:hAnsi="Times New Roman"/>
          <w:b/>
          <w:bCs/>
          <w:sz w:val="28"/>
          <w:u w:val="single"/>
        </w:rPr>
        <w:t>(!!!</w:t>
      </w:r>
      <w:r w:rsidRPr="00815672">
        <w:rPr>
          <w:rFonts w:ascii="Times New Roman" w:hAnsi="Times New Roman"/>
          <w:b/>
          <w:sz w:val="28"/>
          <w:u w:val="single"/>
        </w:rPr>
        <w:t xml:space="preserve"> Jedynie w przypadku, gdy seminarium odbywa się w Rumunii, organ wnioskujący pozostaje ten sam, co w scenariuszu przypadku)</w:t>
      </w:r>
      <w:r w:rsidRPr="00815672">
        <w:rPr>
          <w:rFonts w:ascii="Times New Roman" w:hAnsi="Times New Roman"/>
          <w:sz w:val="28"/>
          <w:u w:val="single"/>
        </w:rPr>
        <w:t>.</w:t>
      </w:r>
    </w:p>
    <w:p w14:paraId="5ECD93DD" w14:textId="4EFCA226" w:rsidR="00353CD7" w:rsidRPr="00815672" w:rsidRDefault="00353CD7" w:rsidP="0013415C">
      <w:pPr>
        <w:pStyle w:val="Akapitzlist"/>
        <w:numPr>
          <w:ilvl w:val="0"/>
          <w:numId w:val="3"/>
        </w:numPr>
        <w:contextualSpacing w:val="0"/>
        <w:jc w:val="both"/>
        <w:rPr>
          <w:rFonts w:ascii="Times New Roman" w:hAnsi="Times New Roman" w:cs="Times New Roman"/>
          <w:sz w:val="28"/>
          <w:szCs w:val="28"/>
        </w:rPr>
      </w:pPr>
      <w:r w:rsidRPr="00815672">
        <w:rPr>
          <w:rFonts w:ascii="Times New Roman" w:hAnsi="Times New Roman"/>
          <w:sz w:val="28"/>
        </w:rPr>
        <w:t xml:space="preserve">Sekcja – </w:t>
      </w:r>
      <w:r w:rsidRPr="00815672">
        <w:rPr>
          <w:rFonts w:ascii="Times New Roman" w:hAnsi="Times New Roman"/>
          <w:b/>
          <w:bCs/>
          <w:sz w:val="28"/>
        </w:rPr>
        <w:t>Organ rozpatrujący wniosek</w:t>
      </w:r>
      <w:r w:rsidRPr="00815672">
        <w:rPr>
          <w:rFonts w:ascii="Times New Roman" w:hAnsi="Times New Roman"/>
          <w:sz w:val="28"/>
        </w:rPr>
        <w:t xml:space="preserve"> – zostanie wypełniona informacjami zawartymi w pytaniu c).</w:t>
      </w:r>
    </w:p>
    <w:p w14:paraId="0FAE803F" w14:textId="77777777" w:rsidR="00353CD7" w:rsidRPr="00815672" w:rsidRDefault="00353CD7" w:rsidP="0013415C">
      <w:pPr>
        <w:pStyle w:val="Akapitzlist"/>
        <w:numPr>
          <w:ilvl w:val="0"/>
          <w:numId w:val="3"/>
        </w:numPr>
        <w:contextualSpacing w:val="0"/>
        <w:jc w:val="both"/>
        <w:rPr>
          <w:rFonts w:ascii="Times New Roman" w:hAnsi="Times New Roman" w:cs="Times New Roman"/>
          <w:sz w:val="28"/>
          <w:szCs w:val="28"/>
        </w:rPr>
      </w:pPr>
      <w:r w:rsidRPr="00815672">
        <w:rPr>
          <w:rFonts w:ascii="Times New Roman" w:hAnsi="Times New Roman"/>
          <w:sz w:val="28"/>
        </w:rPr>
        <w:t xml:space="preserve">Sekcja – </w:t>
      </w:r>
      <w:r w:rsidRPr="00815672">
        <w:rPr>
          <w:rFonts w:ascii="Times New Roman" w:hAnsi="Times New Roman"/>
          <w:b/>
          <w:sz w:val="28"/>
        </w:rPr>
        <w:t>Środek, którego dotyczy wniosek</w:t>
      </w:r>
      <w:r w:rsidRPr="00815672">
        <w:rPr>
          <w:rFonts w:ascii="Times New Roman" w:hAnsi="Times New Roman"/>
          <w:sz w:val="28"/>
        </w:rPr>
        <w:t xml:space="preserve"> – 703. Przesłuchiwanie świadków: za pośrednictwem wideokonferencji lub numeru 711. Przesłuchanie podejrzanych/osób oskarżonych: w formie wideokonferencji, w zależności od wniosku.</w:t>
      </w:r>
    </w:p>
    <w:p w14:paraId="347AA723" w14:textId="7E5A4BCA" w:rsidR="00353CD7" w:rsidRPr="00815672" w:rsidRDefault="00353CD7" w:rsidP="0013415C">
      <w:pPr>
        <w:pStyle w:val="Akapitzlist"/>
        <w:numPr>
          <w:ilvl w:val="0"/>
          <w:numId w:val="3"/>
        </w:numPr>
        <w:contextualSpacing w:val="0"/>
        <w:jc w:val="both"/>
        <w:rPr>
          <w:rFonts w:ascii="Times New Roman" w:hAnsi="Times New Roman" w:cs="Times New Roman"/>
          <w:sz w:val="28"/>
          <w:szCs w:val="28"/>
        </w:rPr>
      </w:pPr>
      <w:r w:rsidRPr="00815672">
        <w:rPr>
          <w:rFonts w:ascii="Times New Roman" w:hAnsi="Times New Roman"/>
          <w:sz w:val="28"/>
        </w:rPr>
        <w:t xml:space="preserve">Sekcja – </w:t>
      </w:r>
      <w:r w:rsidRPr="00815672">
        <w:rPr>
          <w:rFonts w:ascii="Times New Roman" w:hAnsi="Times New Roman"/>
          <w:b/>
          <w:sz w:val="28"/>
        </w:rPr>
        <w:t>Osoby zainteresowane</w:t>
      </w:r>
      <w:r w:rsidRPr="00815672">
        <w:rPr>
          <w:rFonts w:ascii="Times New Roman" w:hAnsi="Times New Roman"/>
          <w:sz w:val="28"/>
        </w:rPr>
        <w:t xml:space="preserve"> – proszę wpisać dane dwóch podejrzanych i świadka (osoba 1, 2 i 3). Proszę dodać przypadkowe szczegóły, jeśli brakuje ich w scenariuszu przypadku.</w:t>
      </w:r>
    </w:p>
    <w:p w14:paraId="606AB0AC" w14:textId="1F6A698F" w:rsidR="00353CD7" w:rsidRPr="00815672" w:rsidRDefault="00353CD7" w:rsidP="0013415C">
      <w:pPr>
        <w:pStyle w:val="Akapitzlist"/>
        <w:numPr>
          <w:ilvl w:val="0"/>
          <w:numId w:val="3"/>
        </w:numPr>
        <w:contextualSpacing w:val="0"/>
        <w:jc w:val="both"/>
        <w:rPr>
          <w:rFonts w:ascii="Times New Roman" w:hAnsi="Times New Roman" w:cs="Times New Roman"/>
          <w:sz w:val="28"/>
          <w:szCs w:val="28"/>
        </w:rPr>
      </w:pPr>
      <w:r w:rsidRPr="00815672">
        <w:rPr>
          <w:rFonts w:ascii="Times New Roman" w:hAnsi="Times New Roman"/>
          <w:sz w:val="28"/>
        </w:rPr>
        <w:t xml:space="preserve">Sekcja – </w:t>
      </w:r>
      <w:r w:rsidRPr="00815672">
        <w:rPr>
          <w:rFonts w:ascii="Times New Roman" w:hAnsi="Times New Roman"/>
          <w:b/>
          <w:sz w:val="28"/>
        </w:rPr>
        <w:t xml:space="preserve">Pilność / Poufność – </w:t>
      </w:r>
      <w:r w:rsidRPr="00815672">
        <w:rPr>
          <w:rFonts w:ascii="Times New Roman" w:hAnsi="Times New Roman"/>
          <w:sz w:val="28"/>
        </w:rPr>
        <w:t>wypełnij Tak lub Nie, w zależności od przepisów obowiązujących w danym kraju. W przypadku zaznaczenia opcji Tak w którymkolwiek z dwóch pól – uczestnicy wskażą, czy istnieje termin proceduralny oraz powody pilności lub poufności.</w:t>
      </w:r>
    </w:p>
    <w:p w14:paraId="33BDCD31" w14:textId="1DE9CAA3" w:rsidR="0085718C" w:rsidRPr="00815672" w:rsidRDefault="00353CD7" w:rsidP="0013415C">
      <w:pPr>
        <w:pStyle w:val="Akapitzlist"/>
        <w:numPr>
          <w:ilvl w:val="0"/>
          <w:numId w:val="3"/>
        </w:numPr>
        <w:contextualSpacing w:val="0"/>
        <w:jc w:val="both"/>
        <w:rPr>
          <w:rFonts w:ascii="Times New Roman" w:hAnsi="Times New Roman" w:cs="Times New Roman"/>
          <w:sz w:val="28"/>
          <w:szCs w:val="28"/>
        </w:rPr>
      </w:pPr>
      <w:r w:rsidRPr="00815672">
        <w:rPr>
          <w:rFonts w:ascii="Times New Roman" w:hAnsi="Times New Roman"/>
          <w:sz w:val="28"/>
        </w:rPr>
        <w:t xml:space="preserve">Sekcja – </w:t>
      </w:r>
      <w:r w:rsidRPr="00815672">
        <w:rPr>
          <w:rFonts w:ascii="Times New Roman" w:hAnsi="Times New Roman"/>
          <w:b/>
          <w:sz w:val="28"/>
        </w:rPr>
        <w:t>Podstawa prawna wniosku</w:t>
      </w:r>
      <w:r w:rsidRPr="00815672">
        <w:rPr>
          <w:rFonts w:ascii="Times New Roman" w:hAnsi="Times New Roman"/>
          <w:sz w:val="28"/>
        </w:rPr>
        <w:t xml:space="preserve"> – w zależności od wniosku:</w:t>
      </w:r>
    </w:p>
    <w:p w14:paraId="58F1650A" w14:textId="77777777" w:rsidR="0085718C" w:rsidRPr="00815672" w:rsidRDefault="00353CD7" w:rsidP="0013415C">
      <w:pPr>
        <w:pStyle w:val="Akapitzlist"/>
        <w:numPr>
          <w:ilvl w:val="0"/>
          <w:numId w:val="13"/>
        </w:numPr>
        <w:contextualSpacing w:val="0"/>
        <w:jc w:val="both"/>
        <w:rPr>
          <w:rFonts w:ascii="Times New Roman" w:hAnsi="Times New Roman" w:cs="Times New Roman"/>
          <w:sz w:val="28"/>
          <w:szCs w:val="28"/>
        </w:rPr>
      </w:pPr>
      <w:r w:rsidRPr="00815672">
        <w:rPr>
          <w:rFonts w:ascii="Times New Roman" w:hAnsi="Times New Roman"/>
          <w:sz w:val="28"/>
        </w:rPr>
        <w:t xml:space="preserve">dla wniosku – przesłuchanie świadka w formie wideokonferencji – jest Konwencja z 2000 r. (z wyjątkiem Chorwacji, gdzie podstawą prawną jest Drugi protokół dodatkowy do Europejskiej konwencji o pomocy prawnej w sprawach karnych, Strasburg, 8 listopada 2001 r.), </w:t>
      </w:r>
    </w:p>
    <w:p w14:paraId="780890D8" w14:textId="3D48FD8C" w:rsidR="00353CD7" w:rsidRPr="00815672" w:rsidRDefault="00353CD7" w:rsidP="0013415C">
      <w:pPr>
        <w:pStyle w:val="Akapitzlist"/>
        <w:numPr>
          <w:ilvl w:val="0"/>
          <w:numId w:val="13"/>
        </w:numPr>
        <w:contextualSpacing w:val="0"/>
        <w:jc w:val="both"/>
        <w:rPr>
          <w:rFonts w:ascii="Times New Roman" w:hAnsi="Times New Roman" w:cs="Times New Roman"/>
          <w:sz w:val="28"/>
          <w:szCs w:val="28"/>
        </w:rPr>
      </w:pPr>
      <w:r w:rsidRPr="00815672">
        <w:rPr>
          <w:rFonts w:ascii="Times New Roman" w:hAnsi="Times New Roman"/>
          <w:sz w:val="28"/>
        </w:rPr>
        <w:t>dla wniosku – przesłuchanie podejrzanego w formie wideokonferencji to konwencja z 2000 r.</w:t>
      </w:r>
    </w:p>
    <w:p w14:paraId="7BA9B0EA" w14:textId="5E0A7F39" w:rsidR="00353CD7" w:rsidRPr="00815672" w:rsidRDefault="00353CD7" w:rsidP="0074607F">
      <w:pPr>
        <w:pStyle w:val="Akapitzlist"/>
        <w:ind w:left="1080"/>
        <w:contextualSpacing w:val="0"/>
        <w:jc w:val="both"/>
        <w:rPr>
          <w:rFonts w:ascii="Times New Roman" w:hAnsi="Times New Roman" w:cs="Times New Roman"/>
          <w:sz w:val="28"/>
          <w:szCs w:val="28"/>
        </w:rPr>
      </w:pPr>
      <w:r w:rsidRPr="00815672">
        <w:rPr>
          <w:rFonts w:ascii="Times New Roman" w:hAnsi="Times New Roman"/>
          <w:sz w:val="28"/>
        </w:rPr>
        <w:t xml:space="preserve">Jeśli istnieje dwustronny/wielostronny traktat pomiędzy Twoim krajem a krajem rozpatrującym wniosek, którego dotyczy scenariusz, </w:t>
      </w:r>
      <w:r w:rsidRPr="00815672">
        <w:rPr>
          <w:rFonts w:ascii="Times New Roman" w:hAnsi="Times New Roman"/>
          <w:sz w:val="28"/>
          <w:u w:val="single"/>
        </w:rPr>
        <w:lastRenderedPageBreak/>
        <w:t>uczestnicy wskażą traktat/konwencję/umowę lub inny instrument międzynarodowy istniejący pomiędzy dwoma krajami</w:t>
      </w:r>
    </w:p>
    <w:p w14:paraId="37F50A5A" w14:textId="0992AF42" w:rsidR="00353CD7" w:rsidRPr="00815672" w:rsidRDefault="00353CD7" w:rsidP="0013415C">
      <w:pPr>
        <w:pStyle w:val="Akapitzlist"/>
        <w:numPr>
          <w:ilvl w:val="0"/>
          <w:numId w:val="3"/>
        </w:numPr>
        <w:contextualSpacing w:val="0"/>
        <w:jc w:val="both"/>
        <w:rPr>
          <w:rFonts w:ascii="Times New Roman" w:hAnsi="Times New Roman" w:cs="Times New Roman"/>
          <w:sz w:val="28"/>
          <w:szCs w:val="28"/>
        </w:rPr>
      </w:pPr>
      <w:r w:rsidRPr="00815672">
        <w:rPr>
          <w:rFonts w:ascii="Times New Roman" w:hAnsi="Times New Roman"/>
          <w:sz w:val="28"/>
        </w:rPr>
        <w:t xml:space="preserve">Wypełniając </w:t>
      </w:r>
      <w:r w:rsidR="00F51758" w:rsidRPr="00815672">
        <w:rPr>
          <w:rFonts w:ascii="Times New Roman" w:hAnsi="Times New Roman"/>
          <w:sz w:val="28"/>
        </w:rPr>
        <w:t xml:space="preserve">sekcję </w:t>
      </w:r>
      <w:r w:rsidRPr="00815672">
        <w:rPr>
          <w:rFonts w:ascii="Times New Roman" w:hAnsi="Times New Roman"/>
          <w:sz w:val="28"/>
        </w:rPr>
        <w:t xml:space="preserve">– </w:t>
      </w:r>
      <w:r w:rsidRPr="00815672">
        <w:rPr>
          <w:rFonts w:ascii="Times New Roman" w:hAnsi="Times New Roman"/>
          <w:b/>
          <w:sz w:val="28"/>
        </w:rPr>
        <w:t>Fakty i kwalifikacja</w:t>
      </w:r>
      <w:r w:rsidRPr="00815672">
        <w:rPr>
          <w:rFonts w:ascii="Times New Roman" w:hAnsi="Times New Roman"/>
          <w:sz w:val="28"/>
        </w:rPr>
        <w:t xml:space="preserve"> – uczestnicy przedstawią przepisy krajowe mające zastosowanie do faktów opisanych w scenariuszu przypadku.</w:t>
      </w:r>
    </w:p>
    <w:p w14:paraId="4E9AF696" w14:textId="2923F374" w:rsidR="00353CD7" w:rsidRPr="00815672" w:rsidRDefault="00353CD7" w:rsidP="0013415C">
      <w:pPr>
        <w:pStyle w:val="Akapitzlist"/>
        <w:numPr>
          <w:ilvl w:val="0"/>
          <w:numId w:val="3"/>
        </w:numPr>
        <w:contextualSpacing w:val="0"/>
        <w:jc w:val="both"/>
        <w:rPr>
          <w:rFonts w:ascii="Times New Roman" w:hAnsi="Times New Roman" w:cs="Times New Roman"/>
          <w:sz w:val="28"/>
          <w:szCs w:val="28"/>
        </w:rPr>
      </w:pPr>
      <w:r w:rsidRPr="00815672">
        <w:rPr>
          <w:rFonts w:ascii="Times New Roman" w:hAnsi="Times New Roman"/>
          <w:sz w:val="28"/>
        </w:rPr>
        <w:t xml:space="preserve">Wypełniając sekcję – </w:t>
      </w:r>
      <w:r w:rsidRPr="00815672">
        <w:rPr>
          <w:rFonts w:ascii="Times New Roman" w:hAnsi="Times New Roman"/>
          <w:b/>
          <w:sz w:val="28"/>
        </w:rPr>
        <w:t>Specjalne formalności wymagane na m</w:t>
      </w:r>
      <w:r w:rsidR="00166EED" w:rsidRPr="00815672">
        <w:rPr>
          <w:rFonts w:ascii="Times New Roman" w:hAnsi="Times New Roman"/>
          <w:b/>
          <w:sz w:val="28"/>
        </w:rPr>
        <w:t>ocy prawa państwa wnioskującego</w:t>
      </w:r>
      <w:r w:rsidRPr="00815672">
        <w:rPr>
          <w:rFonts w:ascii="Times New Roman" w:hAnsi="Times New Roman"/>
          <w:sz w:val="28"/>
        </w:rPr>
        <w:t xml:space="preserve"> – uczestnicy przedstawią formalności przewidziane w prawie krajowym w odniesieniu do przesłuchania świadków lub podejrzanych (w stosownych przypadkach).</w:t>
      </w:r>
    </w:p>
    <w:p w14:paraId="29F2B4CE" w14:textId="3B4DD9F7" w:rsidR="00353CD7" w:rsidRPr="00815672" w:rsidRDefault="00353CD7" w:rsidP="0013415C">
      <w:pPr>
        <w:pStyle w:val="Akapitzlist"/>
        <w:numPr>
          <w:ilvl w:val="0"/>
          <w:numId w:val="3"/>
        </w:numPr>
        <w:contextualSpacing w:val="0"/>
        <w:jc w:val="both"/>
        <w:rPr>
          <w:rFonts w:ascii="Times New Roman" w:hAnsi="Times New Roman" w:cs="Times New Roman"/>
          <w:sz w:val="28"/>
          <w:szCs w:val="28"/>
        </w:rPr>
      </w:pPr>
      <w:r w:rsidRPr="00815672">
        <w:rPr>
          <w:rFonts w:ascii="Times New Roman" w:hAnsi="Times New Roman"/>
          <w:sz w:val="28"/>
        </w:rPr>
        <w:t xml:space="preserve">W sekcji – </w:t>
      </w:r>
      <w:r w:rsidRPr="00815672">
        <w:rPr>
          <w:rFonts w:ascii="Times New Roman" w:hAnsi="Times New Roman"/>
          <w:b/>
          <w:sz w:val="28"/>
        </w:rPr>
        <w:t xml:space="preserve">Inne zaangażowane organy – </w:t>
      </w:r>
      <w:r w:rsidRPr="00815672">
        <w:rPr>
          <w:rFonts w:ascii="Times New Roman" w:hAnsi="Times New Roman"/>
          <w:sz w:val="28"/>
        </w:rPr>
        <w:t>uczestnicy</w:t>
      </w:r>
      <w:r w:rsidRPr="00815672">
        <w:rPr>
          <w:rFonts w:ascii="Times New Roman" w:hAnsi="Times New Roman"/>
          <w:b/>
          <w:sz w:val="28"/>
        </w:rPr>
        <w:t xml:space="preserve"> </w:t>
      </w:r>
      <w:r w:rsidRPr="00815672">
        <w:rPr>
          <w:rFonts w:ascii="Times New Roman" w:hAnsi="Times New Roman"/>
          <w:sz w:val="28"/>
        </w:rPr>
        <w:t>wypełniają informacje o organie/organach przewidzianych w prawie krajowym (jeśli dotyczy). Uczestnicy określą rolę tych organów lub poproszą o pomoc w realizacji wniosku.</w:t>
      </w:r>
    </w:p>
    <w:p w14:paraId="5F0F1448" w14:textId="4F2B9812" w:rsidR="00353CD7" w:rsidRPr="00815672" w:rsidRDefault="00353CD7" w:rsidP="0013415C">
      <w:pPr>
        <w:pStyle w:val="Akapitzlist"/>
        <w:numPr>
          <w:ilvl w:val="0"/>
          <w:numId w:val="3"/>
        </w:numPr>
        <w:contextualSpacing w:val="0"/>
        <w:jc w:val="both"/>
        <w:rPr>
          <w:rFonts w:ascii="Times New Roman" w:hAnsi="Times New Roman" w:cs="Times New Roman"/>
          <w:b/>
          <w:bCs/>
          <w:sz w:val="28"/>
          <w:szCs w:val="28"/>
        </w:rPr>
      </w:pPr>
      <w:r w:rsidRPr="00815672">
        <w:rPr>
          <w:rFonts w:ascii="Times New Roman" w:hAnsi="Times New Roman"/>
          <w:sz w:val="28"/>
        </w:rPr>
        <w:t xml:space="preserve">W sekcji – </w:t>
      </w:r>
      <w:r w:rsidRPr="00815672">
        <w:rPr>
          <w:rFonts w:ascii="Times New Roman" w:hAnsi="Times New Roman"/>
          <w:b/>
          <w:sz w:val="28"/>
        </w:rPr>
        <w:t xml:space="preserve">Szczególne informacje potrzebne w przypadku wniosku o przesłuchanie w formie wideokonferencji – </w:t>
      </w:r>
      <w:r w:rsidRPr="00815672">
        <w:rPr>
          <w:rFonts w:ascii="Times New Roman" w:hAnsi="Times New Roman"/>
          <w:sz w:val="28"/>
        </w:rPr>
        <w:t>uczestnicy wypełniają stronę, podając wszelkie informacje dotyczące ich organu sądowego lub wszelkie informacje fikcyjne (jeśli nie są znane) dotyczące organu wnioskującego oraz wyrywkowe informacje dotyczące organu rozpatrującego wniosek i informacje sprzed spotkania, które nie są znane z przekazanej sprawy.</w:t>
      </w:r>
    </w:p>
    <w:p w14:paraId="6089F901" w14:textId="07A264A5" w:rsidR="00353CD7" w:rsidRPr="00815672" w:rsidRDefault="00353CD7" w:rsidP="0013415C">
      <w:pPr>
        <w:pStyle w:val="Akapitzlist"/>
        <w:numPr>
          <w:ilvl w:val="0"/>
          <w:numId w:val="3"/>
        </w:numPr>
        <w:contextualSpacing w:val="0"/>
        <w:jc w:val="both"/>
        <w:rPr>
          <w:rFonts w:ascii="Times New Roman" w:hAnsi="Times New Roman" w:cs="Times New Roman"/>
          <w:b/>
          <w:bCs/>
          <w:sz w:val="28"/>
          <w:szCs w:val="28"/>
        </w:rPr>
      </w:pPr>
      <w:r w:rsidRPr="00815672">
        <w:rPr>
          <w:rFonts w:ascii="Times New Roman" w:hAnsi="Times New Roman"/>
          <w:sz w:val="28"/>
        </w:rPr>
        <w:t xml:space="preserve">W sekcji </w:t>
      </w:r>
      <w:r w:rsidR="00166EED" w:rsidRPr="00815672">
        <w:rPr>
          <w:rFonts w:ascii="Times New Roman" w:hAnsi="Times New Roman"/>
          <w:b/>
          <w:sz w:val="28"/>
        </w:rPr>
        <w:t xml:space="preserve">Załączniki </w:t>
      </w:r>
      <w:r w:rsidRPr="00815672">
        <w:rPr>
          <w:rFonts w:ascii="Times New Roman" w:hAnsi="Times New Roman"/>
          <w:b/>
          <w:sz w:val="28"/>
        </w:rPr>
        <w:t xml:space="preserve">– </w:t>
      </w:r>
      <w:r w:rsidRPr="00815672">
        <w:rPr>
          <w:rFonts w:ascii="Times New Roman" w:hAnsi="Times New Roman"/>
          <w:sz w:val="28"/>
        </w:rPr>
        <w:t>jeśli wypełnione proszę podać nazwę załącznika.</w:t>
      </w:r>
    </w:p>
    <w:p w14:paraId="7007A787" w14:textId="6600379F" w:rsidR="008F3D5D" w:rsidRPr="00815672" w:rsidRDefault="00353CD7" w:rsidP="0013415C">
      <w:pPr>
        <w:pStyle w:val="Akapitzlist"/>
        <w:numPr>
          <w:ilvl w:val="0"/>
          <w:numId w:val="3"/>
        </w:numPr>
        <w:contextualSpacing w:val="0"/>
        <w:jc w:val="both"/>
        <w:rPr>
          <w:rFonts w:ascii="Times New Roman" w:hAnsi="Times New Roman" w:cs="Times New Roman"/>
          <w:b/>
          <w:bCs/>
          <w:sz w:val="28"/>
          <w:szCs w:val="28"/>
        </w:rPr>
      </w:pPr>
      <w:r w:rsidRPr="00815672">
        <w:rPr>
          <w:rFonts w:ascii="Times New Roman" w:hAnsi="Times New Roman"/>
          <w:sz w:val="28"/>
        </w:rPr>
        <w:t xml:space="preserve">W sekcji – </w:t>
      </w:r>
      <w:r w:rsidRPr="00815672">
        <w:rPr>
          <w:rFonts w:ascii="Times New Roman" w:hAnsi="Times New Roman"/>
          <w:b/>
          <w:sz w:val="28"/>
        </w:rPr>
        <w:t xml:space="preserve">Podpis / Pieczęć urzędowa – </w:t>
      </w:r>
      <w:r w:rsidRPr="00815672">
        <w:rPr>
          <w:rFonts w:ascii="Times New Roman" w:hAnsi="Times New Roman"/>
          <w:sz w:val="28"/>
        </w:rPr>
        <w:t>uczestnicy konkursu</w:t>
      </w:r>
      <w:r w:rsidRPr="00815672">
        <w:rPr>
          <w:rFonts w:ascii="Times New Roman" w:hAnsi="Times New Roman"/>
          <w:b/>
          <w:sz w:val="28"/>
        </w:rPr>
        <w:t xml:space="preserve"> </w:t>
      </w:r>
      <w:r w:rsidRPr="00815672">
        <w:rPr>
          <w:rFonts w:ascii="Times New Roman" w:hAnsi="Times New Roman"/>
          <w:sz w:val="28"/>
        </w:rPr>
        <w:t>wpisują losowo wybrane imię i nazwisko oraz stanowisko.</w:t>
      </w:r>
    </w:p>
    <w:p w14:paraId="301E0BE4" w14:textId="3162C633" w:rsidR="00A241FB" w:rsidRPr="00815672" w:rsidRDefault="00A241FB" w:rsidP="0074607F">
      <w:pPr>
        <w:rPr>
          <w:rFonts w:ascii="Times New Roman" w:hAnsi="Times New Roman" w:cs="Times New Roman"/>
          <w:sz w:val="28"/>
          <w:szCs w:val="28"/>
        </w:rPr>
      </w:pPr>
    </w:p>
    <w:p w14:paraId="4C96E5F1" w14:textId="25F4CC2C" w:rsidR="004D0EA9" w:rsidRPr="00815672" w:rsidRDefault="004D0EA9" w:rsidP="004D0EA9">
      <w:pPr>
        <w:jc w:val="both"/>
        <w:rPr>
          <w:rFonts w:ascii="Times New Roman" w:hAnsi="Times New Roman" w:cs="Times New Roman"/>
          <w:i/>
          <w:color w:val="2F5496" w:themeColor="accent1" w:themeShade="BF"/>
          <w:sz w:val="28"/>
          <w:szCs w:val="28"/>
        </w:rPr>
      </w:pPr>
      <w:r w:rsidRPr="00815672">
        <w:rPr>
          <w:rFonts w:ascii="Times New Roman" w:hAnsi="Times New Roman"/>
          <w:b/>
          <w:i/>
          <w:color w:val="2F5496" w:themeColor="accent1" w:themeShade="BF"/>
          <w:sz w:val="28"/>
        </w:rPr>
        <w:t>P6.</w:t>
      </w:r>
      <w:r w:rsidRPr="00815672">
        <w:rPr>
          <w:rFonts w:ascii="Times New Roman" w:hAnsi="Times New Roman"/>
          <w:i/>
          <w:color w:val="2F5496" w:themeColor="accent1" w:themeShade="BF"/>
          <w:sz w:val="28"/>
        </w:rPr>
        <w:t xml:space="preserve"> Czy istnieją jakieś terminy na wykonanie wzajemnej pomocy prawnej przez właściwe organy rozpatrujące wniosek?</w:t>
      </w:r>
    </w:p>
    <w:p w14:paraId="6EB90849" w14:textId="0FB92396" w:rsidR="000B7964" w:rsidRPr="00815672" w:rsidRDefault="000B7964" w:rsidP="004D0EA9">
      <w:pPr>
        <w:spacing w:line="240" w:lineRule="auto"/>
        <w:jc w:val="both"/>
        <w:rPr>
          <w:rFonts w:ascii="Times New Roman" w:hAnsi="Times New Roman" w:cs="Times New Roman"/>
          <w:sz w:val="28"/>
          <w:szCs w:val="28"/>
        </w:rPr>
      </w:pPr>
      <w:r w:rsidRPr="00815672">
        <w:rPr>
          <w:rFonts w:ascii="Times New Roman" w:hAnsi="Times New Roman"/>
          <w:sz w:val="28"/>
        </w:rPr>
        <w:t>Inaczej niż w dyrektywie 2014/41/UE dotyczącej europejskiego nakazu dochodzeniowego w sprawach karnych, w której wprowadzono wyraźne terminy uznania lub wykonania (zob. art. 12), ani konwencja z 2000 r., ani</w:t>
      </w:r>
      <w:r w:rsidRPr="00815672">
        <w:rPr>
          <w:rFonts w:ascii="Times New Roman" w:hAnsi="Times New Roman"/>
          <w:color w:val="333333"/>
          <w:sz w:val="17"/>
        </w:rPr>
        <w:t xml:space="preserve"> </w:t>
      </w:r>
      <w:r w:rsidRPr="00815672">
        <w:rPr>
          <w:rFonts w:ascii="Times New Roman" w:hAnsi="Times New Roman"/>
          <w:sz w:val="28"/>
        </w:rPr>
        <w:t>drugi protokół dodatkowy do Europejskiej konwencji o pomocy prawnej w sprawach karnych nie przewidują takich terminów na wykonanie wniosku.</w:t>
      </w:r>
    </w:p>
    <w:p w14:paraId="19493B4C" w14:textId="71F85F9E" w:rsidR="0074607F" w:rsidRPr="00815672" w:rsidRDefault="00084A56" w:rsidP="0074607F">
      <w:pPr>
        <w:spacing w:line="240" w:lineRule="auto"/>
        <w:jc w:val="both"/>
        <w:rPr>
          <w:rFonts w:ascii="Times New Roman" w:hAnsi="Times New Roman" w:cs="Times New Roman"/>
          <w:sz w:val="28"/>
          <w:szCs w:val="28"/>
        </w:rPr>
      </w:pPr>
      <w:r w:rsidRPr="00815672">
        <w:rPr>
          <w:rFonts w:ascii="Times New Roman" w:hAnsi="Times New Roman"/>
          <w:sz w:val="28"/>
        </w:rPr>
        <w:t>Co do zasady, wnioski są wykonywane jak najszybciej,</w:t>
      </w:r>
      <w:r w:rsidRPr="00815672">
        <w:rPr>
          <w:rFonts w:ascii="Times New Roman" w:hAnsi="Times New Roman"/>
          <w:sz w:val="28"/>
          <w:u w:val="single"/>
        </w:rPr>
        <w:t xml:space="preserve"> a jeśli to możliwe, w terminach wskazanych przez organ wydający nakaz</w:t>
      </w:r>
      <w:r w:rsidRPr="00815672">
        <w:rPr>
          <w:rFonts w:ascii="Times New Roman" w:hAnsi="Times New Roman"/>
          <w:sz w:val="28"/>
        </w:rPr>
        <w:t xml:space="preserve">. </w:t>
      </w:r>
    </w:p>
    <w:p w14:paraId="0ECFF4F8" w14:textId="5AF57461" w:rsidR="008F3D5D" w:rsidRPr="00815672" w:rsidRDefault="004D0EA9" w:rsidP="0074607F">
      <w:pPr>
        <w:rPr>
          <w:rFonts w:ascii="Times New Roman" w:hAnsi="Times New Roman" w:cs="Times New Roman"/>
          <w:sz w:val="28"/>
          <w:szCs w:val="28"/>
        </w:rPr>
      </w:pPr>
      <w:r w:rsidRPr="00815672">
        <w:br w:type="page"/>
      </w:r>
    </w:p>
    <w:p w14:paraId="30DFB322" w14:textId="2B4B81C0" w:rsidR="00BE2FBB" w:rsidRPr="00815672" w:rsidRDefault="000B7964" w:rsidP="0013415C">
      <w:pPr>
        <w:pStyle w:val="Akapitzlist"/>
        <w:numPr>
          <w:ilvl w:val="0"/>
          <w:numId w:val="4"/>
        </w:numPr>
        <w:spacing w:line="240" w:lineRule="auto"/>
        <w:contextualSpacing w:val="0"/>
        <w:jc w:val="both"/>
        <w:rPr>
          <w:rFonts w:ascii="Times New Roman" w:hAnsi="Times New Roman" w:cs="Times New Roman"/>
          <w:b/>
          <w:bCs/>
          <w:sz w:val="28"/>
          <w:szCs w:val="28"/>
        </w:rPr>
      </w:pPr>
      <w:r w:rsidRPr="00815672">
        <w:rPr>
          <w:rFonts w:ascii="Times New Roman" w:hAnsi="Times New Roman"/>
          <w:b/>
          <w:sz w:val="28"/>
        </w:rPr>
        <w:lastRenderedPageBreak/>
        <w:t>Konwencja o</w:t>
      </w:r>
      <w:r w:rsidRPr="00815672">
        <w:rPr>
          <w:rFonts w:ascii="Times New Roman" w:hAnsi="Times New Roman"/>
          <w:b/>
        </w:rPr>
        <w:t xml:space="preserve"> </w:t>
      </w:r>
      <w:r w:rsidRPr="00815672">
        <w:rPr>
          <w:rFonts w:ascii="Times New Roman" w:hAnsi="Times New Roman"/>
          <w:b/>
          <w:sz w:val="28"/>
        </w:rPr>
        <w:t>wzajemnej pomocy w sprawach karnych pomiędzy państwami członkowskimi UE (Konwencja z 2000 r.)</w:t>
      </w:r>
    </w:p>
    <w:p w14:paraId="23546213" w14:textId="637D7F00" w:rsidR="000B7964" w:rsidRPr="00815672" w:rsidRDefault="000B7964"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art. 4 ust. 2 stanowi, że państwo członkowskie rozpatrujące wniosek </w:t>
      </w:r>
      <w:r w:rsidRPr="00815672">
        <w:rPr>
          <w:rFonts w:ascii="Times New Roman" w:hAnsi="Times New Roman"/>
          <w:sz w:val="28"/>
          <w:u w:val="single"/>
        </w:rPr>
        <w:t>realizuje</w:t>
      </w:r>
      <w:r w:rsidRPr="00815672">
        <w:rPr>
          <w:rFonts w:ascii="Times New Roman" w:hAnsi="Times New Roman"/>
          <w:sz w:val="28"/>
        </w:rPr>
        <w:t xml:space="preserve"> wniosek o pomoc tak </w:t>
      </w:r>
      <w:r w:rsidRPr="00815672">
        <w:rPr>
          <w:rFonts w:ascii="Times New Roman" w:hAnsi="Times New Roman"/>
          <w:sz w:val="28"/>
          <w:u w:val="single"/>
        </w:rPr>
        <w:t>szybko</w:t>
      </w:r>
      <w:r w:rsidRPr="00815672">
        <w:rPr>
          <w:rFonts w:ascii="Times New Roman" w:hAnsi="Times New Roman"/>
          <w:sz w:val="28"/>
        </w:rPr>
        <w:t xml:space="preserve">, jak to możliwe, biorąc w jak największym stopniu pod uwagę terminy proceduralne i inne terminy wskazane przez wnioskujące państwo członkowskie. </w:t>
      </w:r>
    </w:p>
    <w:p w14:paraId="540E4F69" w14:textId="2974827E" w:rsidR="000B7964" w:rsidRPr="00815672" w:rsidRDefault="000B7964" w:rsidP="0074607F">
      <w:pPr>
        <w:spacing w:line="240" w:lineRule="auto"/>
        <w:jc w:val="both"/>
        <w:rPr>
          <w:rFonts w:ascii="Times New Roman" w:hAnsi="Times New Roman" w:cs="Times New Roman"/>
          <w:sz w:val="28"/>
          <w:szCs w:val="28"/>
        </w:rPr>
      </w:pPr>
      <w:r w:rsidRPr="00815672">
        <w:rPr>
          <w:rFonts w:ascii="Times New Roman" w:hAnsi="Times New Roman"/>
          <w:sz w:val="28"/>
        </w:rPr>
        <w:t>Jeżeli można przewidzieć, że termin wyznaczony przez wnioskujące państwo członkowskie na wykonanie jego wniosku nie może zostać dotrzymany, organy państwa członkowskiego rozpatrującego wniosek bezzwłocznie wskazują szacunkowy czas potrzebny na wykonanie wniosku. Organy wnioskującego państwa członkowskiego bezzwłocznie wskazują, czy wniosek ma zostać podtrzymany. Organy wnioskującego państwa członkowskiego i państwa członkowskiego rozpatrującego wniosek mogą następnie uzgodnić dalsze działania, które należy podjąć w związku z wnioskiem (art. 4 ust. 4).</w:t>
      </w:r>
    </w:p>
    <w:p w14:paraId="6DD7F5DF" w14:textId="38B35737" w:rsidR="00353CD7" w:rsidRPr="00815672" w:rsidRDefault="00353CD7" w:rsidP="0074607F">
      <w:pPr>
        <w:spacing w:line="240" w:lineRule="auto"/>
        <w:jc w:val="both"/>
        <w:rPr>
          <w:rFonts w:ascii="Times New Roman" w:hAnsi="Times New Roman" w:cs="Times New Roman"/>
          <w:sz w:val="28"/>
          <w:szCs w:val="28"/>
        </w:rPr>
      </w:pPr>
    </w:p>
    <w:p w14:paraId="222ACC4E" w14:textId="4C4F4D9F" w:rsidR="00B44C05" w:rsidRPr="00815672" w:rsidRDefault="00CA549D" w:rsidP="0013415C">
      <w:pPr>
        <w:pStyle w:val="Akapitzlist"/>
        <w:numPr>
          <w:ilvl w:val="0"/>
          <w:numId w:val="5"/>
        </w:numPr>
        <w:spacing w:line="240" w:lineRule="auto"/>
        <w:contextualSpacing w:val="0"/>
        <w:jc w:val="both"/>
        <w:rPr>
          <w:rFonts w:ascii="Times New Roman" w:hAnsi="Times New Roman" w:cs="Times New Roman"/>
          <w:b/>
          <w:bCs/>
          <w:sz w:val="28"/>
          <w:szCs w:val="28"/>
        </w:rPr>
      </w:pPr>
      <w:bookmarkStart w:id="7" w:name="_Hlk37168166"/>
      <w:r w:rsidRPr="00815672">
        <w:rPr>
          <w:rFonts w:ascii="Times New Roman" w:hAnsi="Times New Roman"/>
          <w:b/>
          <w:sz w:val="28"/>
        </w:rPr>
        <w:t xml:space="preserve">Drugi protokół dodatkowy do Europejskiej konwencji o pomocy prawnej w sprawach karnych </w:t>
      </w:r>
      <w:bookmarkEnd w:id="7"/>
    </w:p>
    <w:p w14:paraId="4DA4F30D" w14:textId="2CB5B3E0" w:rsidR="00A241FB" w:rsidRPr="00815672" w:rsidRDefault="00CA549D" w:rsidP="0074607F">
      <w:pPr>
        <w:spacing w:line="240" w:lineRule="auto"/>
        <w:jc w:val="both"/>
        <w:rPr>
          <w:rFonts w:ascii="Times New Roman" w:hAnsi="Times New Roman" w:cs="Times New Roman"/>
          <w:sz w:val="28"/>
          <w:szCs w:val="28"/>
        </w:rPr>
      </w:pPr>
      <w:r w:rsidRPr="00815672">
        <w:rPr>
          <w:rFonts w:ascii="Times New Roman" w:hAnsi="Times New Roman"/>
          <w:sz w:val="28"/>
        </w:rPr>
        <w:t>W konwencji nie przewidziano żadnych terminów na wykonanie wniosku, co oznacza, że wnioski mają być wykonywane jak najszybciej, a jeśli to możliwe, w terminach wskazanych przez organ wydający nakaz.</w:t>
      </w:r>
    </w:p>
    <w:p w14:paraId="51C254B1" w14:textId="77777777" w:rsidR="00A241FB" w:rsidRPr="00815672" w:rsidRDefault="00A241FB" w:rsidP="0074607F">
      <w:pPr>
        <w:spacing w:line="240" w:lineRule="auto"/>
        <w:jc w:val="both"/>
        <w:rPr>
          <w:rFonts w:ascii="Times New Roman" w:hAnsi="Times New Roman" w:cs="Times New Roman"/>
          <w:sz w:val="28"/>
          <w:szCs w:val="28"/>
        </w:rPr>
      </w:pPr>
    </w:p>
    <w:p w14:paraId="2348F9EB" w14:textId="77777777" w:rsidR="004D0EA9" w:rsidRPr="00815672" w:rsidRDefault="004D0EA9" w:rsidP="004D0EA9">
      <w:pPr>
        <w:jc w:val="both"/>
        <w:rPr>
          <w:rFonts w:ascii="Times New Roman" w:hAnsi="Times New Roman" w:cs="Times New Roman"/>
          <w:i/>
          <w:color w:val="2F5496" w:themeColor="accent1" w:themeShade="BF"/>
          <w:sz w:val="28"/>
          <w:szCs w:val="28"/>
        </w:rPr>
      </w:pPr>
      <w:r w:rsidRPr="00815672">
        <w:rPr>
          <w:rFonts w:ascii="Times New Roman" w:hAnsi="Times New Roman"/>
          <w:i/>
          <w:color w:val="2F5496" w:themeColor="accent1" w:themeShade="BF"/>
          <w:sz w:val="28"/>
        </w:rPr>
        <w:t>P7. Jakie zasady i wymogi będą miały zastosowanie w przypadku przesłuchania świadka lub podejrzanego?</w:t>
      </w:r>
    </w:p>
    <w:p w14:paraId="0578F561" w14:textId="4C0D124A" w:rsidR="00084A56" w:rsidRPr="00815672" w:rsidRDefault="005E435A" w:rsidP="004D0EA9">
      <w:pPr>
        <w:spacing w:line="240" w:lineRule="auto"/>
        <w:jc w:val="both"/>
        <w:rPr>
          <w:rFonts w:ascii="Times New Roman" w:hAnsi="Times New Roman" w:cs="Times New Roman"/>
          <w:i/>
          <w:iCs/>
          <w:sz w:val="28"/>
          <w:szCs w:val="28"/>
        </w:rPr>
      </w:pPr>
      <w:r w:rsidRPr="00815672">
        <w:rPr>
          <w:rFonts w:ascii="Times New Roman" w:hAnsi="Times New Roman"/>
          <w:sz w:val="28"/>
        </w:rPr>
        <w:t xml:space="preserve">W celu zapewnienia dopuszczalności uzyskanych dowodów organy państwa rozpatrującego wniosek dopełniają </w:t>
      </w:r>
      <w:r w:rsidRPr="00815672">
        <w:rPr>
          <w:rFonts w:ascii="Times New Roman" w:hAnsi="Times New Roman"/>
          <w:sz w:val="28"/>
          <w:u w:val="single"/>
        </w:rPr>
        <w:t>formalności i przestrzegają procedur wskazanych przez organy państwa wnioskującego</w:t>
      </w:r>
      <w:r w:rsidRPr="00815672">
        <w:rPr>
          <w:rFonts w:ascii="Times New Roman" w:hAnsi="Times New Roman"/>
          <w:sz w:val="28"/>
        </w:rPr>
        <w:t>, pod warunkiem że nie są one sprzeczne z podstawowymi zasadami prawa w państwie rozpatrujący wniosek</w:t>
      </w:r>
      <w:r w:rsidRPr="00815672">
        <w:rPr>
          <w:rFonts w:ascii="Times New Roman" w:hAnsi="Times New Roman"/>
          <w:i/>
          <w:sz w:val="28"/>
        </w:rPr>
        <w:t>.</w:t>
      </w:r>
    </w:p>
    <w:p w14:paraId="3C49F181" w14:textId="7BC2B5B4" w:rsidR="005E435A" w:rsidRPr="00815672" w:rsidRDefault="005E435A" w:rsidP="0074607F">
      <w:pPr>
        <w:spacing w:line="240" w:lineRule="auto"/>
        <w:jc w:val="both"/>
        <w:rPr>
          <w:rFonts w:ascii="Times New Roman" w:hAnsi="Times New Roman" w:cs="Times New Roman"/>
          <w:i/>
          <w:iCs/>
          <w:sz w:val="28"/>
          <w:szCs w:val="28"/>
        </w:rPr>
      </w:pPr>
    </w:p>
    <w:p w14:paraId="77C1C468" w14:textId="51AF16D4" w:rsidR="005E435A" w:rsidRPr="00815672" w:rsidRDefault="005E435A" w:rsidP="0013415C">
      <w:pPr>
        <w:pStyle w:val="Akapitzlist"/>
        <w:numPr>
          <w:ilvl w:val="0"/>
          <w:numId w:val="6"/>
        </w:numPr>
        <w:spacing w:line="240" w:lineRule="auto"/>
        <w:contextualSpacing w:val="0"/>
        <w:jc w:val="both"/>
        <w:rPr>
          <w:rFonts w:ascii="Times New Roman" w:hAnsi="Times New Roman" w:cs="Times New Roman"/>
          <w:b/>
          <w:bCs/>
          <w:i/>
          <w:iCs/>
          <w:sz w:val="28"/>
          <w:szCs w:val="28"/>
        </w:rPr>
      </w:pPr>
      <w:r w:rsidRPr="00815672">
        <w:rPr>
          <w:rFonts w:ascii="Times New Roman" w:hAnsi="Times New Roman"/>
          <w:b/>
          <w:i/>
          <w:sz w:val="28"/>
        </w:rPr>
        <w:t xml:space="preserve">Przesłuchanie świadka w formie wideokonferencji =&gt; art. 10 Konwencji z 2000 r. </w:t>
      </w:r>
    </w:p>
    <w:p w14:paraId="41AA7944" w14:textId="77777777" w:rsidR="005E435A" w:rsidRPr="00815672" w:rsidRDefault="005E435A" w:rsidP="0074607F">
      <w:pPr>
        <w:spacing w:line="240" w:lineRule="auto"/>
        <w:jc w:val="both"/>
        <w:rPr>
          <w:rFonts w:ascii="Times New Roman" w:hAnsi="Times New Roman" w:cs="Times New Roman"/>
          <w:i/>
          <w:iCs/>
          <w:sz w:val="28"/>
          <w:szCs w:val="28"/>
        </w:rPr>
      </w:pPr>
    </w:p>
    <w:p w14:paraId="002E7B4D" w14:textId="0AC43E51" w:rsidR="00397546" w:rsidRPr="00815672" w:rsidRDefault="00793433" w:rsidP="0074607F">
      <w:pPr>
        <w:spacing w:line="240" w:lineRule="auto"/>
        <w:jc w:val="both"/>
        <w:rPr>
          <w:rFonts w:ascii="Times New Roman" w:hAnsi="Times New Roman" w:cs="Times New Roman"/>
          <w:b/>
          <w:bCs/>
          <w:sz w:val="28"/>
          <w:szCs w:val="28"/>
        </w:rPr>
      </w:pPr>
      <w:r w:rsidRPr="00815672">
        <w:rPr>
          <w:rFonts w:ascii="Times New Roman" w:hAnsi="Times New Roman"/>
          <w:b/>
          <w:sz w:val="28"/>
        </w:rPr>
        <w:t>Stosowane warunki, zasady i wymagania:</w:t>
      </w:r>
    </w:p>
    <w:p w14:paraId="59997165" w14:textId="4005DE34" w:rsidR="00397546" w:rsidRPr="00815672" w:rsidRDefault="00397546" w:rsidP="0013415C">
      <w:pPr>
        <w:pStyle w:val="Akapitzlist"/>
        <w:numPr>
          <w:ilvl w:val="0"/>
          <w:numId w:val="7"/>
        </w:numPr>
        <w:spacing w:line="240" w:lineRule="auto"/>
        <w:contextualSpacing w:val="0"/>
        <w:jc w:val="both"/>
        <w:rPr>
          <w:rFonts w:ascii="Times New Roman" w:hAnsi="Times New Roman" w:cs="Times New Roman"/>
          <w:sz w:val="28"/>
          <w:szCs w:val="28"/>
        </w:rPr>
      </w:pPr>
      <w:bookmarkStart w:id="8" w:name="_Hlk37168951"/>
      <w:r w:rsidRPr="00815672">
        <w:rPr>
          <w:rFonts w:ascii="Times New Roman" w:hAnsi="Times New Roman"/>
          <w:sz w:val="28"/>
        </w:rPr>
        <w:t xml:space="preserve">Świadek przebywa na terytorium jednego państwa członkowskiego i musi zostać przesłuchany przez organy sądowe innego państwa członkowskiego. </w:t>
      </w:r>
    </w:p>
    <w:p w14:paraId="4EF50DC5" w14:textId="3C2A3CB8" w:rsidR="00397546" w:rsidRPr="00815672" w:rsidRDefault="00397546"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lastRenderedPageBreak/>
        <w:t>Nie jest pożądane ani możliwe, aby osoba, która ma zostać przesłuchana, stawiła się osobiście na terytorium wnioskującego państwa członkowskiego</w:t>
      </w:r>
      <w:bookmarkEnd w:id="8"/>
      <w:r w:rsidRPr="00815672">
        <w:rPr>
          <w:rFonts w:ascii="Times New Roman" w:hAnsi="Times New Roman"/>
          <w:sz w:val="28"/>
        </w:rPr>
        <w:t>.</w:t>
      </w:r>
    </w:p>
    <w:p w14:paraId="39C37E3E" w14:textId="450BAFE3" w:rsidR="005E435A" w:rsidRPr="00815672" w:rsidRDefault="005E435A"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Państwo członkowskie rozpatrujące wniosek wyraża zgodę na przesłuchanie w formie wideokonferencji, pod warunkiem że korzystanie z wideokonferencji nie jest sprzeczne z podstawowymi zasadami prawa tego państwa.</w:t>
      </w:r>
    </w:p>
    <w:p w14:paraId="6CC54B7B" w14:textId="6AD7C8CB" w:rsidR="00321261" w:rsidRPr="00815672" w:rsidRDefault="00321261"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Organ sądowy państwa członkowskiego rozpatrującego wniosek wzywa daną osobę do stawienia się zgodnie z formami określonymi w jego prawie.</w:t>
      </w:r>
    </w:p>
    <w:p w14:paraId="733F148C" w14:textId="66C6BDE4" w:rsidR="00C162BB" w:rsidRPr="00815672" w:rsidRDefault="00C162BB"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Organ sądowy państwa członkowskiego rozpatrującego wniosek jest obecny podczas przesłuchania, w razie potrzeby z pomocą tłumacza ustnego, i jest również odpowiedzialny za zapewnienie zarówno identyfikacji osoby, która ma zostać przesłuchana, jak i poszanowania podstawowych zasad prawa państwa członkowskiego rozpatrującego wniosek.</w:t>
      </w:r>
    </w:p>
    <w:p w14:paraId="716FB35D" w14:textId="4F0DC3B0" w:rsidR="00C162BB" w:rsidRPr="00815672" w:rsidRDefault="00C162BB"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Jeżeli organ sądowy państwa członkowskiego rozpatrującego wniosek jest zdania, że podczas przesłuchania naruszane są podstawowe zasady prawa państwa członkowskiego rozpatrującego wniosek niezwłocznie podejmuje środki niezbędne do zapewnienia, by przesłuchanie przebiegało zgodnie z tymi zasadami.</w:t>
      </w:r>
    </w:p>
    <w:p w14:paraId="5E190D54" w14:textId="0861F264" w:rsidR="00C162BB" w:rsidRPr="00815672" w:rsidRDefault="00C162BB"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Środki ochrony osoby, która ma być przesłuchana, są uzgadniane, w razie potrzeby, między właściwymi organami wnioskującego państwa członkowskiego i państwa członkowskiego rozpatrującego wniosek.</w:t>
      </w:r>
    </w:p>
    <w:p w14:paraId="309C9F0D" w14:textId="03CF0FD2" w:rsidR="00C162BB" w:rsidRPr="00815672" w:rsidRDefault="00C162BB"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Przesłuchanie jest prowadzone bezpośrednio przez organ sądowy wnioskującego państwa członkowskiego lub pod jego kierownictwem zgodnie z jego prawem krajowym.</w:t>
      </w:r>
    </w:p>
    <w:p w14:paraId="399E8C09" w14:textId="039C8B9B" w:rsidR="00C162BB" w:rsidRPr="00815672" w:rsidRDefault="00C162BB"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Na wniosek wnioskującego państwa członkowskiego lub osoby, która ma zostać wysłuchana, państwo członkowskie rozpatrujące wniosek zapewnia w razie potrzeby pomoc tłumacza ustnego osobie, która ma zostać wysłuchana.</w:t>
      </w:r>
    </w:p>
    <w:p w14:paraId="27A46990" w14:textId="37AAC885" w:rsidR="00C162BB" w:rsidRPr="00815672" w:rsidRDefault="00C162BB"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Osoba, która ma zostać przesłuchana, może powołać się na prawo do nieskładania zeznań, które przysługiwałoby jej na mocy prawa wnioskującego państwa członkowskiego lub państwa członkowskiego rozpatrującego wniosek.</w:t>
      </w:r>
    </w:p>
    <w:p w14:paraId="7D7B7258" w14:textId="77777777" w:rsidR="000F1055" w:rsidRPr="00815672" w:rsidRDefault="000F1055"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 xml:space="preserve">Organ sądowy państwa członkowskiego rozpatrującego wniosek po zakończeniu przesłuchania sporządza protokół, w którym podaje datę i miejsce przesłuchania, tożsamość osoby przesłuchiwanej, tożsamość i </w:t>
      </w:r>
      <w:r w:rsidRPr="00815672">
        <w:rPr>
          <w:rFonts w:ascii="Times New Roman" w:hAnsi="Times New Roman"/>
          <w:sz w:val="28"/>
        </w:rPr>
        <w:lastRenderedPageBreak/>
        <w:t xml:space="preserve">funkcje wszystkich innych osób w państwie członkowskim rozpatrującym wniosek uczestniczących w przesłuchaniu, złożone przysięgi oraz warunki techniczne, w jakich przesłuchanie się odbyło. </w:t>
      </w:r>
    </w:p>
    <w:p w14:paraId="2DDB7122" w14:textId="0FF2631C" w:rsidR="000F1055" w:rsidRPr="00815672" w:rsidRDefault="000F1055"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Dokument ten jest przekazywany przez właściwy organ państwa członkowskiego rozpatrującego wniosek wnioskującego państwa członkowskiego.</w:t>
      </w:r>
    </w:p>
    <w:p w14:paraId="60D0D647" w14:textId="3B1746E8" w:rsidR="000F1055" w:rsidRPr="00815672" w:rsidRDefault="000F1055"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Koszty ustanowienia łącza wideo, koszty związane z obsługą łącza wideo w państwie członkowskim rozpatrującym wniosek, wynagrodzenie tłumaczy ustnych zapewnianych przez to państwo oraz diety dla świadków i biegłych oraz koszty ich podróży do państwa członkowskiego rozpatrującego wniosek są zwracane przez wnioskujące państwo członkowskie państwu członkowskiemu rozpatrującemu wniosek, chyba że to ostatnie zrzeknie się zwrotu wszystkich lub niektórych z tych kosztów.</w:t>
      </w:r>
    </w:p>
    <w:p w14:paraId="0707FB57" w14:textId="77777777" w:rsidR="000C00A6" w:rsidRPr="00815672" w:rsidRDefault="000C00A6" w:rsidP="0074607F">
      <w:pPr>
        <w:spacing w:line="240" w:lineRule="auto"/>
        <w:jc w:val="both"/>
        <w:rPr>
          <w:rFonts w:ascii="Times New Roman" w:hAnsi="Times New Roman" w:cs="Times New Roman"/>
          <w:sz w:val="28"/>
          <w:szCs w:val="28"/>
        </w:rPr>
      </w:pPr>
    </w:p>
    <w:p w14:paraId="141F287C" w14:textId="4975D859" w:rsidR="000C00A6" w:rsidRPr="00815672" w:rsidRDefault="000C00A6" w:rsidP="0013415C">
      <w:pPr>
        <w:pStyle w:val="Akapitzlist"/>
        <w:numPr>
          <w:ilvl w:val="0"/>
          <w:numId w:val="6"/>
        </w:numPr>
        <w:spacing w:line="240" w:lineRule="auto"/>
        <w:contextualSpacing w:val="0"/>
        <w:jc w:val="both"/>
        <w:rPr>
          <w:rFonts w:ascii="Times New Roman" w:hAnsi="Times New Roman" w:cs="Times New Roman"/>
          <w:b/>
          <w:bCs/>
          <w:i/>
          <w:iCs/>
          <w:sz w:val="28"/>
          <w:szCs w:val="28"/>
        </w:rPr>
      </w:pPr>
      <w:r w:rsidRPr="00815672">
        <w:rPr>
          <w:rFonts w:ascii="Times New Roman" w:hAnsi="Times New Roman"/>
          <w:b/>
          <w:i/>
          <w:sz w:val="28"/>
        </w:rPr>
        <w:t>Przesłuchanie świadka w formie wideokonferencji =&gt; art. 9 ust. 1-7 Drugiego protokołu dodatkowego do Europejskiej konwencji o pomocy prawnej w sprawach karnych</w:t>
      </w:r>
    </w:p>
    <w:p w14:paraId="0A60DFBD" w14:textId="77777777" w:rsidR="000C00A6" w:rsidRPr="00815672" w:rsidRDefault="000C00A6" w:rsidP="0074607F">
      <w:pPr>
        <w:spacing w:line="240" w:lineRule="auto"/>
        <w:jc w:val="both"/>
        <w:rPr>
          <w:rFonts w:ascii="Times New Roman" w:hAnsi="Times New Roman" w:cs="Times New Roman"/>
          <w:i/>
          <w:iCs/>
          <w:sz w:val="28"/>
          <w:szCs w:val="28"/>
        </w:rPr>
      </w:pPr>
    </w:p>
    <w:p w14:paraId="4173FC19" w14:textId="0F91BCA1" w:rsidR="000C00A6" w:rsidRPr="00815672" w:rsidRDefault="000C00A6" w:rsidP="0074607F">
      <w:pPr>
        <w:spacing w:line="240" w:lineRule="auto"/>
        <w:jc w:val="both"/>
        <w:rPr>
          <w:rFonts w:ascii="Times New Roman" w:hAnsi="Times New Roman" w:cs="Times New Roman"/>
          <w:b/>
          <w:bCs/>
          <w:sz w:val="28"/>
          <w:szCs w:val="28"/>
        </w:rPr>
      </w:pPr>
      <w:r w:rsidRPr="00815672">
        <w:rPr>
          <w:rFonts w:ascii="Times New Roman" w:hAnsi="Times New Roman"/>
          <w:b/>
          <w:sz w:val="28"/>
        </w:rPr>
        <w:t>Stosowane warunki, zasady i wymagania:</w:t>
      </w:r>
    </w:p>
    <w:p w14:paraId="07B22627" w14:textId="77777777" w:rsidR="000C00A6" w:rsidRPr="00815672" w:rsidRDefault="000C00A6"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 xml:space="preserve">Świadek przebywa na terytorium jednego państwa członkowskiego i musi zostać przesłuchany przez organy sądowe innego państwa członkowskiego. </w:t>
      </w:r>
    </w:p>
    <w:p w14:paraId="586E6C3A" w14:textId="2BF95550" w:rsidR="000C00A6" w:rsidRPr="00815672" w:rsidRDefault="000C00A6"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Nie jest pożądane ani możliwe, aby osoba, która ma zostać przesłuchana, stawiła się osobiście na terytorium wnioskującego państwa członkowskiego.</w:t>
      </w:r>
    </w:p>
    <w:p w14:paraId="4242FFAA" w14:textId="77777777" w:rsidR="000C00A6" w:rsidRPr="00815672" w:rsidRDefault="000C00A6"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Państwo członkowskie rozpatrujące wniosek wyraża zgodę na przesłuchanie w formie wideokonferencji, pod warunkiem że korzystanie z wideokonferencji nie jest sprzeczne z podstawowymi zasadami prawa tego państwa.</w:t>
      </w:r>
    </w:p>
    <w:p w14:paraId="5294E6A7" w14:textId="1FFD772E" w:rsidR="000C00A6" w:rsidRPr="00815672" w:rsidRDefault="000C00A6"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 xml:space="preserve">Wnioski o przesłuchanie w formie wideokonferencji zawierają powód, dla którego świadek lub biegły nie powinien lub nie może uczestniczyć w przesłuchaniu osobiście, nazwę organu sądowego oraz osób, które będą prowadzić przesłuchanie. </w:t>
      </w:r>
    </w:p>
    <w:p w14:paraId="4333C543" w14:textId="77777777" w:rsidR="000C00A6" w:rsidRPr="00815672" w:rsidRDefault="000C00A6"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Organ sądowy Strony rozpatrującej wniosek wzywa daną osobę do stawienia się w formie przewidzianej przez jej prawo.</w:t>
      </w:r>
    </w:p>
    <w:p w14:paraId="78E3B7DD" w14:textId="77777777" w:rsidR="000C00A6" w:rsidRPr="00815672" w:rsidRDefault="000C00A6"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lastRenderedPageBreak/>
        <w:t xml:space="preserve"> Organ sądowy Strony rozpatrującej wniosek jest obecny podczas przesłuchania, w razie potrzeby z pomocą tłumacza ustnego, i jest również odpowiedzialny za zapewnienie zarówno identyfikacji osoby, która ma zostać przesłuchana, jak i poszanowania podstawowych zasad prawa Strony rozpatrującej wniosek. </w:t>
      </w:r>
    </w:p>
    <w:p w14:paraId="3D28DEE7" w14:textId="77777777" w:rsidR="000C00A6" w:rsidRPr="00815672" w:rsidRDefault="000C00A6"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 xml:space="preserve">Jeżeli organ sądowy Strony rozpatrującej wniosek jest zdania, że podczas przesłuchania naruszane są podstawowe zasady prawa Strony rozpatrującej wniosek, podejmuje niezwłocznie środki niezbędne do zapewnienia, aby przesłuchanie przebiegało zgodnie z tymi zasadami; </w:t>
      </w:r>
    </w:p>
    <w:p w14:paraId="5550E5F3" w14:textId="17796F8F" w:rsidR="000C00A6" w:rsidRPr="00815672" w:rsidRDefault="000C00A6"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 xml:space="preserve">Środki ochrony osoby, która ma być przesłuchana, są uzgadniane, w razie potrzeby, między właściwymi organami Strony wnioskującej i rozpatrującej wniosek </w:t>
      </w:r>
    </w:p>
    <w:p w14:paraId="435F76F6" w14:textId="77777777" w:rsidR="000C00A6" w:rsidRPr="00815672" w:rsidRDefault="000C00A6"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Przesłuchanie jest przeprowadzane bezpośrednio przez organ sądowy Strony wnioskującej lub pod jego kierownictwem, zgodnie z przepisami prawa tej Strony</w:t>
      </w:r>
    </w:p>
    <w:p w14:paraId="077F3E4D" w14:textId="77777777" w:rsidR="000C00A6" w:rsidRPr="00815672" w:rsidRDefault="000C00A6"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 xml:space="preserve">Po zakończeniu przesłuchania organ sądowy Strony rozpatrującej wniosek sporządza protokół, w którym podaje datę i miejsce przesłuchania, tożsamość przesłuchiwanej osoby, tożsamość i funkcje wszystkich innych osób Strony rozpatrującej wniosek uczestniczących w przesłuchaniu, złożone przysięgi oraz warunki techniczne, w jakich przesłuchanie się odbyło. </w:t>
      </w:r>
    </w:p>
    <w:p w14:paraId="33CFE263" w14:textId="10660831" w:rsidR="000C00A6" w:rsidRPr="00815672" w:rsidRDefault="000C00A6" w:rsidP="0013415C">
      <w:pPr>
        <w:pStyle w:val="Akapitzlist"/>
        <w:numPr>
          <w:ilvl w:val="0"/>
          <w:numId w:val="7"/>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 xml:space="preserve">Dokument ten jest przekazywany przez właściwy organ Strony rozpatrującej wniosek właściwemu organowi Strony wnioskującej. </w:t>
      </w:r>
    </w:p>
    <w:p w14:paraId="659BB0BC" w14:textId="77777777" w:rsidR="00397546" w:rsidRPr="00815672" w:rsidRDefault="00397546" w:rsidP="0074607F">
      <w:pPr>
        <w:spacing w:line="240" w:lineRule="auto"/>
        <w:jc w:val="both"/>
        <w:rPr>
          <w:rFonts w:ascii="Times New Roman" w:hAnsi="Times New Roman" w:cs="Times New Roman"/>
          <w:sz w:val="28"/>
          <w:szCs w:val="28"/>
        </w:rPr>
      </w:pPr>
    </w:p>
    <w:p w14:paraId="2B016DF2" w14:textId="64F3EB5B" w:rsidR="001A00C5" w:rsidRPr="00815672" w:rsidRDefault="001A00C5" w:rsidP="0013415C">
      <w:pPr>
        <w:pStyle w:val="Akapitzlist"/>
        <w:numPr>
          <w:ilvl w:val="0"/>
          <w:numId w:val="6"/>
        </w:numPr>
        <w:spacing w:line="240" w:lineRule="auto"/>
        <w:contextualSpacing w:val="0"/>
        <w:jc w:val="both"/>
        <w:rPr>
          <w:rFonts w:ascii="Times New Roman" w:hAnsi="Times New Roman" w:cs="Times New Roman"/>
          <w:b/>
          <w:bCs/>
          <w:i/>
          <w:iCs/>
          <w:sz w:val="28"/>
          <w:szCs w:val="28"/>
        </w:rPr>
      </w:pPr>
      <w:r w:rsidRPr="00815672">
        <w:rPr>
          <w:rFonts w:ascii="Times New Roman" w:hAnsi="Times New Roman"/>
          <w:b/>
          <w:i/>
          <w:sz w:val="28"/>
        </w:rPr>
        <w:t>Przesłuchanie podejrzanego w formie wideokonferencji =&gt; art. 10 ust. 9 Konwencji z 2000 r.</w:t>
      </w:r>
    </w:p>
    <w:p w14:paraId="51AD5687" w14:textId="5EEC8CFF" w:rsidR="001A00C5" w:rsidRPr="00815672" w:rsidRDefault="001A00C5" w:rsidP="0074607F">
      <w:pPr>
        <w:pStyle w:val="Akapitzlist"/>
        <w:spacing w:line="240" w:lineRule="auto"/>
        <w:contextualSpacing w:val="0"/>
        <w:jc w:val="both"/>
        <w:rPr>
          <w:rFonts w:ascii="Times New Roman" w:hAnsi="Times New Roman" w:cs="Times New Roman"/>
          <w:b/>
          <w:bCs/>
          <w:i/>
          <w:iCs/>
          <w:sz w:val="28"/>
          <w:szCs w:val="28"/>
        </w:rPr>
      </w:pPr>
      <w:r w:rsidRPr="00815672">
        <w:rPr>
          <w:rFonts w:ascii="Times New Roman" w:hAnsi="Times New Roman"/>
          <w:b/>
          <w:i/>
          <w:sz w:val="28"/>
        </w:rPr>
        <w:t xml:space="preserve"> </w:t>
      </w:r>
    </w:p>
    <w:p w14:paraId="0587DD0D" w14:textId="75F291EB" w:rsidR="00F2717C" w:rsidRPr="00815672" w:rsidRDefault="00F2717C"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Państwa członkowskie mogą również, według własnego uznania, stosować postanowienia 10 konwencji z 2000 r., </w:t>
      </w:r>
      <w:r w:rsidRPr="00815672">
        <w:rPr>
          <w:rFonts w:ascii="Times New Roman" w:hAnsi="Times New Roman"/>
          <w:sz w:val="28"/>
          <w:u w:val="single"/>
        </w:rPr>
        <w:t>w stosownych przypadkach</w:t>
      </w:r>
      <w:r w:rsidRPr="00815672">
        <w:rPr>
          <w:rFonts w:ascii="Times New Roman" w:hAnsi="Times New Roman"/>
          <w:sz w:val="28"/>
        </w:rPr>
        <w:t xml:space="preserve"> i </w:t>
      </w:r>
      <w:r w:rsidRPr="00815672">
        <w:rPr>
          <w:rFonts w:ascii="Times New Roman" w:hAnsi="Times New Roman"/>
          <w:sz w:val="28"/>
          <w:u w:val="single"/>
        </w:rPr>
        <w:t>za zgodą właściwych organów sądowych</w:t>
      </w:r>
      <w:r w:rsidRPr="00815672">
        <w:rPr>
          <w:rFonts w:ascii="Times New Roman" w:hAnsi="Times New Roman"/>
          <w:sz w:val="28"/>
        </w:rPr>
        <w:t xml:space="preserve">, </w:t>
      </w:r>
      <w:r w:rsidRPr="00815672">
        <w:rPr>
          <w:rFonts w:ascii="Times New Roman" w:hAnsi="Times New Roman"/>
          <w:b/>
          <w:sz w:val="28"/>
        </w:rPr>
        <w:t>do przesłuchań oskarżonego w formie wideokonferencji</w:t>
      </w:r>
      <w:r w:rsidRPr="00815672">
        <w:rPr>
          <w:rFonts w:ascii="Times New Roman" w:hAnsi="Times New Roman"/>
          <w:sz w:val="28"/>
        </w:rPr>
        <w:t xml:space="preserve">. W takim przypadku decyzja o przeprowadzeniu wideokonferencji oraz sposób jej przeprowadzenia podlegają </w:t>
      </w:r>
      <w:r w:rsidRPr="00815672">
        <w:rPr>
          <w:rFonts w:ascii="Times New Roman" w:hAnsi="Times New Roman"/>
          <w:b/>
          <w:sz w:val="28"/>
          <w:u w:val="single"/>
        </w:rPr>
        <w:t>porozumieniu</w:t>
      </w:r>
      <w:r w:rsidRPr="00815672">
        <w:rPr>
          <w:rFonts w:ascii="Times New Roman" w:hAnsi="Times New Roman"/>
          <w:sz w:val="28"/>
        </w:rPr>
        <w:t xml:space="preserve"> między zainteresowanymi państwami członkowskimi, zgodnie z ich prawem krajowym i odpowiednimi instrumentami międzynarodowymi, w tym europejską konwencją o ochronie praw człowieka i podstawowych wolności z 1950 r.</w:t>
      </w:r>
    </w:p>
    <w:p w14:paraId="152D8DFA" w14:textId="6B2DC3A5" w:rsidR="005E435A" w:rsidRPr="00815672" w:rsidRDefault="00F2717C" w:rsidP="0074607F">
      <w:pPr>
        <w:spacing w:line="240" w:lineRule="auto"/>
        <w:jc w:val="both"/>
        <w:rPr>
          <w:rFonts w:ascii="Times New Roman" w:hAnsi="Times New Roman" w:cs="Times New Roman"/>
          <w:sz w:val="28"/>
          <w:szCs w:val="28"/>
        </w:rPr>
      </w:pPr>
      <w:r w:rsidRPr="00815672">
        <w:rPr>
          <w:rFonts w:ascii="Times New Roman" w:hAnsi="Times New Roman"/>
          <w:sz w:val="28"/>
        </w:rPr>
        <w:t xml:space="preserve">Każde państwo członkowskie może, dokonując powiadomienia zgodnie z art. 27 ust. 2, oświadczyć, że nie będzie stosować akapitu pierwszego. </w:t>
      </w:r>
      <w:r w:rsidRPr="00815672">
        <w:rPr>
          <w:rFonts w:ascii="Times New Roman" w:hAnsi="Times New Roman"/>
          <w:sz w:val="28"/>
        </w:rPr>
        <w:lastRenderedPageBreak/>
        <w:t xml:space="preserve">Oświadczenie takie może zostać wycofane w dowolnym momencie. Przesłuchania przeprowadza się wyłącznie </w:t>
      </w:r>
      <w:r w:rsidRPr="00815672">
        <w:rPr>
          <w:rFonts w:ascii="Times New Roman" w:hAnsi="Times New Roman"/>
          <w:b/>
          <w:sz w:val="28"/>
          <w:u w:val="single"/>
        </w:rPr>
        <w:t>za zgodą osoby oskarżonej</w:t>
      </w:r>
      <w:r w:rsidRPr="00815672">
        <w:rPr>
          <w:rFonts w:ascii="Times New Roman" w:hAnsi="Times New Roman"/>
          <w:sz w:val="28"/>
        </w:rPr>
        <w:t>. Przepisy, które mogą okazać się niezbędne do ochrony praw osób oskarżonych, Rada przyjmuje w prawnie wiążącym akcie.</w:t>
      </w:r>
    </w:p>
    <w:p w14:paraId="424A2A76" w14:textId="77777777" w:rsidR="00D74806" w:rsidRPr="00815672" w:rsidRDefault="00D74806" w:rsidP="0074607F">
      <w:pPr>
        <w:spacing w:line="240" w:lineRule="auto"/>
        <w:jc w:val="both"/>
        <w:rPr>
          <w:rFonts w:ascii="Times New Roman" w:hAnsi="Times New Roman" w:cs="Times New Roman"/>
          <w:sz w:val="28"/>
          <w:szCs w:val="28"/>
        </w:rPr>
      </w:pPr>
    </w:p>
    <w:p w14:paraId="03395050" w14:textId="259750FD" w:rsidR="002C1778" w:rsidRPr="00815672" w:rsidRDefault="00793433" w:rsidP="0074607F">
      <w:pPr>
        <w:spacing w:line="240" w:lineRule="auto"/>
        <w:jc w:val="both"/>
        <w:rPr>
          <w:rFonts w:ascii="Times New Roman" w:hAnsi="Times New Roman" w:cs="Times New Roman"/>
          <w:b/>
          <w:bCs/>
          <w:sz w:val="28"/>
          <w:szCs w:val="28"/>
        </w:rPr>
      </w:pPr>
      <w:r w:rsidRPr="00815672">
        <w:rPr>
          <w:rFonts w:ascii="Times New Roman" w:hAnsi="Times New Roman"/>
          <w:b/>
          <w:sz w:val="28"/>
        </w:rPr>
        <w:t>Warunki, zasady i wymagania:</w:t>
      </w:r>
    </w:p>
    <w:p w14:paraId="19305905" w14:textId="3F0D77DC" w:rsidR="00FF2A5E" w:rsidRPr="00815672" w:rsidRDefault="00FF2A5E" w:rsidP="0013415C">
      <w:pPr>
        <w:pStyle w:val="Akapitzlist"/>
        <w:numPr>
          <w:ilvl w:val="0"/>
          <w:numId w:val="8"/>
        </w:numPr>
        <w:contextualSpacing w:val="0"/>
        <w:jc w:val="both"/>
        <w:rPr>
          <w:rFonts w:ascii="Times New Roman" w:hAnsi="Times New Roman" w:cs="Times New Roman"/>
          <w:sz w:val="28"/>
          <w:szCs w:val="28"/>
        </w:rPr>
      </w:pPr>
      <w:r w:rsidRPr="00815672">
        <w:rPr>
          <w:rFonts w:ascii="Times New Roman" w:hAnsi="Times New Roman"/>
          <w:sz w:val="28"/>
        </w:rPr>
        <w:t xml:space="preserve">Podejrzany przebywa na terytorium jednego państwa członkowskiego i musi zostać przesłuchany przez organy sądowe innego państwa członkowskiego. </w:t>
      </w:r>
    </w:p>
    <w:p w14:paraId="02CB98A0" w14:textId="02BC10BC" w:rsidR="00FF2A5E" w:rsidRPr="00815672" w:rsidRDefault="00FF2A5E" w:rsidP="0013415C">
      <w:pPr>
        <w:pStyle w:val="Akapitzlist"/>
        <w:numPr>
          <w:ilvl w:val="0"/>
          <w:numId w:val="8"/>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Nie jest pożądane ani możliwe, aby osoba, która ma zostać przesłuchana, stawiła się osobiście na terytorium wnioskującego państwa członkowskiego.</w:t>
      </w:r>
    </w:p>
    <w:p w14:paraId="14BEA0F7" w14:textId="53721257" w:rsidR="002C1778" w:rsidRPr="00815672" w:rsidRDefault="001408A8" w:rsidP="0013415C">
      <w:pPr>
        <w:pStyle w:val="Akapitzlist"/>
        <w:numPr>
          <w:ilvl w:val="0"/>
          <w:numId w:val="8"/>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Państwo członkowskie rozpatrujące wniosek uznaje przesłuchanie za stosowne i posiada zgodę swoich właściwych organów sądowych na jego przeprowadzenie.</w:t>
      </w:r>
    </w:p>
    <w:p w14:paraId="24DEF23F" w14:textId="11C3033A" w:rsidR="002C1778" w:rsidRPr="00815672" w:rsidRDefault="0007616A" w:rsidP="0013415C">
      <w:pPr>
        <w:pStyle w:val="Akapitzlist"/>
        <w:numPr>
          <w:ilvl w:val="0"/>
          <w:numId w:val="8"/>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Musi istnieć porozumienie między zaangażowanymi właściwymi organami sądowymi w sprawie przeprowadzenia wideokonferencji.</w:t>
      </w:r>
    </w:p>
    <w:p w14:paraId="69460105" w14:textId="12768FC6" w:rsidR="002C1778" w:rsidRPr="00815672" w:rsidRDefault="002C1778" w:rsidP="0013415C">
      <w:pPr>
        <w:pStyle w:val="Akapitzlist"/>
        <w:numPr>
          <w:ilvl w:val="0"/>
          <w:numId w:val="8"/>
        </w:numPr>
        <w:spacing w:line="240" w:lineRule="auto"/>
        <w:contextualSpacing w:val="0"/>
        <w:jc w:val="both"/>
        <w:rPr>
          <w:rFonts w:ascii="Times New Roman" w:hAnsi="Times New Roman" w:cs="Times New Roman"/>
          <w:sz w:val="28"/>
          <w:szCs w:val="28"/>
        </w:rPr>
      </w:pPr>
      <w:r w:rsidRPr="00815672">
        <w:rPr>
          <w:rFonts w:ascii="Times New Roman" w:hAnsi="Times New Roman"/>
          <w:sz w:val="28"/>
          <w:u w:val="single"/>
        </w:rPr>
        <w:t xml:space="preserve">Zainteresowane strony powinny dojść </w:t>
      </w:r>
      <w:r w:rsidRPr="00815672">
        <w:rPr>
          <w:rFonts w:ascii="Times New Roman" w:hAnsi="Times New Roman"/>
          <w:sz w:val="28"/>
        </w:rPr>
        <w:t>do porozumienia w sprawie sposobu przeprowadzenia wideokonferencji.</w:t>
      </w:r>
    </w:p>
    <w:p w14:paraId="7100D2D3" w14:textId="5B112261" w:rsidR="00F53EAA" w:rsidRPr="00815672" w:rsidRDefault="002C1778" w:rsidP="0013415C">
      <w:pPr>
        <w:pStyle w:val="Akapitzlist"/>
        <w:numPr>
          <w:ilvl w:val="0"/>
          <w:numId w:val="8"/>
        </w:numPr>
        <w:spacing w:line="240" w:lineRule="auto"/>
        <w:contextualSpacing w:val="0"/>
        <w:jc w:val="both"/>
        <w:rPr>
          <w:rFonts w:ascii="Times New Roman" w:hAnsi="Times New Roman" w:cs="Times New Roman"/>
          <w:sz w:val="28"/>
          <w:szCs w:val="28"/>
        </w:rPr>
      </w:pPr>
      <w:r w:rsidRPr="00815672">
        <w:rPr>
          <w:rFonts w:ascii="Times New Roman" w:hAnsi="Times New Roman"/>
          <w:sz w:val="28"/>
        </w:rPr>
        <w:t>Zgoda podejrzanego.</w:t>
      </w:r>
    </w:p>
    <w:p w14:paraId="3B60BFB3" w14:textId="2C6D0F3F" w:rsidR="00713D99" w:rsidRPr="00815672" w:rsidRDefault="00713D99">
      <w:pPr>
        <w:rPr>
          <w:rFonts w:ascii="Times New Roman" w:hAnsi="Times New Roman" w:cs="Times New Roman"/>
          <w:sz w:val="28"/>
          <w:szCs w:val="28"/>
        </w:rPr>
      </w:pPr>
    </w:p>
    <w:sectPr w:rsidR="00713D99" w:rsidRPr="00815672" w:rsidSect="002A7CAA">
      <w:footerReference w:type="default" r:id="rId6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A7588" w14:textId="77777777" w:rsidR="00800598" w:rsidRDefault="00800598" w:rsidP="00012C6A">
      <w:pPr>
        <w:spacing w:after="0" w:line="240" w:lineRule="auto"/>
      </w:pPr>
      <w:r>
        <w:separator/>
      </w:r>
    </w:p>
  </w:endnote>
  <w:endnote w:type="continuationSeparator" w:id="0">
    <w:p w14:paraId="61B4325D" w14:textId="77777777" w:rsidR="00800598" w:rsidRDefault="00800598" w:rsidP="00012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105969"/>
      <w:docPartObj>
        <w:docPartGallery w:val="Page Numbers (Bottom of Page)"/>
        <w:docPartUnique/>
      </w:docPartObj>
    </w:sdtPr>
    <w:sdtEndPr>
      <w:rPr>
        <w:rFonts w:ascii="Times New Roman" w:hAnsi="Times New Roman" w:cs="Times New Roman"/>
        <w:b/>
        <w:noProof/>
        <w:sz w:val="24"/>
        <w:szCs w:val="24"/>
      </w:rPr>
    </w:sdtEndPr>
    <w:sdtContent>
      <w:p w14:paraId="475BF83E" w14:textId="2E926711" w:rsidR="00876B6E" w:rsidRPr="002A7CAA" w:rsidRDefault="00876B6E">
        <w:pPr>
          <w:pStyle w:val="Stopka"/>
          <w:jc w:val="right"/>
          <w:rPr>
            <w:rFonts w:ascii="Times New Roman" w:hAnsi="Times New Roman" w:cs="Times New Roman"/>
            <w:b/>
            <w:sz w:val="24"/>
            <w:szCs w:val="24"/>
          </w:rPr>
        </w:pPr>
        <w:r w:rsidRPr="002A7CAA">
          <w:rPr>
            <w:rFonts w:ascii="Times New Roman" w:hAnsi="Times New Roman" w:cs="Times New Roman"/>
            <w:b/>
            <w:sz w:val="24"/>
          </w:rPr>
          <w:fldChar w:fldCharType="begin"/>
        </w:r>
        <w:r w:rsidRPr="002A7CAA">
          <w:rPr>
            <w:rFonts w:ascii="Times New Roman" w:hAnsi="Times New Roman" w:cs="Times New Roman"/>
            <w:b/>
            <w:sz w:val="24"/>
          </w:rPr>
          <w:instrText xml:space="preserve"> PAGE   \* MERGEFORMAT </w:instrText>
        </w:r>
        <w:r w:rsidRPr="002A7CAA">
          <w:rPr>
            <w:rFonts w:ascii="Times New Roman" w:hAnsi="Times New Roman" w:cs="Times New Roman"/>
            <w:b/>
            <w:sz w:val="24"/>
          </w:rPr>
          <w:fldChar w:fldCharType="separate"/>
        </w:r>
        <w:r w:rsidR="0051356D">
          <w:rPr>
            <w:rFonts w:ascii="Times New Roman" w:hAnsi="Times New Roman" w:cs="Times New Roman"/>
            <w:b/>
            <w:noProof/>
            <w:sz w:val="24"/>
          </w:rPr>
          <w:t>3</w:t>
        </w:r>
        <w:r w:rsidRPr="002A7CAA">
          <w:rPr>
            <w:rFonts w:ascii="Times New Roman" w:hAnsi="Times New Roman" w:cs="Times New Roman"/>
            <w:b/>
            <w:sz w:val="24"/>
          </w:rPr>
          <w:fldChar w:fldCharType="end"/>
        </w:r>
      </w:p>
    </w:sdtContent>
  </w:sdt>
  <w:p w14:paraId="2BAB6B0F" w14:textId="77777777" w:rsidR="00876B6E" w:rsidRDefault="00876B6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1F02D" w14:textId="77777777" w:rsidR="00800598" w:rsidRDefault="00800598" w:rsidP="00012C6A">
      <w:pPr>
        <w:spacing w:after="0" w:line="240" w:lineRule="auto"/>
      </w:pPr>
      <w:r>
        <w:separator/>
      </w:r>
    </w:p>
  </w:footnote>
  <w:footnote w:type="continuationSeparator" w:id="0">
    <w:p w14:paraId="5AD2F4AE" w14:textId="77777777" w:rsidR="00800598" w:rsidRDefault="00800598" w:rsidP="00012C6A">
      <w:pPr>
        <w:spacing w:after="0" w:line="240" w:lineRule="auto"/>
      </w:pPr>
      <w:r>
        <w:continuationSeparator/>
      </w:r>
    </w:p>
  </w:footnote>
  <w:footnote w:id="1">
    <w:p w14:paraId="3B053266" w14:textId="77777777" w:rsidR="00876B6E" w:rsidRPr="000F2DCF" w:rsidRDefault="00876B6E" w:rsidP="00B05503">
      <w:pPr>
        <w:pStyle w:val="Tekstprzypisudolnego"/>
        <w:rPr>
          <w:rFonts w:ascii="Times New Roman" w:hAnsi="Times New Roman" w:cs="Times New Roman"/>
          <w:sz w:val="18"/>
          <w:szCs w:val="18"/>
        </w:rPr>
      </w:pPr>
      <w:r>
        <w:rPr>
          <w:rStyle w:val="Odwoanieprzypisudolnego"/>
          <w:sz w:val="18"/>
          <w:szCs w:val="18"/>
        </w:rPr>
        <w:footnoteRef/>
      </w:r>
      <w:r>
        <w:rPr>
          <w:sz w:val="18"/>
        </w:rPr>
        <w:t xml:space="preserve"> </w:t>
      </w:r>
      <w:r>
        <w:rPr>
          <w:rFonts w:ascii="Times New Roman" w:hAnsi="Times New Roman"/>
          <w:sz w:val="18"/>
        </w:rPr>
        <w:t>Strasburg, 8.XI.2001 r</w:t>
      </w:r>
    </w:p>
  </w:footnote>
  <w:footnote w:id="2">
    <w:p w14:paraId="2A108274" w14:textId="0F957393" w:rsidR="00876B6E" w:rsidRPr="000F2DCF" w:rsidRDefault="00876B6E">
      <w:pPr>
        <w:pStyle w:val="Tekstprzypisudolnego"/>
        <w:rPr>
          <w:rFonts w:ascii="Times New Roman" w:hAnsi="Times New Roman" w:cs="Times New Roman"/>
          <w:sz w:val="18"/>
          <w:szCs w:val="18"/>
        </w:rPr>
      </w:pPr>
      <w:r>
        <w:rPr>
          <w:rStyle w:val="Odwoanieprzypisudolnego"/>
          <w:rFonts w:ascii="Times New Roman" w:hAnsi="Times New Roman" w:cs="Times New Roman"/>
        </w:rPr>
        <w:footnoteRef/>
      </w:r>
      <w:r>
        <w:rPr>
          <w:rFonts w:ascii="Times New Roman" w:hAnsi="Times New Roman"/>
        </w:rPr>
        <w:t xml:space="preserve"> Dz.U. </w:t>
      </w:r>
      <w:r>
        <w:rPr>
          <w:rFonts w:ascii="Times New Roman" w:hAnsi="Times New Roman"/>
          <w:sz w:val="18"/>
        </w:rPr>
        <w:t>L 130 z 1.5.2014, s. 1-36</w:t>
      </w:r>
    </w:p>
  </w:footnote>
  <w:footnote w:id="3">
    <w:p w14:paraId="40D7C517" w14:textId="7A5A70FF" w:rsidR="00876B6E" w:rsidRPr="006733FC" w:rsidRDefault="00876B6E">
      <w:pPr>
        <w:pStyle w:val="Tekstprzypisudolnego"/>
        <w:rPr>
          <w:rFonts w:ascii="Times New Roman" w:hAnsi="Times New Roman" w:cs="Times New Roman"/>
          <w:sz w:val="18"/>
          <w:szCs w:val="18"/>
        </w:rPr>
      </w:pPr>
      <w:r>
        <w:rPr>
          <w:rFonts w:ascii="Times New Roman" w:hAnsi="Times New Roman" w:cs="Times New Roman"/>
          <w:sz w:val="18"/>
          <w:szCs w:val="18"/>
          <w:lang w:val="en-GB"/>
        </w:rPr>
        <w:footnoteRef/>
      </w:r>
      <w:r>
        <w:rPr>
          <w:rFonts w:ascii="Times New Roman" w:hAnsi="Times New Roman"/>
          <w:sz w:val="18"/>
        </w:rPr>
        <w:t xml:space="preserve"> 2000/C 197/01</w:t>
      </w:r>
    </w:p>
  </w:footnote>
  <w:footnote w:id="4">
    <w:p w14:paraId="400143F4" w14:textId="4AC282F7" w:rsidR="00876B6E" w:rsidRPr="006733FC" w:rsidRDefault="00876B6E">
      <w:pPr>
        <w:pStyle w:val="Tekstprzypisudolnego"/>
        <w:rPr>
          <w:rFonts w:ascii="Times New Roman" w:hAnsi="Times New Roman" w:cs="Times New Roman"/>
          <w:sz w:val="18"/>
          <w:szCs w:val="18"/>
        </w:rPr>
      </w:pPr>
      <w:r>
        <w:rPr>
          <w:rFonts w:ascii="Times New Roman" w:hAnsi="Times New Roman" w:cs="Times New Roman"/>
          <w:sz w:val="18"/>
          <w:szCs w:val="18"/>
          <w:lang w:val="en-GB"/>
        </w:rPr>
        <w:footnoteRef/>
      </w:r>
      <w:r>
        <w:rPr>
          <w:rFonts w:ascii="Times New Roman" w:hAnsi="Times New Roman"/>
          <w:sz w:val="18"/>
        </w:rPr>
        <w:t xml:space="preserve"> Strasburg, 20.IV.1959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421BBD"/>
    <w:multiLevelType w:val="hybridMultilevel"/>
    <w:tmpl w:val="5B3ED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FE7040"/>
    <w:multiLevelType w:val="hybridMultilevel"/>
    <w:tmpl w:val="6E48206C"/>
    <w:lvl w:ilvl="0" w:tplc="30209E1A">
      <w:start w:val="1"/>
      <w:numFmt w:val="lowerLetter"/>
      <w:lvlText w:val="%1)"/>
      <w:lvlJc w:val="left"/>
      <w:pPr>
        <w:ind w:left="720" w:hanging="360"/>
      </w:pPr>
      <w:rPr>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0143293"/>
    <w:multiLevelType w:val="hybridMultilevel"/>
    <w:tmpl w:val="DBE68938"/>
    <w:lvl w:ilvl="0" w:tplc="08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cs="Wingdings" w:hint="default"/>
      </w:rPr>
    </w:lvl>
    <w:lvl w:ilvl="3" w:tplc="04090001" w:tentative="1">
      <w:start w:val="1"/>
      <w:numFmt w:val="bullet"/>
      <w:lvlText w:val=""/>
      <w:lvlJc w:val="left"/>
      <w:pPr>
        <w:ind w:left="2952" w:hanging="360"/>
      </w:pPr>
      <w:rPr>
        <w:rFonts w:ascii="Symbol" w:hAnsi="Symbol" w:cs="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cs="Wingdings" w:hint="default"/>
      </w:rPr>
    </w:lvl>
    <w:lvl w:ilvl="6" w:tplc="04090001" w:tentative="1">
      <w:start w:val="1"/>
      <w:numFmt w:val="bullet"/>
      <w:lvlText w:val=""/>
      <w:lvlJc w:val="left"/>
      <w:pPr>
        <w:ind w:left="5112" w:hanging="360"/>
      </w:pPr>
      <w:rPr>
        <w:rFonts w:ascii="Symbol" w:hAnsi="Symbol" w:cs="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cs="Wingdings" w:hint="default"/>
      </w:rPr>
    </w:lvl>
  </w:abstractNum>
  <w:abstractNum w:abstractNumId="4">
    <w:nsid w:val="363D72ED"/>
    <w:multiLevelType w:val="hybridMultilevel"/>
    <w:tmpl w:val="516029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A9E0EF4"/>
    <w:multiLevelType w:val="hybridMultilevel"/>
    <w:tmpl w:val="E7A673A0"/>
    <w:lvl w:ilvl="0" w:tplc="8ED05FA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6">
    <w:nsid w:val="3B403528"/>
    <w:multiLevelType w:val="hybridMultilevel"/>
    <w:tmpl w:val="1832A7C8"/>
    <w:lvl w:ilvl="0" w:tplc="08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
    <w:nsid w:val="45384888"/>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BF26F3"/>
    <w:multiLevelType w:val="hybridMultilevel"/>
    <w:tmpl w:val="E51AD4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4AEC7393"/>
    <w:multiLevelType w:val="hybridMultilevel"/>
    <w:tmpl w:val="39224840"/>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cs="Wingdings" w:hint="default"/>
      </w:rPr>
    </w:lvl>
    <w:lvl w:ilvl="3" w:tplc="04090001" w:tentative="1">
      <w:start w:val="1"/>
      <w:numFmt w:val="bullet"/>
      <w:lvlText w:val=""/>
      <w:lvlJc w:val="left"/>
      <w:pPr>
        <w:ind w:left="2868" w:hanging="360"/>
      </w:pPr>
      <w:rPr>
        <w:rFonts w:ascii="Symbol" w:hAnsi="Symbol" w:cs="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cs="Wingdings" w:hint="default"/>
      </w:rPr>
    </w:lvl>
    <w:lvl w:ilvl="6" w:tplc="04090001" w:tentative="1">
      <w:start w:val="1"/>
      <w:numFmt w:val="bullet"/>
      <w:lvlText w:val=""/>
      <w:lvlJc w:val="left"/>
      <w:pPr>
        <w:ind w:left="5028" w:hanging="360"/>
      </w:pPr>
      <w:rPr>
        <w:rFonts w:ascii="Symbol" w:hAnsi="Symbol" w:cs="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cs="Wingdings" w:hint="default"/>
      </w:rPr>
    </w:lvl>
  </w:abstractNum>
  <w:abstractNum w:abstractNumId="10">
    <w:nsid w:val="4E9035FA"/>
    <w:multiLevelType w:val="hybridMultilevel"/>
    <w:tmpl w:val="FD08DC28"/>
    <w:lvl w:ilvl="0" w:tplc="CB7286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nsid w:val="540808E8"/>
    <w:multiLevelType w:val="hybridMultilevel"/>
    <w:tmpl w:val="BDE48E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62802136"/>
    <w:multiLevelType w:val="hybridMultilevel"/>
    <w:tmpl w:val="5AE8057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6711CE"/>
    <w:multiLevelType w:val="hybridMultilevel"/>
    <w:tmpl w:val="4EEAE9B2"/>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110177"/>
    <w:multiLevelType w:val="hybridMultilevel"/>
    <w:tmpl w:val="D2909B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3B345E"/>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BC5880"/>
    <w:multiLevelType w:val="hybridMultilevel"/>
    <w:tmpl w:val="D2464D5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7F0C452D"/>
    <w:multiLevelType w:val="hybridMultilevel"/>
    <w:tmpl w:val="2828CEF8"/>
    <w:lvl w:ilvl="0" w:tplc="08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8">
    <w:nsid w:val="7FCF744D"/>
    <w:multiLevelType w:val="hybridMultilevel"/>
    <w:tmpl w:val="80BAE4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5"/>
  </w:num>
  <w:num w:numId="2">
    <w:abstractNumId w:val="10"/>
  </w:num>
  <w:num w:numId="3">
    <w:abstractNumId w:val="5"/>
  </w:num>
  <w:num w:numId="4">
    <w:abstractNumId w:val="11"/>
  </w:num>
  <w:num w:numId="5">
    <w:abstractNumId w:val="8"/>
  </w:num>
  <w:num w:numId="6">
    <w:abstractNumId w:val="18"/>
  </w:num>
  <w:num w:numId="7">
    <w:abstractNumId w:val="3"/>
  </w:num>
  <w:num w:numId="8">
    <w:abstractNumId w:val="6"/>
  </w:num>
  <w:num w:numId="9">
    <w:abstractNumId w:val="0"/>
  </w:num>
  <w:num w:numId="10">
    <w:abstractNumId w:val="16"/>
  </w:num>
  <w:num w:numId="11">
    <w:abstractNumId w:val="12"/>
  </w:num>
  <w:num w:numId="12">
    <w:abstractNumId w:val="13"/>
  </w:num>
  <w:num w:numId="13">
    <w:abstractNumId w:val="17"/>
  </w:num>
  <w:num w:numId="14">
    <w:abstractNumId w:val="1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
  </w:num>
  <w:num w:numId="18">
    <w:abstractNumId w:val="13"/>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A05"/>
    <w:rsid w:val="00012C6A"/>
    <w:rsid w:val="000340B5"/>
    <w:rsid w:val="00037D8A"/>
    <w:rsid w:val="000435CD"/>
    <w:rsid w:val="000440D7"/>
    <w:rsid w:val="00052623"/>
    <w:rsid w:val="00055B64"/>
    <w:rsid w:val="00060080"/>
    <w:rsid w:val="00063D1B"/>
    <w:rsid w:val="0006474E"/>
    <w:rsid w:val="000649D5"/>
    <w:rsid w:val="00072BD3"/>
    <w:rsid w:val="00074CA7"/>
    <w:rsid w:val="0007616A"/>
    <w:rsid w:val="00084A56"/>
    <w:rsid w:val="0009377E"/>
    <w:rsid w:val="000B7964"/>
    <w:rsid w:val="000C00A6"/>
    <w:rsid w:val="000C419F"/>
    <w:rsid w:val="000C7836"/>
    <w:rsid w:val="000D17C8"/>
    <w:rsid w:val="000E0F54"/>
    <w:rsid w:val="000F1055"/>
    <w:rsid w:val="000F2DCF"/>
    <w:rsid w:val="000F3081"/>
    <w:rsid w:val="000F6546"/>
    <w:rsid w:val="0010456F"/>
    <w:rsid w:val="00105283"/>
    <w:rsid w:val="0010535A"/>
    <w:rsid w:val="00107D4D"/>
    <w:rsid w:val="001107CA"/>
    <w:rsid w:val="00126907"/>
    <w:rsid w:val="00133519"/>
    <w:rsid w:val="0013415C"/>
    <w:rsid w:val="00134E14"/>
    <w:rsid w:val="001408A8"/>
    <w:rsid w:val="00143425"/>
    <w:rsid w:val="00163237"/>
    <w:rsid w:val="00165112"/>
    <w:rsid w:val="00166EED"/>
    <w:rsid w:val="001714D1"/>
    <w:rsid w:val="00171926"/>
    <w:rsid w:val="00172C19"/>
    <w:rsid w:val="0017314A"/>
    <w:rsid w:val="00183CD4"/>
    <w:rsid w:val="00193BA1"/>
    <w:rsid w:val="0019773C"/>
    <w:rsid w:val="001979D1"/>
    <w:rsid w:val="001A00C5"/>
    <w:rsid w:val="001A0AE0"/>
    <w:rsid w:val="001A1AC7"/>
    <w:rsid w:val="001A2210"/>
    <w:rsid w:val="001B144A"/>
    <w:rsid w:val="001B19B4"/>
    <w:rsid w:val="001B68B1"/>
    <w:rsid w:val="001C025D"/>
    <w:rsid w:val="001C4632"/>
    <w:rsid w:val="001C469F"/>
    <w:rsid w:val="001C5821"/>
    <w:rsid w:val="001D1E3D"/>
    <w:rsid w:val="001E383D"/>
    <w:rsid w:val="001E4A21"/>
    <w:rsid w:val="001E6E98"/>
    <w:rsid w:val="001F0975"/>
    <w:rsid w:val="001F6ACC"/>
    <w:rsid w:val="0020405F"/>
    <w:rsid w:val="002071B3"/>
    <w:rsid w:val="002225E9"/>
    <w:rsid w:val="002250D7"/>
    <w:rsid w:val="002303D8"/>
    <w:rsid w:val="00241E23"/>
    <w:rsid w:val="002426E2"/>
    <w:rsid w:val="00243470"/>
    <w:rsid w:val="00251924"/>
    <w:rsid w:val="00253952"/>
    <w:rsid w:val="00257052"/>
    <w:rsid w:val="00264B16"/>
    <w:rsid w:val="00270946"/>
    <w:rsid w:val="00281117"/>
    <w:rsid w:val="00282391"/>
    <w:rsid w:val="00291F7D"/>
    <w:rsid w:val="002A513F"/>
    <w:rsid w:val="002A5FAB"/>
    <w:rsid w:val="002A7CAA"/>
    <w:rsid w:val="002B3C62"/>
    <w:rsid w:val="002C1778"/>
    <w:rsid w:val="002D38DA"/>
    <w:rsid w:val="002D7599"/>
    <w:rsid w:val="002D7FCB"/>
    <w:rsid w:val="002E07C8"/>
    <w:rsid w:val="002E457C"/>
    <w:rsid w:val="003179E7"/>
    <w:rsid w:val="00321261"/>
    <w:rsid w:val="0032310A"/>
    <w:rsid w:val="00326BAF"/>
    <w:rsid w:val="00340A9F"/>
    <w:rsid w:val="00353CD7"/>
    <w:rsid w:val="003576E2"/>
    <w:rsid w:val="00362D9D"/>
    <w:rsid w:val="0036777E"/>
    <w:rsid w:val="00377F17"/>
    <w:rsid w:val="00381AAA"/>
    <w:rsid w:val="00387326"/>
    <w:rsid w:val="00390903"/>
    <w:rsid w:val="00393BED"/>
    <w:rsid w:val="003941CC"/>
    <w:rsid w:val="00397546"/>
    <w:rsid w:val="003A5EB1"/>
    <w:rsid w:val="003B0D71"/>
    <w:rsid w:val="003B278B"/>
    <w:rsid w:val="003B57A1"/>
    <w:rsid w:val="003C6EEA"/>
    <w:rsid w:val="003D372C"/>
    <w:rsid w:val="003D6286"/>
    <w:rsid w:val="003E1B48"/>
    <w:rsid w:val="003E3CA4"/>
    <w:rsid w:val="003E4DAE"/>
    <w:rsid w:val="003F07E5"/>
    <w:rsid w:val="003F6142"/>
    <w:rsid w:val="0041005B"/>
    <w:rsid w:val="0041692E"/>
    <w:rsid w:val="00424071"/>
    <w:rsid w:val="004257FF"/>
    <w:rsid w:val="00430CB8"/>
    <w:rsid w:val="0043615E"/>
    <w:rsid w:val="00436D8F"/>
    <w:rsid w:val="00441071"/>
    <w:rsid w:val="00450338"/>
    <w:rsid w:val="0045591E"/>
    <w:rsid w:val="00456E17"/>
    <w:rsid w:val="00460F7E"/>
    <w:rsid w:val="0046437D"/>
    <w:rsid w:val="00471A1D"/>
    <w:rsid w:val="0047589C"/>
    <w:rsid w:val="00476AE8"/>
    <w:rsid w:val="00477997"/>
    <w:rsid w:val="004909B5"/>
    <w:rsid w:val="004C0999"/>
    <w:rsid w:val="004C6D10"/>
    <w:rsid w:val="004D0EA9"/>
    <w:rsid w:val="004D235E"/>
    <w:rsid w:val="004E2689"/>
    <w:rsid w:val="004F36ED"/>
    <w:rsid w:val="004F48D6"/>
    <w:rsid w:val="004F7BE0"/>
    <w:rsid w:val="00504F47"/>
    <w:rsid w:val="0051356D"/>
    <w:rsid w:val="00513678"/>
    <w:rsid w:val="0051371D"/>
    <w:rsid w:val="0051374B"/>
    <w:rsid w:val="0051428E"/>
    <w:rsid w:val="00532DE8"/>
    <w:rsid w:val="0053543D"/>
    <w:rsid w:val="005570C6"/>
    <w:rsid w:val="005644F7"/>
    <w:rsid w:val="005649DF"/>
    <w:rsid w:val="00564D5E"/>
    <w:rsid w:val="005715DB"/>
    <w:rsid w:val="005864EA"/>
    <w:rsid w:val="00591F46"/>
    <w:rsid w:val="005A194C"/>
    <w:rsid w:val="005A51B3"/>
    <w:rsid w:val="005A7EAB"/>
    <w:rsid w:val="005B2A5C"/>
    <w:rsid w:val="005B3830"/>
    <w:rsid w:val="005D0E81"/>
    <w:rsid w:val="005D593D"/>
    <w:rsid w:val="005E3C6C"/>
    <w:rsid w:val="005E435A"/>
    <w:rsid w:val="005E5B46"/>
    <w:rsid w:val="005F23E3"/>
    <w:rsid w:val="005F737F"/>
    <w:rsid w:val="0060229D"/>
    <w:rsid w:val="00613A58"/>
    <w:rsid w:val="0062087B"/>
    <w:rsid w:val="0062204F"/>
    <w:rsid w:val="006231D6"/>
    <w:rsid w:val="00627422"/>
    <w:rsid w:val="00631B21"/>
    <w:rsid w:val="00631B81"/>
    <w:rsid w:val="00634FC4"/>
    <w:rsid w:val="00637D4A"/>
    <w:rsid w:val="00640667"/>
    <w:rsid w:val="006468E5"/>
    <w:rsid w:val="006557E8"/>
    <w:rsid w:val="0066052C"/>
    <w:rsid w:val="006612C7"/>
    <w:rsid w:val="0066166E"/>
    <w:rsid w:val="006661DA"/>
    <w:rsid w:val="0067230F"/>
    <w:rsid w:val="00672F6D"/>
    <w:rsid w:val="006733FC"/>
    <w:rsid w:val="00674E84"/>
    <w:rsid w:val="00683654"/>
    <w:rsid w:val="006848D7"/>
    <w:rsid w:val="006923B8"/>
    <w:rsid w:val="006930EB"/>
    <w:rsid w:val="006A1D44"/>
    <w:rsid w:val="006B1A32"/>
    <w:rsid w:val="006B2108"/>
    <w:rsid w:val="006C0B14"/>
    <w:rsid w:val="006C27EB"/>
    <w:rsid w:val="006C448E"/>
    <w:rsid w:val="006C4777"/>
    <w:rsid w:val="006E108F"/>
    <w:rsid w:val="006E114C"/>
    <w:rsid w:val="006E4CFA"/>
    <w:rsid w:val="006F62EC"/>
    <w:rsid w:val="00713D99"/>
    <w:rsid w:val="00720A85"/>
    <w:rsid w:val="00727335"/>
    <w:rsid w:val="007336BD"/>
    <w:rsid w:val="00736AA6"/>
    <w:rsid w:val="007456D8"/>
    <w:rsid w:val="0074607F"/>
    <w:rsid w:val="007531FF"/>
    <w:rsid w:val="007603A3"/>
    <w:rsid w:val="00762108"/>
    <w:rsid w:val="00766A10"/>
    <w:rsid w:val="007675C0"/>
    <w:rsid w:val="00776A53"/>
    <w:rsid w:val="00783A04"/>
    <w:rsid w:val="00793433"/>
    <w:rsid w:val="0079535E"/>
    <w:rsid w:val="007C456C"/>
    <w:rsid w:val="007C7BFC"/>
    <w:rsid w:val="007D039B"/>
    <w:rsid w:val="007D5751"/>
    <w:rsid w:val="007E5FD7"/>
    <w:rsid w:val="007F589C"/>
    <w:rsid w:val="007F5913"/>
    <w:rsid w:val="007F5C06"/>
    <w:rsid w:val="00800598"/>
    <w:rsid w:val="00810051"/>
    <w:rsid w:val="0081370D"/>
    <w:rsid w:val="00815672"/>
    <w:rsid w:val="00822AF3"/>
    <w:rsid w:val="00836161"/>
    <w:rsid w:val="00836899"/>
    <w:rsid w:val="008371D5"/>
    <w:rsid w:val="0085718A"/>
    <w:rsid w:val="0085718C"/>
    <w:rsid w:val="00876B6E"/>
    <w:rsid w:val="00884474"/>
    <w:rsid w:val="0088646D"/>
    <w:rsid w:val="00887B5D"/>
    <w:rsid w:val="008A0A29"/>
    <w:rsid w:val="008A7C0A"/>
    <w:rsid w:val="008B068C"/>
    <w:rsid w:val="008B6DFD"/>
    <w:rsid w:val="008C28C5"/>
    <w:rsid w:val="008D4791"/>
    <w:rsid w:val="008D7DA6"/>
    <w:rsid w:val="008F1540"/>
    <w:rsid w:val="008F3D5D"/>
    <w:rsid w:val="00902BD5"/>
    <w:rsid w:val="00903A0C"/>
    <w:rsid w:val="00905217"/>
    <w:rsid w:val="0090621C"/>
    <w:rsid w:val="00912A96"/>
    <w:rsid w:val="00913F67"/>
    <w:rsid w:val="00916191"/>
    <w:rsid w:val="009257E0"/>
    <w:rsid w:val="009264EC"/>
    <w:rsid w:val="0093038E"/>
    <w:rsid w:val="00932EAB"/>
    <w:rsid w:val="0093681C"/>
    <w:rsid w:val="00937B96"/>
    <w:rsid w:val="00944838"/>
    <w:rsid w:val="00945A47"/>
    <w:rsid w:val="0095767A"/>
    <w:rsid w:val="00973D99"/>
    <w:rsid w:val="00977F4F"/>
    <w:rsid w:val="009822A7"/>
    <w:rsid w:val="00993FFC"/>
    <w:rsid w:val="00994619"/>
    <w:rsid w:val="00994DD1"/>
    <w:rsid w:val="009A6518"/>
    <w:rsid w:val="009B0D4F"/>
    <w:rsid w:val="009B61DA"/>
    <w:rsid w:val="009C3A69"/>
    <w:rsid w:val="009C56E5"/>
    <w:rsid w:val="009C5CC4"/>
    <w:rsid w:val="009C7D5F"/>
    <w:rsid w:val="009D6515"/>
    <w:rsid w:val="009E29BF"/>
    <w:rsid w:val="00A06F66"/>
    <w:rsid w:val="00A1771F"/>
    <w:rsid w:val="00A17979"/>
    <w:rsid w:val="00A231AD"/>
    <w:rsid w:val="00A241FB"/>
    <w:rsid w:val="00A27433"/>
    <w:rsid w:val="00A34FDC"/>
    <w:rsid w:val="00A51AA4"/>
    <w:rsid w:val="00A55017"/>
    <w:rsid w:val="00A72077"/>
    <w:rsid w:val="00A75E1D"/>
    <w:rsid w:val="00A800E2"/>
    <w:rsid w:val="00A80761"/>
    <w:rsid w:val="00AA0945"/>
    <w:rsid w:val="00AB2569"/>
    <w:rsid w:val="00AB2AF2"/>
    <w:rsid w:val="00AB4CA6"/>
    <w:rsid w:val="00AB55D6"/>
    <w:rsid w:val="00AB5E57"/>
    <w:rsid w:val="00AE2003"/>
    <w:rsid w:val="00AF30AC"/>
    <w:rsid w:val="00B05267"/>
    <w:rsid w:val="00B05503"/>
    <w:rsid w:val="00B11FF4"/>
    <w:rsid w:val="00B43E4D"/>
    <w:rsid w:val="00B44529"/>
    <w:rsid w:val="00B44C05"/>
    <w:rsid w:val="00B47110"/>
    <w:rsid w:val="00B54285"/>
    <w:rsid w:val="00B6758A"/>
    <w:rsid w:val="00B72672"/>
    <w:rsid w:val="00B738AB"/>
    <w:rsid w:val="00B76581"/>
    <w:rsid w:val="00B82B42"/>
    <w:rsid w:val="00BA42B8"/>
    <w:rsid w:val="00BA5D38"/>
    <w:rsid w:val="00BD18B5"/>
    <w:rsid w:val="00BD61EB"/>
    <w:rsid w:val="00BD787C"/>
    <w:rsid w:val="00BE00BF"/>
    <w:rsid w:val="00BE2FBB"/>
    <w:rsid w:val="00BF0285"/>
    <w:rsid w:val="00C108E5"/>
    <w:rsid w:val="00C151FE"/>
    <w:rsid w:val="00C162BB"/>
    <w:rsid w:val="00C1785B"/>
    <w:rsid w:val="00C20156"/>
    <w:rsid w:val="00C31C79"/>
    <w:rsid w:val="00C33520"/>
    <w:rsid w:val="00C35008"/>
    <w:rsid w:val="00C36288"/>
    <w:rsid w:val="00C51736"/>
    <w:rsid w:val="00C51CF0"/>
    <w:rsid w:val="00C53943"/>
    <w:rsid w:val="00C63F70"/>
    <w:rsid w:val="00C71F8A"/>
    <w:rsid w:val="00C84544"/>
    <w:rsid w:val="00C9057A"/>
    <w:rsid w:val="00CA549D"/>
    <w:rsid w:val="00CB1A0F"/>
    <w:rsid w:val="00CB3F60"/>
    <w:rsid w:val="00CB6480"/>
    <w:rsid w:val="00CC6168"/>
    <w:rsid w:val="00CE24C7"/>
    <w:rsid w:val="00CE2F43"/>
    <w:rsid w:val="00CF0D90"/>
    <w:rsid w:val="00D03907"/>
    <w:rsid w:val="00D074B6"/>
    <w:rsid w:val="00D14C39"/>
    <w:rsid w:val="00D15CE8"/>
    <w:rsid w:val="00D16035"/>
    <w:rsid w:val="00D177B0"/>
    <w:rsid w:val="00D20701"/>
    <w:rsid w:val="00D20F10"/>
    <w:rsid w:val="00D21D39"/>
    <w:rsid w:val="00D24493"/>
    <w:rsid w:val="00D30102"/>
    <w:rsid w:val="00D30220"/>
    <w:rsid w:val="00D31668"/>
    <w:rsid w:val="00D330C6"/>
    <w:rsid w:val="00D43636"/>
    <w:rsid w:val="00D55DB1"/>
    <w:rsid w:val="00D603B9"/>
    <w:rsid w:val="00D65FF4"/>
    <w:rsid w:val="00D703E7"/>
    <w:rsid w:val="00D731B1"/>
    <w:rsid w:val="00D74806"/>
    <w:rsid w:val="00D96473"/>
    <w:rsid w:val="00D96A05"/>
    <w:rsid w:val="00DA175D"/>
    <w:rsid w:val="00DA2D25"/>
    <w:rsid w:val="00DA4510"/>
    <w:rsid w:val="00DA6C52"/>
    <w:rsid w:val="00DC31BF"/>
    <w:rsid w:val="00DC7FF6"/>
    <w:rsid w:val="00DD7335"/>
    <w:rsid w:val="00DF2AED"/>
    <w:rsid w:val="00DF3D71"/>
    <w:rsid w:val="00DF6596"/>
    <w:rsid w:val="00E03315"/>
    <w:rsid w:val="00E05F6C"/>
    <w:rsid w:val="00E10620"/>
    <w:rsid w:val="00E124AF"/>
    <w:rsid w:val="00E15A11"/>
    <w:rsid w:val="00E27164"/>
    <w:rsid w:val="00E3520A"/>
    <w:rsid w:val="00E556C5"/>
    <w:rsid w:val="00E6179B"/>
    <w:rsid w:val="00E73811"/>
    <w:rsid w:val="00E80ABD"/>
    <w:rsid w:val="00E86C28"/>
    <w:rsid w:val="00E932EC"/>
    <w:rsid w:val="00E94DCD"/>
    <w:rsid w:val="00EA271D"/>
    <w:rsid w:val="00EA28F5"/>
    <w:rsid w:val="00EB1EB7"/>
    <w:rsid w:val="00EC1DE6"/>
    <w:rsid w:val="00EC2E5A"/>
    <w:rsid w:val="00ED0EC5"/>
    <w:rsid w:val="00ED619A"/>
    <w:rsid w:val="00ED6A05"/>
    <w:rsid w:val="00EE170F"/>
    <w:rsid w:val="00EE2EE8"/>
    <w:rsid w:val="00EE43D3"/>
    <w:rsid w:val="00EF1054"/>
    <w:rsid w:val="00F03C3C"/>
    <w:rsid w:val="00F05998"/>
    <w:rsid w:val="00F263DC"/>
    <w:rsid w:val="00F2717C"/>
    <w:rsid w:val="00F33BCF"/>
    <w:rsid w:val="00F37EAA"/>
    <w:rsid w:val="00F44863"/>
    <w:rsid w:val="00F46F8A"/>
    <w:rsid w:val="00F51758"/>
    <w:rsid w:val="00F51AFE"/>
    <w:rsid w:val="00F532C5"/>
    <w:rsid w:val="00F53EAA"/>
    <w:rsid w:val="00F626A9"/>
    <w:rsid w:val="00F64ACC"/>
    <w:rsid w:val="00F74686"/>
    <w:rsid w:val="00F809D9"/>
    <w:rsid w:val="00FA2F9D"/>
    <w:rsid w:val="00FA7ECF"/>
    <w:rsid w:val="00FB3E9B"/>
    <w:rsid w:val="00FB3EF1"/>
    <w:rsid w:val="00FC63C9"/>
    <w:rsid w:val="00FC6882"/>
    <w:rsid w:val="00FC73BA"/>
    <w:rsid w:val="00FD5E7C"/>
    <w:rsid w:val="00FE2750"/>
    <w:rsid w:val="00FF2A5E"/>
    <w:rsid w:val="00FF54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0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4347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64D5E"/>
    <w:pPr>
      <w:ind w:left="720"/>
      <w:contextualSpacing/>
    </w:pPr>
  </w:style>
  <w:style w:type="paragraph" w:styleId="Nagwek">
    <w:name w:val="header"/>
    <w:basedOn w:val="Normalny"/>
    <w:link w:val="NagwekZnak"/>
    <w:uiPriority w:val="99"/>
    <w:unhideWhenUsed/>
    <w:rsid w:val="00012C6A"/>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012C6A"/>
    <w:rPr>
      <w:lang w:val="pl-PL"/>
    </w:rPr>
  </w:style>
  <w:style w:type="paragraph" w:styleId="Stopka">
    <w:name w:val="footer"/>
    <w:basedOn w:val="Normalny"/>
    <w:link w:val="StopkaZnak"/>
    <w:uiPriority w:val="99"/>
    <w:unhideWhenUsed/>
    <w:rsid w:val="00012C6A"/>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012C6A"/>
    <w:rPr>
      <w:lang w:val="pl-PL"/>
    </w:rPr>
  </w:style>
  <w:style w:type="character" w:styleId="Hipercze">
    <w:name w:val="Hyperlink"/>
    <w:basedOn w:val="Domylnaczcionkaakapitu"/>
    <w:uiPriority w:val="99"/>
    <w:unhideWhenUsed/>
    <w:rsid w:val="001A2210"/>
    <w:rPr>
      <w:color w:val="0563C1" w:themeColor="hyperlink"/>
      <w:u w:val="single"/>
    </w:rPr>
  </w:style>
  <w:style w:type="character" w:styleId="UyteHipercze">
    <w:name w:val="FollowedHyperlink"/>
    <w:basedOn w:val="Domylnaczcionkaakapitu"/>
    <w:uiPriority w:val="99"/>
    <w:semiHidden/>
    <w:unhideWhenUsed/>
    <w:rsid w:val="001A2210"/>
    <w:rPr>
      <w:color w:val="954F72" w:themeColor="followedHyperlink"/>
      <w:u w:val="single"/>
    </w:rPr>
  </w:style>
  <w:style w:type="character" w:customStyle="1" w:styleId="UnresolvedMention">
    <w:name w:val="Unresolved Mention"/>
    <w:basedOn w:val="Domylnaczcionkaakapitu"/>
    <w:uiPriority w:val="99"/>
    <w:semiHidden/>
    <w:unhideWhenUsed/>
    <w:rsid w:val="00F37EAA"/>
    <w:rPr>
      <w:color w:val="605E5C"/>
      <w:shd w:val="clear" w:color="auto" w:fill="E1DFDD"/>
    </w:rPr>
  </w:style>
  <w:style w:type="paragraph" w:styleId="Tekstprzypisudolnego">
    <w:name w:val="footnote text"/>
    <w:basedOn w:val="Normalny"/>
    <w:link w:val="TekstprzypisudolnegoZnak"/>
    <w:uiPriority w:val="99"/>
    <w:semiHidden/>
    <w:unhideWhenUsed/>
    <w:rsid w:val="000F308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F3081"/>
    <w:rPr>
      <w:sz w:val="20"/>
      <w:szCs w:val="20"/>
      <w:lang w:val="pl-PL"/>
    </w:rPr>
  </w:style>
  <w:style w:type="character" w:styleId="Odwoanieprzypisudolnego">
    <w:name w:val="footnote reference"/>
    <w:basedOn w:val="Domylnaczcionkaakapitu"/>
    <w:uiPriority w:val="99"/>
    <w:semiHidden/>
    <w:unhideWhenUsed/>
    <w:rsid w:val="000F3081"/>
    <w:rPr>
      <w:vertAlign w:val="superscript"/>
    </w:rPr>
  </w:style>
  <w:style w:type="paragraph" w:styleId="Tekstdymka">
    <w:name w:val="Balloon Text"/>
    <w:basedOn w:val="Normalny"/>
    <w:link w:val="TekstdymkaZnak"/>
    <w:uiPriority w:val="99"/>
    <w:semiHidden/>
    <w:unhideWhenUsed/>
    <w:rsid w:val="00264B1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64B16"/>
    <w:rPr>
      <w:rFonts w:ascii="Segoe UI" w:hAnsi="Segoe UI" w:cs="Segoe UI"/>
      <w:sz w:val="18"/>
      <w:szCs w:val="18"/>
      <w:lang w:val="pl-PL"/>
    </w:rPr>
  </w:style>
  <w:style w:type="character" w:styleId="Pogrubienie">
    <w:name w:val="Strong"/>
    <w:basedOn w:val="Domylnaczcionkaakapitu"/>
    <w:uiPriority w:val="22"/>
    <w:qFormat/>
    <w:rsid w:val="002A7CAA"/>
    <w:rPr>
      <w:b/>
      <w:bCs/>
    </w:rPr>
  </w:style>
  <w:style w:type="paragraph" w:customStyle="1" w:styleId="Test">
    <w:name w:val="Test!"/>
    <w:basedOn w:val="Normalny"/>
    <w:rsid w:val="002A7C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 w:type="paragraph" w:styleId="Bezodstpw">
    <w:name w:val="No Spacing"/>
    <w:uiPriority w:val="1"/>
    <w:qFormat/>
    <w:rsid w:val="00637D4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4347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64D5E"/>
    <w:pPr>
      <w:ind w:left="720"/>
      <w:contextualSpacing/>
    </w:pPr>
  </w:style>
  <w:style w:type="paragraph" w:styleId="Nagwek">
    <w:name w:val="header"/>
    <w:basedOn w:val="Normalny"/>
    <w:link w:val="NagwekZnak"/>
    <w:uiPriority w:val="99"/>
    <w:unhideWhenUsed/>
    <w:rsid w:val="00012C6A"/>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012C6A"/>
    <w:rPr>
      <w:lang w:val="pl-PL"/>
    </w:rPr>
  </w:style>
  <w:style w:type="paragraph" w:styleId="Stopka">
    <w:name w:val="footer"/>
    <w:basedOn w:val="Normalny"/>
    <w:link w:val="StopkaZnak"/>
    <w:uiPriority w:val="99"/>
    <w:unhideWhenUsed/>
    <w:rsid w:val="00012C6A"/>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012C6A"/>
    <w:rPr>
      <w:lang w:val="pl-PL"/>
    </w:rPr>
  </w:style>
  <w:style w:type="character" w:styleId="Hipercze">
    <w:name w:val="Hyperlink"/>
    <w:basedOn w:val="Domylnaczcionkaakapitu"/>
    <w:uiPriority w:val="99"/>
    <w:unhideWhenUsed/>
    <w:rsid w:val="001A2210"/>
    <w:rPr>
      <w:color w:val="0563C1" w:themeColor="hyperlink"/>
      <w:u w:val="single"/>
    </w:rPr>
  </w:style>
  <w:style w:type="character" w:styleId="UyteHipercze">
    <w:name w:val="FollowedHyperlink"/>
    <w:basedOn w:val="Domylnaczcionkaakapitu"/>
    <w:uiPriority w:val="99"/>
    <w:semiHidden/>
    <w:unhideWhenUsed/>
    <w:rsid w:val="001A2210"/>
    <w:rPr>
      <w:color w:val="954F72" w:themeColor="followedHyperlink"/>
      <w:u w:val="single"/>
    </w:rPr>
  </w:style>
  <w:style w:type="character" w:customStyle="1" w:styleId="UnresolvedMention">
    <w:name w:val="Unresolved Mention"/>
    <w:basedOn w:val="Domylnaczcionkaakapitu"/>
    <w:uiPriority w:val="99"/>
    <w:semiHidden/>
    <w:unhideWhenUsed/>
    <w:rsid w:val="00F37EAA"/>
    <w:rPr>
      <w:color w:val="605E5C"/>
      <w:shd w:val="clear" w:color="auto" w:fill="E1DFDD"/>
    </w:rPr>
  </w:style>
  <w:style w:type="paragraph" w:styleId="Tekstprzypisudolnego">
    <w:name w:val="footnote text"/>
    <w:basedOn w:val="Normalny"/>
    <w:link w:val="TekstprzypisudolnegoZnak"/>
    <w:uiPriority w:val="99"/>
    <w:semiHidden/>
    <w:unhideWhenUsed/>
    <w:rsid w:val="000F308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F3081"/>
    <w:rPr>
      <w:sz w:val="20"/>
      <w:szCs w:val="20"/>
      <w:lang w:val="pl-PL"/>
    </w:rPr>
  </w:style>
  <w:style w:type="character" w:styleId="Odwoanieprzypisudolnego">
    <w:name w:val="footnote reference"/>
    <w:basedOn w:val="Domylnaczcionkaakapitu"/>
    <w:uiPriority w:val="99"/>
    <w:semiHidden/>
    <w:unhideWhenUsed/>
    <w:rsid w:val="000F3081"/>
    <w:rPr>
      <w:vertAlign w:val="superscript"/>
    </w:rPr>
  </w:style>
  <w:style w:type="paragraph" w:styleId="Tekstdymka">
    <w:name w:val="Balloon Text"/>
    <w:basedOn w:val="Normalny"/>
    <w:link w:val="TekstdymkaZnak"/>
    <w:uiPriority w:val="99"/>
    <w:semiHidden/>
    <w:unhideWhenUsed/>
    <w:rsid w:val="00264B1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64B16"/>
    <w:rPr>
      <w:rFonts w:ascii="Segoe UI" w:hAnsi="Segoe UI" w:cs="Segoe UI"/>
      <w:sz w:val="18"/>
      <w:szCs w:val="18"/>
      <w:lang w:val="pl-PL"/>
    </w:rPr>
  </w:style>
  <w:style w:type="character" w:styleId="Pogrubienie">
    <w:name w:val="Strong"/>
    <w:basedOn w:val="Domylnaczcionkaakapitu"/>
    <w:uiPriority w:val="22"/>
    <w:qFormat/>
    <w:rsid w:val="002A7CAA"/>
    <w:rPr>
      <w:b/>
      <w:bCs/>
    </w:rPr>
  </w:style>
  <w:style w:type="paragraph" w:customStyle="1" w:styleId="Test">
    <w:name w:val="Test!"/>
    <w:basedOn w:val="Normalny"/>
    <w:rsid w:val="002A7C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 w:type="paragraph" w:styleId="Bezodstpw">
    <w:name w:val="No Spacing"/>
    <w:uiPriority w:val="1"/>
    <w:qFormat/>
    <w:rsid w:val="00637D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5510">
      <w:bodyDiv w:val="1"/>
      <w:marLeft w:val="0"/>
      <w:marRight w:val="0"/>
      <w:marTop w:val="0"/>
      <w:marBottom w:val="0"/>
      <w:divBdr>
        <w:top w:val="none" w:sz="0" w:space="0" w:color="auto"/>
        <w:left w:val="none" w:sz="0" w:space="0" w:color="auto"/>
        <w:bottom w:val="none" w:sz="0" w:space="0" w:color="auto"/>
        <w:right w:val="none" w:sz="0" w:space="0" w:color="auto"/>
      </w:divBdr>
    </w:div>
    <w:div w:id="90125626">
      <w:bodyDiv w:val="1"/>
      <w:marLeft w:val="0"/>
      <w:marRight w:val="0"/>
      <w:marTop w:val="0"/>
      <w:marBottom w:val="0"/>
      <w:divBdr>
        <w:top w:val="none" w:sz="0" w:space="0" w:color="auto"/>
        <w:left w:val="none" w:sz="0" w:space="0" w:color="auto"/>
        <w:bottom w:val="none" w:sz="0" w:space="0" w:color="auto"/>
        <w:right w:val="none" w:sz="0" w:space="0" w:color="auto"/>
      </w:divBdr>
    </w:div>
    <w:div w:id="145587468">
      <w:bodyDiv w:val="1"/>
      <w:marLeft w:val="0"/>
      <w:marRight w:val="0"/>
      <w:marTop w:val="0"/>
      <w:marBottom w:val="0"/>
      <w:divBdr>
        <w:top w:val="none" w:sz="0" w:space="0" w:color="auto"/>
        <w:left w:val="none" w:sz="0" w:space="0" w:color="auto"/>
        <w:bottom w:val="none" w:sz="0" w:space="0" w:color="auto"/>
        <w:right w:val="none" w:sz="0" w:space="0" w:color="auto"/>
      </w:divBdr>
    </w:div>
    <w:div w:id="157617982">
      <w:bodyDiv w:val="1"/>
      <w:marLeft w:val="0"/>
      <w:marRight w:val="0"/>
      <w:marTop w:val="0"/>
      <w:marBottom w:val="0"/>
      <w:divBdr>
        <w:top w:val="none" w:sz="0" w:space="0" w:color="auto"/>
        <w:left w:val="none" w:sz="0" w:space="0" w:color="auto"/>
        <w:bottom w:val="none" w:sz="0" w:space="0" w:color="auto"/>
        <w:right w:val="none" w:sz="0" w:space="0" w:color="auto"/>
      </w:divBdr>
    </w:div>
    <w:div w:id="175853516">
      <w:bodyDiv w:val="1"/>
      <w:marLeft w:val="0"/>
      <w:marRight w:val="0"/>
      <w:marTop w:val="0"/>
      <w:marBottom w:val="0"/>
      <w:divBdr>
        <w:top w:val="none" w:sz="0" w:space="0" w:color="auto"/>
        <w:left w:val="none" w:sz="0" w:space="0" w:color="auto"/>
        <w:bottom w:val="none" w:sz="0" w:space="0" w:color="auto"/>
        <w:right w:val="none" w:sz="0" w:space="0" w:color="auto"/>
      </w:divBdr>
    </w:div>
    <w:div w:id="182596676">
      <w:bodyDiv w:val="1"/>
      <w:marLeft w:val="0"/>
      <w:marRight w:val="0"/>
      <w:marTop w:val="0"/>
      <w:marBottom w:val="0"/>
      <w:divBdr>
        <w:top w:val="none" w:sz="0" w:space="0" w:color="auto"/>
        <w:left w:val="none" w:sz="0" w:space="0" w:color="auto"/>
        <w:bottom w:val="none" w:sz="0" w:space="0" w:color="auto"/>
        <w:right w:val="none" w:sz="0" w:space="0" w:color="auto"/>
      </w:divBdr>
    </w:div>
    <w:div w:id="193229674">
      <w:bodyDiv w:val="1"/>
      <w:marLeft w:val="0"/>
      <w:marRight w:val="0"/>
      <w:marTop w:val="0"/>
      <w:marBottom w:val="0"/>
      <w:divBdr>
        <w:top w:val="none" w:sz="0" w:space="0" w:color="auto"/>
        <w:left w:val="none" w:sz="0" w:space="0" w:color="auto"/>
        <w:bottom w:val="none" w:sz="0" w:space="0" w:color="auto"/>
        <w:right w:val="none" w:sz="0" w:space="0" w:color="auto"/>
      </w:divBdr>
    </w:div>
    <w:div w:id="201292443">
      <w:bodyDiv w:val="1"/>
      <w:marLeft w:val="0"/>
      <w:marRight w:val="0"/>
      <w:marTop w:val="0"/>
      <w:marBottom w:val="0"/>
      <w:divBdr>
        <w:top w:val="none" w:sz="0" w:space="0" w:color="auto"/>
        <w:left w:val="none" w:sz="0" w:space="0" w:color="auto"/>
        <w:bottom w:val="none" w:sz="0" w:space="0" w:color="auto"/>
        <w:right w:val="none" w:sz="0" w:space="0" w:color="auto"/>
      </w:divBdr>
    </w:div>
    <w:div w:id="211385639">
      <w:bodyDiv w:val="1"/>
      <w:marLeft w:val="0"/>
      <w:marRight w:val="0"/>
      <w:marTop w:val="0"/>
      <w:marBottom w:val="0"/>
      <w:divBdr>
        <w:top w:val="none" w:sz="0" w:space="0" w:color="auto"/>
        <w:left w:val="none" w:sz="0" w:space="0" w:color="auto"/>
        <w:bottom w:val="none" w:sz="0" w:space="0" w:color="auto"/>
        <w:right w:val="none" w:sz="0" w:space="0" w:color="auto"/>
      </w:divBdr>
    </w:div>
    <w:div w:id="277957319">
      <w:bodyDiv w:val="1"/>
      <w:marLeft w:val="0"/>
      <w:marRight w:val="0"/>
      <w:marTop w:val="0"/>
      <w:marBottom w:val="0"/>
      <w:divBdr>
        <w:top w:val="none" w:sz="0" w:space="0" w:color="auto"/>
        <w:left w:val="none" w:sz="0" w:space="0" w:color="auto"/>
        <w:bottom w:val="none" w:sz="0" w:space="0" w:color="auto"/>
        <w:right w:val="none" w:sz="0" w:space="0" w:color="auto"/>
      </w:divBdr>
    </w:div>
    <w:div w:id="302084322">
      <w:bodyDiv w:val="1"/>
      <w:marLeft w:val="0"/>
      <w:marRight w:val="0"/>
      <w:marTop w:val="0"/>
      <w:marBottom w:val="0"/>
      <w:divBdr>
        <w:top w:val="none" w:sz="0" w:space="0" w:color="auto"/>
        <w:left w:val="none" w:sz="0" w:space="0" w:color="auto"/>
        <w:bottom w:val="none" w:sz="0" w:space="0" w:color="auto"/>
        <w:right w:val="none" w:sz="0" w:space="0" w:color="auto"/>
      </w:divBdr>
    </w:div>
    <w:div w:id="320741697">
      <w:bodyDiv w:val="1"/>
      <w:marLeft w:val="0"/>
      <w:marRight w:val="0"/>
      <w:marTop w:val="0"/>
      <w:marBottom w:val="0"/>
      <w:divBdr>
        <w:top w:val="none" w:sz="0" w:space="0" w:color="auto"/>
        <w:left w:val="none" w:sz="0" w:space="0" w:color="auto"/>
        <w:bottom w:val="none" w:sz="0" w:space="0" w:color="auto"/>
        <w:right w:val="none" w:sz="0" w:space="0" w:color="auto"/>
      </w:divBdr>
    </w:div>
    <w:div w:id="389882604">
      <w:bodyDiv w:val="1"/>
      <w:marLeft w:val="0"/>
      <w:marRight w:val="0"/>
      <w:marTop w:val="0"/>
      <w:marBottom w:val="0"/>
      <w:divBdr>
        <w:top w:val="none" w:sz="0" w:space="0" w:color="auto"/>
        <w:left w:val="none" w:sz="0" w:space="0" w:color="auto"/>
        <w:bottom w:val="none" w:sz="0" w:space="0" w:color="auto"/>
        <w:right w:val="none" w:sz="0" w:space="0" w:color="auto"/>
      </w:divBdr>
      <w:divsChild>
        <w:div w:id="1016421914">
          <w:marLeft w:val="0"/>
          <w:marRight w:val="0"/>
          <w:marTop w:val="0"/>
          <w:marBottom w:val="0"/>
          <w:divBdr>
            <w:top w:val="none" w:sz="0" w:space="0" w:color="auto"/>
            <w:left w:val="none" w:sz="0" w:space="0" w:color="auto"/>
            <w:bottom w:val="none" w:sz="0" w:space="0" w:color="auto"/>
            <w:right w:val="none" w:sz="0" w:space="0" w:color="auto"/>
          </w:divBdr>
        </w:div>
        <w:div w:id="1419717842">
          <w:marLeft w:val="0"/>
          <w:marRight w:val="0"/>
          <w:marTop w:val="0"/>
          <w:marBottom w:val="0"/>
          <w:divBdr>
            <w:top w:val="none" w:sz="0" w:space="0" w:color="auto"/>
            <w:left w:val="none" w:sz="0" w:space="0" w:color="auto"/>
            <w:bottom w:val="none" w:sz="0" w:space="0" w:color="auto"/>
            <w:right w:val="none" w:sz="0" w:space="0" w:color="auto"/>
          </w:divBdr>
          <w:divsChild>
            <w:div w:id="592936904">
              <w:marLeft w:val="0"/>
              <w:marRight w:val="0"/>
              <w:marTop w:val="0"/>
              <w:marBottom w:val="0"/>
              <w:divBdr>
                <w:top w:val="none" w:sz="0" w:space="0" w:color="auto"/>
                <w:left w:val="none" w:sz="0" w:space="0" w:color="auto"/>
                <w:bottom w:val="none" w:sz="0" w:space="0" w:color="auto"/>
                <w:right w:val="none" w:sz="0" w:space="0" w:color="auto"/>
              </w:divBdr>
              <w:divsChild>
                <w:div w:id="7273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96130">
      <w:bodyDiv w:val="1"/>
      <w:marLeft w:val="0"/>
      <w:marRight w:val="0"/>
      <w:marTop w:val="0"/>
      <w:marBottom w:val="0"/>
      <w:divBdr>
        <w:top w:val="none" w:sz="0" w:space="0" w:color="auto"/>
        <w:left w:val="none" w:sz="0" w:space="0" w:color="auto"/>
        <w:bottom w:val="none" w:sz="0" w:space="0" w:color="auto"/>
        <w:right w:val="none" w:sz="0" w:space="0" w:color="auto"/>
      </w:divBdr>
    </w:div>
    <w:div w:id="525028057">
      <w:bodyDiv w:val="1"/>
      <w:marLeft w:val="0"/>
      <w:marRight w:val="0"/>
      <w:marTop w:val="0"/>
      <w:marBottom w:val="0"/>
      <w:divBdr>
        <w:top w:val="none" w:sz="0" w:space="0" w:color="auto"/>
        <w:left w:val="none" w:sz="0" w:space="0" w:color="auto"/>
        <w:bottom w:val="none" w:sz="0" w:space="0" w:color="auto"/>
        <w:right w:val="none" w:sz="0" w:space="0" w:color="auto"/>
      </w:divBdr>
    </w:div>
    <w:div w:id="582841254">
      <w:bodyDiv w:val="1"/>
      <w:marLeft w:val="0"/>
      <w:marRight w:val="0"/>
      <w:marTop w:val="0"/>
      <w:marBottom w:val="0"/>
      <w:divBdr>
        <w:top w:val="none" w:sz="0" w:space="0" w:color="auto"/>
        <w:left w:val="none" w:sz="0" w:space="0" w:color="auto"/>
        <w:bottom w:val="none" w:sz="0" w:space="0" w:color="auto"/>
        <w:right w:val="none" w:sz="0" w:space="0" w:color="auto"/>
      </w:divBdr>
    </w:div>
    <w:div w:id="597565432">
      <w:bodyDiv w:val="1"/>
      <w:marLeft w:val="0"/>
      <w:marRight w:val="0"/>
      <w:marTop w:val="0"/>
      <w:marBottom w:val="0"/>
      <w:divBdr>
        <w:top w:val="none" w:sz="0" w:space="0" w:color="auto"/>
        <w:left w:val="none" w:sz="0" w:space="0" w:color="auto"/>
        <w:bottom w:val="none" w:sz="0" w:space="0" w:color="auto"/>
        <w:right w:val="none" w:sz="0" w:space="0" w:color="auto"/>
      </w:divBdr>
    </w:div>
    <w:div w:id="608051018">
      <w:bodyDiv w:val="1"/>
      <w:marLeft w:val="0"/>
      <w:marRight w:val="0"/>
      <w:marTop w:val="0"/>
      <w:marBottom w:val="0"/>
      <w:divBdr>
        <w:top w:val="none" w:sz="0" w:space="0" w:color="auto"/>
        <w:left w:val="none" w:sz="0" w:space="0" w:color="auto"/>
        <w:bottom w:val="none" w:sz="0" w:space="0" w:color="auto"/>
        <w:right w:val="none" w:sz="0" w:space="0" w:color="auto"/>
      </w:divBdr>
    </w:div>
    <w:div w:id="653411124">
      <w:bodyDiv w:val="1"/>
      <w:marLeft w:val="0"/>
      <w:marRight w:val="0"/>
      <w:marTop w:val="0"/>
      <w:marBottom w:val="0"/>
      <w:divBdr>
        <w:top w:val="none" w:sz="0" w:space="0" w:color="auto"/>
        <w:left w:val="none" w:sz="0" w:space="0" w:color="auto"/>
        <w:bottom w:val="none" w:sz="0" w:space="0" w:color="auto"/>
        <w:right w:val="none" w:sz="0" w:space="0" w:color="auto"/>
      </w:divBdr>
    </w:div>
    <w:div w:id="808088270">
      <w:bodyDiv w:val="1"/>
      <w:marLeft w:val="0"/>
      <w:marRight w:val="0"/>
      <w:marTop w:val="0"/>
      <w:marBottom w:val="0"/>
      <w:divBdr>
        <w:top w:val="none" w:sz="0" w:space="0" w:color="auto"/>
        <w:left w:val="none" w:sz="0" w:space="0" w:color="auto"/>
        <w:bottom w:val="none" w:sz="0" w:space="0" w:color="auto"/>
        <w:right w:val="none" w:sz="0" w:space="0" w:color="auto"/>
      </w:divBdr>
    </w:div>
    <w:div w:id="825973377">
      <w:bodyDiv w:val="1"/>
      <w:marLeft w:val="0"/>
      <w:marRight w:val="0"/>
      <w:marTop w:val="0"/>
      <w:marBottom w:val="0"/>
      <w:divBdr>
        <w:top w:val="none" w:sz="0" w:space="0" w:color="auto"/>
        <w:left w:val="none" w:sz="0" w:space="0" w:color="auto"/>
        <w:bottom w:val="none" w:sz="0" w:space="0" w:color="auto"/>
        <w:right w:val="none" w:sz="0" w:space="0" w:color="auto"/>
      </w:divBdr>
    </w:div>
    <w:div w:id="874849462">
      <w:bodyDiv w:val="1"/>
      <w:marLeft w:val="0"/>
      <w:marRight w:val="0"/>
      <w:marTop w:val="0"/>
      <w:marBottom w:val="0"/>
      <w:divBdr>
        <w:top w:val="none" w:sz="0" w:space="0" w:color="auto"/>
        <w:left w:val="none" w:sz="0" w:space="0" w:color="auto"/>
        <w:bottom w:val="none" w:sz="0" w:space="0" w:color="auto"/>
        <w:right w:val="none" w:sz="0" w:space="0" w:color="auto"/>
      </w:divBdr>
    </w:div>
    <w:div w:id="917324575">
      <w:bodyDiv w:val="1"/>
      <w:marLeft w:val="0"/>
      <w:marRight w:val="0"/>
      <w:marTop w:val="0"/>
      <w:marBottom w:val="0"/>
      <w:divBdr>
        <w:top w:val="none" w:sz="0" w:space="0" w:color="auto"/>
        <w:left w:val="none" w:sz="0" w:space="0" w:color="auto"/>
        <w:bottom w:val="none" w:sz="0" w:space="0" w:color="auto"/>
        <w:right w:val="none" w:sz="0" w:space="0" w:color="auto"/>
      </w:divBdr>
    </w:div>
    <w:div w:id="917443004">
      <w:bodyDiv w:val="1"/>
      <w:marLeft w:val="0"/>
      <w:marRight w:val="0"/>
      <w:marTop w:val="0"/>
      <w:marBottom w:val="0"/>
      <w:divBdr>
        <w:top w:val="none" w:sz="0" w:space="0" w:color="auto"/>
        <w:left w:val="none" w:sz="0" w:space="0" w:color="auto"/>
        <w:bottom w:val="none" w:sz="0" w:space="0" w:color="auto"/>
        <w:right w:val="none" w:sz="0" w:space="0" w:color="auto"/>
      </w:divBdr>
    </w:div>
    <w:div w:id="958100728">
      <w:bodyDiv w:val="1"/>
      <w:marLeft w:val="0"/>
      <w:marRight w:val="0"/>
      <w:marTop w:val="0"/>
      <w:marBottom w:val="0"/>
      <w:divBdr>
        <w:top w:val="none" w:sz="0" w:space="0" w:color="auto"/>
        <w:left w:val="none" w:sz="0" w:space="0" w:color="auto"/>
        <w:bottom w:val="none" w:sz="0" w:space="0" w:color="auto"/>
        <w:right w:val="none" w:sz="0" w:space="0" w:color="auto"/>
      </w:divBdr>
    </w:div>
    <w:div w:id="1029993997">
      <w:bodyDiv w:val="1"/>
      <w:marLeft w:val="0"/>
      <w:marRight w:val="0"/>
      <w:marTop w:val="0"/>
      <w:marBottom w:val="0"/>
      <w:divBdr>
        <w:top w:val="none" w:sz="0" w:space="0" w:color="auto"/>
        <w:left w:val="none" w:sz="0" w:space="0" w:color="auto"/>
        <w:bottom w:val="none" w:sz="0" w:space="0" w:color="auto"/>
        <w:right w:val="none" w:sz="0" w:space="0" w:color="auto"/>
      </w:divBdr>
    </w:div>
    <w:div w:id="1126780137">
      <w:bodyDiv w:val="1"/>
      <w:marLeft w:val="0"/>
      <w:marRight w:val="0"/>
      <w:marTop w:val="0"/>
      <w:marBottom w:val="0"/>
      <w:divBdr>
        <w:top w:val="none" w:sz="0" w:space="0" w:color="auto"/>
        <w:left w:val="none" w:sz="0" w:space="0" w:color="auto"/>
        <w:bottom w:val="none" w:sz="0" w:space="0" w:color="auto"/>
        <w:right w:val="none" w:sz="0" w:space="0" w:color="auto"/>
      </w:divBdr>
    </w:div>
    <w:div w:id="1168911350">
      <w:bodyDiv w:val="1"/>
      <w:marLeft w:val="0"/>
      <w:marRight w:val="0"/>
      <w:marTop w:val="0"/>
      <w:marBottom w:val="0"/>
      <w:divBdr>
        <w:top w:val="none" w:sz="0" w:space="0" w:color="auto"/>
        <w:left w:val="none" w:sz="0" w:space="0" w:color="auto"/>
        <w:bottom w:val="none" w:sz="0" w:space="0" w:color="auto"/>
        <w:right w:val="none" w:sz="0" w:space="0" w:color="auto"/>
      </w:divBdr>
    </w:div>
    <w:div w:id="1174493592">
      <w:bodyDiv w:val="1"/>
      <w:marLeft w:val="0"/>
      <w:marRight w:val="0"/>
      <w:marTop w:val="0"/>
      <w:marBottom w:val="0"/>
      <w:divBdr>
        <w:top w:val="none" w:sz="0" w:space="0" w:color="auto"/>
        <w:left w:val="none" w:sz="0" w:space="0" w:color="auto"/>
        <w:bottom w:val="none" w:sz="0" w:space="0" w:color="auto"/>
        <w:right w:val="none" w:sz="0" w:space="0" w:color="auto"/>
      </w:divBdr>
    </w:div>
    <w:div w:id="1248265962">
      <w:bodyDiv w:val="1"/>
      <w:marLeft w:val="0"/>
      <w:marRight w:val="0"/>
      <w:marTop w:val="0"/>
      <w:marBottom w:val="0"/>
      <w:divBdr>
        <w:top w:val="none" w:sz="0" w:space="0" w:color="auto"/>
        <w:left w:val="none" w:sz="0" w:space="0" w:color="auto"/>
        <w:bottom w:val="none" w:sz="0" w:space="0" w:color="auto"/>
        <w:right w:val="none" w:sz="0" w:space="0" w:color="auto"/>
      </w:divBdr>
    </w:div>
    <w:div w:id="1264999169">
      <w:bodyDiv w:val="1"/>
      <w:marLeft w:val="0"/>
      <w:marRight w:val="0"/>
      <w:marTop w:val="0"/>
      <w:marBottom w:val="0"/>
      <w:divBdr>
        <w:top w:val="none" w:sz="0" w:space="0" w:color="auto"/>
        <w:left w:val="none" w:sz="0" w:space="0" w:color="auto"/>
        <w:bottom w:val="none" w:sz="0" w:space="0" w:color="auto"/>
        <w:right w:val="none" w:sz="0" w:space="0" w:color="auto"/>
      </w:divBdr>
    </w:div>
    <w:div w:id="1291475022">
      <w:bodyDiv w:val="1"/>
      <w:marLeft w:val="0"/>
      <w:marRight w:val="0"/>
      <w:marTop w:val="0"/>
      <w:marBottom w:val="0"/>
      <w:divBdr>
        <w:top w:val="none" w:sz="0" w:space="0" w:color="auto"/>
        <w:left w:val="none" w:sz="0" w:space="0" w:color="auto"/>
        <w:bottom w:val="none" w:sz="0" w:space="0" w:color="auto"/>
        <w:right w:val="none" w:sz="0" w:space="0" w:color="auto"/>
      </w:divBdr>
    </w:div>
    <w:div w:id="1316449419">
      <w:bodyDiv w:val="1"/>
      <w:marLeft w:val="0"/>
      <w:marRight w:val="0"/>
      <w:marTop w:val="0"/>
      <w:marBottom w:val="0"/>
      <w:divBdr>
        <w:top w:val="none" w:sz="0" w:space="0" w:color="auto"/>
        <w:left w:val="none" w:sz="0" w:space="0" w:color="auto"/>
        <w:bottom w:val="none" w:sz="0" w:space="0" w:color="auto"/>
        <w:right w:val="none" w:sz="0" w:space="0" w:color="auto"/>
      </w:divBdr>
    </w:div>
    <w:div w:id="1327242880">
      <w:bodyDiv w:val="1"/>
      <w:marLeft w:val="0"/>
      <w:marRight w:val="0"/>
      <w:marTop w:val="0"/>
      <w:marBottom w:val="0"/>
      <w:divBdr>
        <w:top w:val="none" w:sz="0" w:space="0" w:color="auto"/>
        <w:left w:val="none" w:sz="0" w:space="0" w:color="auto"/>
        <w:bottom w:val="none" w:sz="0" w:space="0" w:color="auto"/>
        <w:right w:val="none" w:sz="0" w:space="0" w:color="auto"/>
      </w:divBdr>
    </w:div>
    <w:div w:id="1328436636">
      <w:bodyDiv w:val="1"/>
      <w:marLeft w:val="0"/>
      <w:marRight w:val="0"/>
      <w:marTop w:val="0"/>
      <w:marBottom w:val="0"/>
      <w:divBdr>
        <w:top w:val="none" w:sz="0" w:space="0" w:color="auto"/>
        <w:left w:val="none" w:sz="0" w:space="0" w:color="auto"/>
        <w:bottom w:val="none" w:sz="0" w:space="0" w:color="auto"/>
        <w:right w:val="none" w:sz="0" w:space="0" w:color="auto"/>
      </w:divBdr>
    </w:div>
    <w:div w:id="1368719505">
      <w:bodyDiv w:val="1"/>
      <w:marLeft w:val="0"/>
      <w:marRight w:val="0"/>
      <w:marTop w:val="0"/>
      <w:marBottom w:val="0"/>
      <w:divBdr>
        <w:top w:val="none" w:sz="0" w:space="0" w:color="auto"/>
        <w:left w:val="none" w:sz="0" w:space="0" w:color="auto"/>
        <w:bottom w:val="none" w:sz="0" w:space="0" w:color="auto"/>
        <w:right w:val="none" w:sz="0" w:space="0" w:color="auto"/>
      </w:divBdr>
    </w:div>
    <w:div w:id="1370689618">
      <w:bodyDiv w:val="1"/>
      <w:marLeft w:val="0"/>
      <w:marRight w:val="0"/>
      <w:marTop w:val="0"/>
      <w:marBottom w:val="0"/>
      <w:divBdr>
        <w:top w:val="none" w:sz="0" w:space="0" w:color="auto"/>
        <w:left w:val="none" w:sz="0" w:space="0" w:color="auto"/>
        <w:bottom w:val="none" w:sz="0" w:space="0" w:color="auto"/>
        <w:right w:val="none" w:sz="0" w:space="0" w:color="auto"/>
      </w:divBdr>
    </w:div>
    <w:div w:id="1373925223">
      <w:bodyDiv w:val="1"/>
      <w:marLeft w:val="0"/>
      <w:marRight w:val="0"/>
      <w:marTop w:val="0"/>
      <w:marBottom w:val="0"/>
      <w:divBdr>
        <w:top w:val="none" w:sz="0" w:space="0" w:color="auto"/>
        <w:left w:val="none" w:sz="0" w:space="0" w:color="auto"/>
        <w:bottom w:val="none" w:sz="0" w:space="0" w:color="auto"/>
        <w:right w:val="none" w:sz="0" w:space="0" w:color="auto"/>
      </w:divBdr>
    </w:div>
    <w:div w:id="1387796038">
      <w:bodyDiv w:val="1"/>
      <w:marLeft w:val="0"/>
      <w:marRight w:val="0"/>
      <w:marTop w:val="0"/>
      <w:marBottom w:val="0"/>
      <w:divBdr>
        <w:top w:val="none" w:sz="0" w:space="0" w:color="auto"/>
        <w:left w:val="none" w:sz="0" w:space="0" w:color="auto"/>
        <w:bottom w:val="none" w:sz="0" w:space="0" w:color="auto"/>
        <w:right w:val="none" w:sz="0" w:space="0" w:color="auto"/>
      </w:divBdr>
    </w:div>
    <w:div w:id="1402368125">
      <w:bodyDiv w:val="1"/>
      <w:marLeft w:val="0"/>
      <w:marRight w:val="0"/>
      <w:marTop w:val="0"/>
      <w:marBottom w:val="0"/>
      <w:divBdr>
        <w:top w:val="none" w:sz="0" w:space="0" w:color="auto"/>
        <w:left w:val="none" w:sz="0" w:space="0" w:color="auto"/>
        <w:bottom w:val="none" w:sz="0" w:space="0" w:color="auto"/>
        <w:right w:val="none" w:sz="0" w:space="0" w:color="auto"/>
      </w:divBdr>
    </w:div>
    <w:div w:id="1439720800">
      <w:bodyDiv w:val="1"/>
      <w:marLeft w:val="0"/>
      <w:marRight w:val="0"/>
      <w:marTop w:val="0"/>
      <w:marBottom w:val="0"/>
      <w:divBdr>
        <w:top w:val="none" w:sz="0" w:space="0" w:color="auto"/>
        <w:left w:val="none" w:sz="0" w:space="0" w:color="auto"/>
        <w:bottom w:val="none" w:sz="0" w:space="0" w:color="auto"/>
        <w:right w:val="none" w:sz="0" w:space="0" w:color="auto"/>
      </w:divBdr>
    </w:div>
    <w:div w:id="1448622345">
      <w:bodyDiv w:val="1"/>
      <w:marLeft w:val="0"/>
      <w:marRight w:val="0"/>
      <w:marTop w:val="0"/>
      <w:marBottom w:val="0"/>
      <w:divBdr>
        <w:top w:val="none" w:sz="0" w:space="0" w:color="auto"/>
        <w:left w:val="none" w:sz="0" w:space="0" w:color="auto"/>
        <w:bottom w:val="none" w:sz="0" w:space="0" w:color="auto"/>
        <w:right w:val="none" w:sz="0" w:space="0" w:color="auto"/>
      </w:divBdr>
    </w:div>
    <w:div w:id="1462844213">
      <w:bodyDiv w:val="1"/>
      <w:marLeft w:val="0"/>
      <w:marRight w:val="0"/>
      <w:marTop w:val="0"/>
      <w:marBottom w:val="0"/>
      <w:divBdr>
        <w:top w:val="none" w:sz="0" w:space="0" w:color="auto"/>
        <w:left w:val="none" w:sz="0" w:space="0" w:color="auto"/>
        <w:bottom w:val="none" w:sz="0" w:space="0" w:color="auto"/>
        <w:right w:val="none" w:sz="0" w:space="0" w:color="auto"/>
      </w:divBdr>
    </w:div>
    <w:div w:id="1482188393">
      <w:bodyDiv w:val="1"/>
      <w:marLeft w:val="0"/>
      <w:marRight w:val="0"/>
      <w:marTop w:val="0"/>
      <w:marBottom w:val="0"/>
      <w:divBdr>
        <w:top w:val="none" w:sz="0" w:space="0" w:color="auto"/>
        <w:left w:val="none" w:sz="0" w:space="0" w:color="auto"/>
        <w:bottom w:val="none" w:sz="0" w:space="0" w:color="auto"/>
        <w:right w:val="none" w:sz="0" w:space="0" w:color="auto"/>
      </w:divBdr>
    </w:div>
    <w:div w:id="1502158670">
      <w:bodyDiv w:val="1"/>
      <w:marLeft w:val="0"/>
      <w:marRight w:val="0"/>
      <w:marTop w:val="0"/>
      <w:marBottom w:val="0"/>
      <w:divBdr>
        <w:top w:val="none" w:sz="0" w:space="0" w:color="auto"/>
        <w:left w:val="none" w:sz="0" w:space="0" w:color="auto"/>
        <w:bottom w:val="none" w:sz="0" w:space="0" w:color="auto"/>
        <w:right w:val="none" w:sz="0" w:space="0" w:color="auto"/>
      </w:divBdr>
    </w:div>
    <w:div w:id="1601335144">
      <w:bodyDiv w:val="1"/>
      <w:marLeft w:val="0"/>
      <w:marRight w:val="0"/>
      <w:marTop w:val="0"/>
      <w:marBottom w:val="0"/>
      <w:divBdr>
        <w:top w:val="none" w:sz="0" w:space="0" w:color="auto"/>
        <w:left w:val="none" w:sz="0" w:space="0" w:color="auto"/>
        <w:bottom w:val="none" w:sz="0" w:space="0" w:color="auto"/>
        <w:right w:val="none" w:sz="0" w:space="0" w:color="auto"/>
      </w:divBdr>
    </w:div>
    <w:div w:id="1704138386">
      <w:bodyDiv w:val="1"/>
      <w:marLeft w:val="0"/>
      <w:marRight w:val="0"/>
      <w:marTop w:val="0"/>
      <w:marBottom w:val="0"/>
      <w:divBdr>
        <w:top w:val="none" w:sz="0" w:space="0" w:color="auto"/>
        <w:left w:val="none" w:sz="0" w:space="0" w:color="auto"/>
        <w:bottom w:val="none" w:sz="0" w:space="0" w:color="auto"/>
        <w:right w:val="none" w:sz="0" w:space="0" w:color="auto"/>
      </w:divBdr>
    </w:div>
    <w:div w:id="1704209240">
      <w:bodyDiv w:val="1"/>
      <w:marLeft w:val="0"/>
      <w:marRight w:val="0"/>
      <w:marTop w:val="0"/>
      <w:marBottom w:val="0"/>
      <w:divBdr>
        <w:top w:val="none" w:sz="0" w:space="0" w:color="auto"/>
        <w:left w:val="none" w:sz="0" w:space="0" w:color="auto"/>
        <w:bottom w:val="none" w:sz="0" w:space="0" w:color="auto"/>
        <w:right w:val="none" w:sz="0" w:space="0" w:color="auto"/>
      </w:divBdr>
    </w:div>
    <w:div w:id="1805266904">
      <w:bodyDiv w:val="1"/>
      <w:marLeft w:val="0"/>
      <w:marRight w:val="0"/>
      <w:marTop w:val="0"/>
      <w:marBottom w:val="0"/>
      <w:divBdr>
        <w:top w:val="none" w:sz="0" w:space="0" w:color="auto"/>
        <w:left w:val="none" w:sz="0" w:space="0" w:color="auto"/>
        <w:bottom w:val="none" w:sz="0" w:space="0" w:color="auto"/>
        <w:right w:val="none" w:sz="0" w:space="0" w:color="auto"/>
      </w:divBdr>
    </w:div>
    <w:div w:id="1811047884">
      <w:bodyDiv w:val="1"/>
      <w:marLeft w:val="0"/>
      <w:marRight w:val="0"/>
      <w:marTop w:val="0"/>
      <w:marBottom w:val="0"/>
      <w:divBdr>
        <w:top w:val="none" w:sz="0" w:space="0" w:color="auto"/>
        <w:left w:val="none" w:sz="0" w:space="0" w:color="auto"/>
        <w:bottom w:val="none" w:sz="0" w:space="0" w:color="auto"/>
        <w:right w:val="none" w:sz="0" w:space="0" w:color="auto"/>
      </w:divBdr>
    </w:div>
    <w:div w:id="1872566617">
      <w:bodyDiv w:val="1"/>
      <w:marLeft w:val="0"/>
      <w:marRight w:val="0"/>
      <w:marTop w:val="0"/>
      <w:marBottom w:val="0"/>
      <w:divBdr>
        <w:top w:val="none" w:sz="0" w:space="0" w:color="auto"/>
        <w:left w:val="none" w:sz="0" w:space="0" w:color="auto"/>
        <w:bottom w:val="none" w:sz="0" w:space="0" w:color="auto"/>
        <w:right w:val="none" w:sz="0" w:space="0" w:color="auto"/>
      </w:divBdr>
    </w:div>
    <w:div w:id="1885830061">
      <w:bodyDiv w:val="1"/>
      <w:marLeft w:val="0"/>
      <w:marRight w:val="0"/>
      <w:marTop w:val="0"/>
      <w:marBottom w:val="0"/>
      <w:divBdr>
        <w:top w:val="none" w:sz="0" w:space="0" w:color="auto"/>
        <w:left w:val="none" w:sz="0" w:space="0" w:color="auto"/>
        <w:bottom w:val="none" w:sz="0" w:space="0" w:color="auto"/>
        <w:right w:val="none" w:sz="0" w:space="0" w:color="auto"/>
      </w:divBdr>
    </w:div>
    <w:div w:id="1921211022">
      <w:bodyDiv w:val="1"/>
      <w:marLeft w:val="0"/>
      <w:marRight w:val="0"/>
      <w:marTop w:val="0"/>
      <w:marBottom w:val="0"/>
      <w:divBdr>
        <w:top w:val="none" w:sz="0" w:space="0" w:color="auto"/>
        <w:left w:val="none" w:sz="0" w:space="0" w:color="auto"/>
        <w:bottom w:val="none" w:sz="0" w:space="0" w:color="auto"/>
        <w:right w:val="none" w:sz="0" w:space="0" w:color="auto"/>
      </w:divBdr>
    </w:div>
    <w:div w:id="1949507642">
      <w:bodyDiv w:val="1"/>
      <w:marLeft w:val="0"/>
      <w:marRight w:val="0"/>
      <w:marTop w:val="0"/>
      <w:marBottom w:val="0"/>
      <w:divBdr>
        <w:top w:val="none" w:sz="0" w:space="0" w:color="auto"/>
        <w:left w:val="none" w:sz="0" w:space="0" w:color="auto"/>
        <w:bottom w:val="none" w:sz="0" w:space="0" w:color="auto"/>
        <w:right w:val="none" w:sz="0" w:space="0" w:color="auto"/>
      </w:divBdr>
    </w:div>
    <w:div w:id="1952468521">
      <w:bodyDiv w:val="1"/>
      <w:marLeft w:val="0"/>
      <w:marRight w:val="0"/>
      <w:marTop w:val="0"/>
      <w:marBottom w:val="0"/>
      <w:divBdr>
        <w:top w:val="none" w:sz="0" w:space="0" w:color="auto"/>
        <w:left w:val="none" w:sz="0" w:space="0" w:color="auto"/>
        <w:bottom w:val="none" w:sz="0" w:space="0" w:color="auto"/>
        <w:right w:val="none" w:sz="0" w:space="0" w:color="auto"/>
      </w:divBdr>
    </w:div>
    <w:div w:id="1969893359">
      <w:bodyDiv w:val="1"/>
      <w:marLeft w:val="0"/>
      <w:marRight w:val="0"/>
      <w:marTop w:val="0"/>
      <w:marBottom w:val="0"/>
      <w:divBdr>
        <w:top w:val="none" w:sz="0" w:space="0" w:color="auto"/>
        <w:left w:val="none" w:sz="0" w:space="0" w:color="auto"/>
        <w:bottom w:val="none" w:sz="0" w:space="0" w:color="auto"/>
        <w:right w:val="none" w:sz="0" w:space="0" w:color="auto"/>
      </w:divBdr>
    </w:div>
    <w:div w:id="1974754600">
      <w:bodyDiv w:val="1"/>
      <w:marLeft w:val="0"/>
      <w:marRight w:val="0"/>
      <w:marTop w:val="0"/>
      <w:marBottom w:val="0"/>
      <w:divBdr>
        <w:top w:val="none" w:sz="0" w:space="0" w:color="auto"/>
        <w:left w:val="none" w:sz="0" w:space="0" w:color="auto"/>
        <w:bottom w:val="none" w:sz="0" w:space="0" w:color="auto"/>
        <w:right w:val="none" w:sz="0" w:space="0" w:color="auto"/>
      </w:divBdr>
    </w:div>
    <w:div w:id="2072606958">
      <w:bodyDiv w:val="1"/>
      <w:marLeft w:val="0"/>
      <w:marRight w:val="0"/>
      <w:marTop w:val="0"/>
      <w:marBottom w:val="0"/>
      <w:divBdr>
        <w:top w:val="none" w:sz="0" w:space="0" w:color="auto"/>
        <w:left w:val="none" w:sz="0" w:space="0" w:color="auto"/>
        <w:bottom w:val="none" w:sz="0" w:space="0" w:color="auto"/>
        <w:right w:val="none" w:sz="0" w:space="0" w:color="auto"/>
      </w:divBdr>
    </w:div>
    <w:div w:id="214245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jn-crimjust.europa.eu"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hyperlink" Target="https://www.ejn-crimjust.europa.eu/ejn/libcategories/EN/32/-1/-1/-1" TargetMode="External"/><Relationship Id="rId34" Type="http://schemas.openxmlformats.org/officeDocument/2006/relationships/hyperlink" Target="https://www.coe.int/en/web/conventions/full-list/-/conventions/treaty/182" TargetMode="External"/><Relationship Id="rId42" Type="http://schemas.openxmlformats.org/officeDocument/2006/relationships/image" Target="media/image21.png"/><Relationship Id="rId47" Type="http://schemas.openxmlformats.org/officeDocument/2006/relationships/hyperlink" Target="https://www.ejn-crimjust.europa.eu/ejn/libcategories/EN/32/-1/-1/-1" TargetMode="External"/><Relationship Id="rId50" Type="http://schemas.openxmlformats.org/officeDocument/2006/relationships/hyperlink" Target="https://www.ejn-crimjust.europa.eu/ejn/libcategories/EN/32/-1/-1/-1" TargetMode="External"/><Relationship Id="rId55" Type="http://schemas.openxmlformats.org/officeDocument/2006/relationships/image" Target="media/image25.png"/><Relationship Id="rId63"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jn-crimjust.europa.eu/ejn/ejn_home.aspx"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s://ec.europa.eu/world/agreements/downloadFile.do?fullText=yes&amp;treatyTransId=473" TargetMode="External"/><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hyperlink" Target="https://www.ejn-crimjust.europa.eu/ejn/EJN_Library_RatificationsByCou/EN" TargetMode="External"/><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jn-crimjust.europa.eu/ejn/EJN_Library_StatusOfImpByCat.aspx?l=EN&amp;CategoryId=120" TargetMode="External"/><Relationship Id="rId23" Type="http://schemas.openxmlformats.org/officeDocument/2006/relationships/image" Target="media/image6.png"/><Relationship Id="rId28" Type="http://schemas.openxmlformats.org/officeDocument/2006/relationships/hyperlink" Target="https://www.coe.int/en/web/conventions/full-list/-/conventions/treaty/030/signatures?p_auth=i9rfGH16" TargetMode="External"/><Relationship Id="rId36" Type="http://schemas.openxmlformats.org/officeDocument/2006/relationships/image" Target="media/image16.png"/><Relationship Id="rId49" Type="http://schemas.openxmlformats.org/officeDocument/2006/relationships/hyperlink" Target="https://www.ejn-crimjust.europa.eu/ejn/libdocumentproperties/EN/617" TargetMode="External"/><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hyperlink" Target="https://www.coe.int/en/web/conventions/full-list" TargetMode="Externa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hyperlink" Target="https://www.ejn-crimjust.europa.eu/ejn/EJN_Library_RatificationsByCou/EN" TargetMode="External"/><Relationship Id="rId60" Type="http://schemas.openxmlformats.org/officeDocument/2006/relationships/image" Target="media/image30.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ejn-crimjust.europa.eu/ejn/CompendiumChooseCountry/EN" TargetMode="External"/><Relationship Id="rId14" Type="http://schemas.openxmlformats.org/officeDocument/2006/relationships/hyperlink" Target="https://www.ejn-crimjust.europa.eu/ejn/EJN_Home.aspx" TargetMode="External"/><Relationship Id="rId22" Type="http://schemas.openxmlformats.org/officeDocument/2006/relationships/image" Target="media/image5.png"/><Relationship Id="rId27" Type="http://schemas.openxmlformats.org/officeDocument/2006/relationships/hyperlink" Target="https://www.coe.int/en/web/conventions/full-list"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s://www.coe.int/en/web/conventions/full-list/-/conventions/treaty/182" TargetMode="External"/><Relationship Id="rId48" Type="http://schemas.openxmlformats.org/officeDocument/2006/relationships/hyperlink" Target="https://www.ejn-crimjust.europa.eu/ejn/EJN_Library_RatificationsByCou/EN" TargetMode="External"/><Relationship Id="rId56" Type="http://schemas.openxmlformats.org/officeDocument/2006/relationships/image" Target="media/image26.png"/><Relationship Id="rId64" Type="http://schemas.openxmlformats.org/officeDocument/2006/relationships/hyperlink" Target="https://www.ejn-crimjust.europa.eu/ejn/EJN_RegistryDoc/EN/3108/0/0" TargetMode="External"/><Relationship Id="rId8" Type="http://schemas.openxmlformats.org/officeDocument/2006/relationships/endnotes" Target="endnotes.xml"/><Relationship Id="rId51" Type="http://schemas.openxmlformats.org/officeDocument/2006/relationships/hyperlink" Target="https://www.ejn-crimjust.europa.eu/ejn/libcategories/EN/32/-1/-1/-1" TargetMode="External"/><Relationship Id="rId3" Type="http://schemas.openxmlformats.org/officeDocument/2006/relationships/styles" Target="styles.xml"/><Relationship Id="rId12" Type="http://schemas.openxmlformats.org/officeDocument/2006/relationships/hyperlink" Target="https://www.ejn-crimjust.europa.eu/ejn/libcategories/EN/32/-1/-1/-1" TargetMode="External"/><Relationship Id="rId17" Type="http://schemas.openxmlformats.org/officeDocument/2006/relationships/hyperlink" Target="https://www.ejn-crimjust.europa.eu/ejn/EJN_Library_RatificationsByCou/EN"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29.png"/><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hyperlink" Target="https://www.ejn-crimjust.europa.eu/ejn/libcategories/EN/32/-1/-1/-1" TargetMode="External"/><Relationship Id="rId6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41B5D-486E-4E2F-80B2-10B86FE1A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7524</Words>
  <Characters>45149</Characters>
  <Application>Microsoft Office Word</Application>
  <DocSecurity>0</DocSecurity>
  <Lines>376</Lines>
  <Paragraphs>105</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www.vivalang.pl</Company>
  <LinksUpToDate>false</LinksUpToDate>
  <CharactersWithSpaces>52568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www.vivalang.pl</dc:creator>
  <cp:keywords/>
  <dc:description/>
  <cp:lastModifiedBy>Grzegorz Kucharczyk</cp:lastModifiedBy>
  <cp:revision>451</cp:revision>
  <cp:lastPrinted>2020-09-13T13:59:00Z</cp:lastPrinted>
  <dcterms:created xsi:type="dcterms:W3CDTF">2020-03-28T14:29:00Z</dcterms:created>
  <dcterms:modified xsi:type="dcterms:W3CDTF">2021-03-31T07:05:00Z</dcterms:modified>
</cp:coreProperties>
</file>