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91" w:rsidRPr="0011743E" w:rsidRDefault="00C64C91" w:rsidP="003A65B0">
      <w:pPr>
        <w:spacing w:after="160"/>
        <w:jc w:val="center"/>
        <w:rPr>
          <w:rStyle w:val="Pogrubienie"/>
          <w:rFonts w:ascii="Times New Roman" w:hAnsi="Times New Roman" w:cs="Times New Roman"/>
          <w:color w:val="000000"/>
          <w:sz w:val="32"/>
          <w:szCs w:val="32"/>
        </w:rPr>
      </w:pPr>
    </w:p>
    <w:p w:rsidR="00C64C91" w:rsidRPr="0011743E" w:rsidRDefault="00C64C91" w:rsidP="003A65B0">
      <w:pPr>
        <w:spacing w:after="160"/>
        <w:jc w:val="center"/>
        <w:rPr>
          <w:rStyle w:val="Pogrubienie"/>
          <w:rFonts w:ascii="Times New Roman" w:hAnsi="Times New Roman" w:cs="Times New Roman"/>
          <w:color w:val="000000"/>
          <w:sz w:val="32"/>
          <w:szCs w:val="32"/>
        </w:rPr>
      </w:pPr>
    </w:p>
    <w:p w:rsidR="00FE1C68" w:rsidRPr="0011743E" w:rsidRDefault="009638AA" w:rsidP="003A65B0">
      <w:pPr>
        <w:jc w:val="center"/>
        <w:rPr>
          <w:rStyle w:val="Pogrubienie"/>
          <w:rFonts w:ascii="Times New Roman" w:hAnsi="Times New Roman" w:cs="Times New Roman"/>
          <w:color w:val="000000"/>
          <w:sz w:val="36"/>
          <w:szCs w:val="32"/>
        </w:rPr>
      </w:pPr>
      <w:r>
        <w:rPr>
          <w:rStyle w:val="Pogrubienie"/>
          <w:rFonts w:ascii="Times New Roman" w:hAnsi="Times New Roman"/>
          <w:color w:val="000000"/>
          <w:sz w:val="36"/>
        </w:rPr>
        <w:t>Europejski nakaz aresztowania (ENA)</w:t>
      </w:r>
    </w:p>
    <w:p w:rsidR="00107C53" w:rsidRPr="0011743E" w:rsidRDefault="00107C53" w:rsidP="003A65B0">
      <w:pPr>
        <w:jc w:val="center"/>
        <w:rPr>
          <w:rStyle w:val="Pogrubienie"/>
          <w:rFonts w:ascii="Times New Roman" w:hAnsi="Times New Roman" w:cs="Times New Roman"/>
          <w:color w:val="000000"/>
          <w:sz w:val="28"/>
          <w:szCs w:val="28"/>
        </w:rPr>
      </w:pPr>
      <w:r>
        <w:rPr>
          <w:rStyle w:val="Pogrubienie"/>
          <w:rFonts w:ascii="Times New Roman" w:hAnsi="Times New Roman"/>
          <w:color w:val="000000"/>
          <w:sz w:val="28"/>
        </w:rPr>
        <w:t>Decyzja ramowa Rady 2002/584/WSiSW z dnia 13 czerwca 2002 r. w sprawie europejskiego nakazu aresztowania i procedury wydawania osób między państwami członkowskimi</w:t>
      </w:r>
    </w:p>
    <w:p w:rsidR="00FE1C68" w:rsidRPr="0011743E" w:rsidRDefault="00FE1C68" w:rsidP="003A65B0">
      <w:pPr>
        <w:jc w:val="center"/>
        <w:rPr>
          <w:rStyle w:val="Pogrubienie"/>
          <w:rFonts w:ascii="Times New Roman" w:hAnsi="Times New Roman" w:cs="Times New Roman"/>
          <w:b w:val="0"/>
          <w:i/>
          <w:color w:val="000000"/>
          <w:sz w:val="32"/>
          <w:szCs w:val="32"/>
        </w:rPr>
      </w:pPr>
      <w:r>
        <w:rPr>
          <w:rStyle w:val="Pogrubienie"/>
          <w:rFonts w:ascii="Times New Roman" w:hAnsi="Times New Roman"/>
          <w:b w:val="0"/>
          <w:i/>
          <w:color w:val="000000"/>
          <w:sz w:val="32"/>
        </w:rPr>
        <w:t>Zestaw studiów przypadku – przewodnik dla prowadzących szkolenie</w:t>
      </w:r>
    </w:p>
    <w:p w:rsidR="00FE1C68" w:rsidRPr="0011743E" w:rsidRDefault="00FE1C68" w:rsidP="003A65B0">
      <w:pPr>
        <w:spacing w:after="160"/>
        <w:rPr>
          <w:rStyle w:val="Pogrubienie"/>
          <w:rFonts w:ascii="Times New Roman" w:hAnsi="Times New Roman" w:cs="Times New Roman"/>
          <w:b w:val="0"/>
          <w:color w:val="000000"/>
          <w:sz w:val="32"/>
          <w:szCs w:val="32"/>
        </w:rPr>
      </w:pPr>
    </w:p>
    <w:p w:rsidR="007A544C" w:rsidRPr="0011743E" w:rsidRDefault="007A544C" w:rsidP="003A65B0">
      <w:pPr>
        <w:spacing w:after="160"/>
        <w:rPr>
          <w:rStyle w:val="Pogrubienie"/>
          <w:rFonts w:ascii="Times New Roman" w:hAnsi="Times New Roman" w:cs="Times New Roman"/>
          <w:b w:val="0"/>
          <w:color w:val="000000"/>
          <w:sz w:val="32"/>
          <w:szCs w:val="32"/>
        </w:rPr>
      </w:pPr>
    </w:p>
    <w:p w:rsidR="009638AA" w:rsidRPr="0011743E" w:rsidRDefault="009638AA" w:rsidP="003A65B0">
      <w:pPr>
        <w:rPr>
          <w:rStyle w:val="Pogrubienie"/>
          <w:rFonts w:ascii="Times New Roman" w:hAnsi="Times New Roman" w:cs="Times New Roman"/>
          <w:b w:val="0"/>
          <w:color w:val="000000"/>
          <w:sz w:val="32"/>
          <w:szCs w:val="32"/>
        </w:rPr>
      </w:pPr>
      <w:r>
        <w:rPr>
          <w:rStyle w:val="Pogrubienie"/>
          <w:rFonts w:ascii="Times New Roman" w:hAnsi="Times New Roman"/>
          <w:b w:val="0"/>
          <w:color w:val="000000"/>
          <w:sz w:val="32"/>
        </w:rPr>
        <w:t xml:space="preserve">Autor: </w:t>
      </w:r>
    </w:p>
    <w:p w:rsidR="00FE1C68" w:rsidRPr="0011743E" w:rsidRDefault="00FE1C68" w:rsidP="003A65B0">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Prof. André Klip</w:t>
      </w:r>
    </w:p>
    <w:p w:rsidR="007A544C" w:rsidRPr="0011743E" w:rsidRDefault="00FE1C68" w:rsidP="003A65B0">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 xml:space="preserve">Uniwersytet w Maastricht, </w:t>
      </w:r>
    </w:p>
    <w:p w:rsidR="00FE1C68" w:rsidRPr="0011743E" w:rsidRDefault="00FE1C68" w:rsidP="003A65B0">
      <w:pPr>
        <w:rPr>
          <w:rStyle w:val="Pogrubienie"/>
          <w:rFonts w:ascii="Times New Roman" w:hAnsi="Times New Roman" w:cs="Times New Roman"/>
          <w:b w:val="0"/>
          <w:i/>
          <w:color w:val="000000"/>
          <w:sz w:val="28"/>
          <w:szCs w:val="32"/>
        </w:rPr>
      </w:pPr>
      <w:r>
        <w:rPr>
          <w:rStyle w:val="Pogrubienie"/>
          <w:rFonts w:ascii="Times New Roman" w:hAnsi="Times New Roman"/>
          <w:b w:val="0"/>
          <w:i/>
          <w:color w:val="000000"/>
          <w:sz w:val="28"/>
        </w:rPr>
        <w:t>Sędzia honorowy – Sąd Apelacyjny – Hertogenbosch</w:t>
      </w:r>
    </w:p>
    <w:p w:rsidR="005D1164" w:rsidRPr="0011743E" w:rsidRDefault="005D1164" w:rsidP="003A65B0">
      <w:pPr>
        <w:spacing w:after="160"/>
        <w:rPr>
          <w:rStyle w:val="Pogrubienie"/>
          <w:rFonts w:ascii="Times New Roman" w:hAnsi="Times New Roman" w:cs="Times New Roman"/>
          <w:color w:val="000000"/>
          <w:sz w:val="28"/>
          <w:szCs w:val="28"/>
        </w:rPr>
      </w:pPr>
    </w:p>
    <w:p w:rsidR="00FE1C68" w:rsidRPr="0011743E" w:rsidRDefault="00FE1C68" w:rsidP="003A65B0">
      <w:pPr>
        <w:pBdr>
          <w:top w:val="single" w:sz="4" w:space="1" w:color="auto"/>
          <w:left w:val="single" w:sz="4" w:space="4" w:color="auto"/>
          <w:bottom w:val="single" w:sz="4" w:space="1" w:color="auto"/>
          <w:right w:val="single" w:sz="4" w:space="4" w:color="auto"/>
        </w:pBdr>
        <w:jc w:val="center"/>
        <w:rPr>
          <w:rStyle w:val="Pogrubienie"/>
          <w:rFonts w:ascii="Times New Roman" w:hAnsi="Times New Roman" w:cs="Times New Roman"/>
          <w:i/>
          <w:color w:val="000000"/>
          <w:sz w:val="32"/>
          <w:szCs w:val="28"/>
        </w:rPr>
      </w:pPr>
      <w:r>
        <w:rPr>
          <w:rStyle w:val="Pogrubienie"/>
          <w:rFonts w:ascii="Times New Roman" w:hAnsi="Times New Roman"/>
          <w:i/>
          <w:color w:val="000000"/>
          <w:sz w:val="32"/>
        </w:rPr>
        <w:t>Spis treści</w:t>
      </w:r>
    </w:p>
    <w:p w:rsidR="005D1164" w:rsidRPr="0011743E" w:rsidRDefault="005D1164" w:rsidP="003A65B0">
      <w:pPr>
        <w:pBdr>
          <w:top w:val="single" w:sz="4" w:space="1" w:color="auto"/>
          <w:left w:val="single" w:sz="4" w:space="4" w:color="auto"/>
          <w:bottom w:val="single" w:sz="4" w:space="1" w:color="auto"/>
          <w:right w:val="single" w:sz="4" w:space="4" w:color="auto"/>
        </w:pBdr>
        <w:rPr>
          <w:rStyle w:val="Pogrubienie"/>
          <w:rFonts w:ascii="Times New Roman" w:hAnsi="Times New Roman" w:cs="Times New Roman"/>
          <w:color w:val="000000"/>
          <w:sz w:val="28"/>
          <w:szCs w:val="28"/>
        </w:rPr>
      </w:pPr>
    </w:p>
    <w:p w:rsidR="007A544C"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A. </w:t>
      </w:r>
      <w:r>
        <w:rPr>
          <w:rStyle w:val="Pogrubienie"/>
          <w:rFonts w:ascii="Times New Roman" w:hAnsi="Times New Roman"/>
          <w:color w:val="000000"/>
          <w:sz w:val="28"/>
        </w:rPr>
        <w:tab/>
        <w:t>Studia przypadku</w:t>
      </w:r>
      <w:r>
        <w:rPr>
          <w:rStyle w:val="Pogrubienie"/>
          <w:rFonts w:ascii="Times New Roman" w:hAnsi="Times New Roman"/>
          <w:color w:val="000000"/>
          <w:sz w:val="28"/>
        </w:rPr>
        <w:tab/>
        <w:t>1</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 xml:space="preserve">Scenariusz przypadku 1; Pytania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1</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 </w:t>
      </w:r>
      <w:r>
        <w:rPr>
          <w:rStyle w:val="Pogrubienie"/>
          <w:rFonts w:ascii="Times New Roman" w:hAnsi="Times New Roman"/>
          <w:b w:val="0"/>
          <w:color w:val="000000"/>
          <w:sz w:val="28"/>
        </w:rPr>
        <w:tab/>
        <w:t>Ćwiczenia</w:t>
      </w:r>
      <w:r>
        <w:rPr>
          <w:rStyle w:val="Pogrubienie"/>
          <w:rFonts w:ascii="Times New Roman" w:hAnsi="Times New Roman"/>
          <w:b w:val="0"/>
          <w:color w:val="000000"/>
          <w:sz w:val="28"/>
        </w:rPr>
        <w:tab/>
        <w:t>2</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III. </w:t>
      </w:r>
      <w:r>
        <w:rPr>
          <w:rStyle w:val="Pogrubienie"/>
          <w:rFonts w:ascii="Times New Roman" w:hAnsi="Times New Roman"/>
          <w:b w:val="0"/>
          <w:color w:val="000000"/>
          <w:sz w:val="28"/>
        </w:rPr>
        <w:tab/>
        <w:t xml:space="preserve">Scenariusz przypadku 2, kontynuacja przypadku 1; Pytania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3</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IV. </w:t>
      </w:r>
      <w:r>
        <w:rPr>
          <w:rStyle w:val="Pogrubienie"/>
          <w:rFonts w:ascii="Times New Roman" w:hAnsi="Times New Roman"/>
          <w:b w:val="0"/>
          <w:color w:val="000000"/>
          <w:sz w:val="28"/>
        </w:rPr>
        <w:tab/>
        <w:t>Zadanie dodatkowe: ENA do Norwegii?</w:t>
      </w:r>
      <w:r>
        <w:rPr>
          <w:rStyle w:val="Pogrubienie"/>
          <w:rFonts w:ascii="Times New Roman" w:hAnsi="Times New Roman"/>
          <w:b w:val="0"/>
          <w:color w:val="000000"/>
          <w:sz w:val="28"/>
        </w:rPr>
        <w:tab/>
        <w:t>3</w:t>
      </w:r>
    </w:p>
    <w:p w:rsidR="005D1164"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p>
    <w:p w:rsidR="00C35570" w:rsidRPr="00C35570"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B. </w:t>
      </w:r>
      <w:r w:rsidR="00625005">
        <w:rPr>
          <w:rStyle w:val="Pogrubienie"/>
          <w:rFonts w:ascii="Times New Roman" w:hAnsi="Times New Roman"/>
          <w:color w:val="000000"/>
          <w:sz w:val="28"/>
        </w:rPr>
        <w:tab/>
      </w:r>
      <w:r>
        <w:rPr>
          <w:rStyle w:val="Pogrubienie"/>
          <w:rFonts w:ascii="Times New Roman" w:hAnsi="Times New Roman"/>
          <w:color w:val="000000"/>
          <w:sz w:val="28"/>
        </w:rPr>
        <w:t xml:space="preserve">Dodatkowe uwagi dla prowadzących szkolenie dotyczące przypadków </w:t>
      </w:r>
      <w:r w:rsidR="00625005">
        <w:rPr>
          <w:rStyle w:val="Pogrubienie"/>
          <w:rFonts w:ascii="Times New Roman" w:hAnsi="Times New Roman"/>
          <w:color w:val="000000"/>
          <w:sz w:val="28"/>
        </w:rPr>
        <w:tab/>
      </w:r>
      <w:r>
        <w:rPr>
          <w:rStyle w:val="Pogrubienie"/>
          <w:rFonts w:ascii="Times New Roman" w:hAnsi="Times New Roman"/>
          <w:color w:val="000000"/>
          <w:sz w:val="28"/>
        </w:rPr>
        <w:t>4</w:t>
      </w:r>
    </w:p>
    <w:p w:rsidR="00C35570" w:rsidRPr="0011743E"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p>
    <w:p w:rsidR="005D1164" w:rsidRPr="0011743E"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C. </w:t>
      </w:r>
      <w:r w:rsidR="00625005">
        <w:rPr>
          <w:rStyle w:val="Pogrubienie"/>
          <w:rFonts w:ascii="Times New Roman" w:hAnsi="Times New Roman"/>
          <w:color w:val="000000"/>
          <w:sz w:val="28"/>
        </w:rPr>
        <w:tab/>
      </w:r>
      <w:r>
        <w:rPr>
          <w:rStyle w:val="Pogrubienie"/>
          <w:rFonts w:ascii="Times New Roman" w:hAnsi="Times New Roman"/>
          <w:color w:val="000000"/>
          <w:sz w:val="28"/>
        </w:rPr>
        <w:t xml:space="preserve">Podejście metodologiczne </w:t>
      </w:r>
      <w:r w:rsidR="007551D4">
        <w:rPr>
          <w:rStyle w:val="Pogrubienie"/>
          <w:rFonts w:ascii="Times New Roman" w:hAnsi="Times New Roman"/>
          <w:color w:val="000000"/>
          <w:sz w:val="28"/>
        </w:rPr>
        <w:tab/>
      </w:r>
      <w:r>
        <w:rPr>
          <w:rStyle w:val="Pogrubienie"/>
          <w:rFonts w:ascii="Times New Roman" w:hAnsi="Times New Roman"/>
          <w:color w:val="000000"/>
          <w:sz w:val="28"/>
        </w:rPr>
        <w:t>5</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w:t>
      </w:r>
      <w:r>
        <w:rPr>
          <w:rStyle w:val="Pogrubienie"/>
          <w:rFonts w:ascii="Times New Roman" w:hAnsi="Times New Roman"/>
          <w:b w:val="0"/>
          <w:color w:val="000000"/>
          <w:sz w:val="28"/>
        </w:rPr>
        <w:tab/>
        <w:t xml:space="preserve">Ogólna idea i podstawowe tematy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5</w:t>
      </w:r>
    </w:p>
    <w:p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w:t>
      </w:r>
      <w:r>
        <w:rPr>
          <w:rStyle w:val="Pogrubienie"/>
          <w:rFonts w:ascii="Times New Roman" w:hAnsi="Times New Roman"/>
          <w:b w:val="0"/>
          <w:color w:val="000000"/>
          <w:sz w:val="28"/>
        </w:rPr>
        <w:tab/>
        <w:t xml:space="preserve">Grupy robocze i struktura seminarium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6</w:t>
      </w:r>
    </w:p>
    <w:p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III.</w:t>
      </w:r>
      <w:r>
        <w:rPr>
          <w:rStyle w:val="Pogrubienie"/>
          <w:rFonts w:ascii="Times New Roman" w:hAnsi="Times New Roman"/>
          <w:b w:val="0"/>
          <w:color w:val="000000"/>
          <w:sz w:val="28"/>
        </w:rPr>
        <w:tab/>
        <w:t xml:space="preserve">Materiał dodatkowy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7</w:t>
      </w:r>
    </w:p>
    <w:p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IV.</w:t>
      </w:r>
      <w:r>
        <w:rPr>
          <w:rStyle w:val="Pogrubienie"/>
          <w:rFonts w:ascii="Times New Roman" w:hAnsi="Times New Roman"/>
          <w:b w:val="0"/>
          <w:color w:val="000000"/>
          <w:sz w:val="28"/>
        </w:rPr>
        <w:tab/>
        <w:t xml:space="preserve">Ostatnie wydarzenia </w:t>
      </w:r>
      <w:r w:rsidR="007551D4">
        <w:rPr>
          <w:rStyle w:val="Pogrubienie"/>
          <w:rFonts w:ascii="Times New Roman" w:hAnsi="Times New Roman"/>
          <w:b w:val="0"/>
          <w:color w:val="000000"/>
          <w:sz w:val="28"/>
        </w:rPr>
        <w:tab/>
      </w:r>
      <w:r>
        <w:rPr>
          <w:rStyle w:val="Pogrubienie"/>
          <w:rFonts w:ascii="Times New Roman" w:hAnsi="Times New Roman"/>
          <w:b w:val="0"/>
          <w:color w:val="000000"/>
          <w:sz w:val="28"/>
        </w:rPr>
        <w:t>7</w:t>
      </w:r>
    </w:p>
    <w:p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b w:val="0"/>
          <w:color w:val="000000"/>
          <w:sz w:val="28"/>
          <w:szCs w:val="28"/>
          <w:lang w:val="en-GB"/>
        </w:rPr>
      </w:pPr>
    </w:p>
    <w:p w:rsidR="0083734B" w:rsidRPr="001F3093"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Pogrubienie"/>
          <w:rFonts w:ascii="Times New Roman" w:hAnsi="Times New Roman" w:cs="Times New Roman"/>
          <w:color w:val="000000"/>
          <w:sz w:val="28"/>
          <w:szCs w:val="28"/>
        </w:rPr>
      </w:pPr>
      <w:r>
        <w:rPr>
          <w:rStyle w:val="Pogrubienie"/>
          <w:rFonts w:ascii="Times New Roman" w:hAnsi="Times New Roman"/>
          <w:color w:val="000000"/>
          <w:sz w:val="28"/>
        </w:rPr>
        <w:t xml:space="preserve">D. </w:t>
      </w:r>
      <w:r w:rsidR="00625005">
        <w:rPr>
          <w:rStyle w:val="Pogrubienie"/>
          <w:rFonts w:ascii="Times New Roman" w:hAnsi="Times New Roman"/>
          <w:color w:val="000000"/>
          <w:sz w:val="28"/>
        </w:rPr>
        <w:tab/>
      </w:r>
      <w:bookmarkStart w:id="0" w:name="_GoBack"/>
      <w:bookmarkEnd w:id="0"/>
      <w:r>
        <w:rPr>
          <w:rStyle w:val="Pogrubienie"/>
          <w:rFonts w:ascii="Times New Roman" w:hAnsi="Times New Roman"/>
          <w:color w:val="000000"/>
          <w:sz w:val="28"/>
        </w:rPr>
        <w:t xml:space="preserve">Rozwiązania </w:t>
      </w:r>
      <w:r w:rsidR="007551D4">
        <w:rPr>
          <w:rStyle w:val="Pogrubienie"/>
          <w:rFonts w:ascii="Times New Roman" w:hAnsi="Times New Roman"/>
          <w:color w:val="000000"/>
          <w:sz w:val="28"/>
        </w:rPr>
        <w:tab/>
      </w:r>
      <w:r>
        <w:rPr>
          <w:rStyle w:val="Pogrubienie"/>
          <w:rFonts w:ascii="Times New Roman" w:hAnsi="Times New Roman"/>
          <w:color w:val="000000"/>
          <w:sz w:val="28"/>
        </w:rPr>
        <w:t>8</w:t>
      </w:r>
    </w:p>
    <w:p w:rsidR="00A51225" w:rsidRPr="001F3093"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Pogrubienie"/>
          <w:rFonts w:ascii="Times New Roman" w:hAnsi="Times New Roman" w:cs="Times New Roman"/>
          <w:color w:val="000000"/>
          <w:sz w:val="28"/>
          <w:szCs w:val="28"/>
          <w:lang w:val="en-US"/>
        </w:rPr>
      </w:pPr>
    </w:p>
    <w:p w:rsidR="00CE154A" w:rsidRPr="0011743E" w:rsidRDefault="00CE154A" w:rsidP="003A65B0">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Europejski nakaz aresztowania (ENA)</w:t>
      </w:r>
    </w:p>
    <w:p w:rsidR="00E372D1" w:rsidRPr="0011743E" w:rsidRDefault="00E372D1" w:rsidP="003A65B0">
      <w:pPr>
        <w:spacing w:after="160"/>
        <w:jc w:val="both"/>
        <w:rPr>
          <w:rStyle w:val="Pogrubienie"/>
          <w:rFonts w:ascii="Times New Roman" w:hAnsi="Times New Roman" w:cs="Times New Roman"/>
          <w:color w:val="000000"/>
          <w:sz w:val="28"/>
          <w:szCs w:val="28"/>
        </w:rPr>
      </w:pPr>
    </w:p>
    <w:p w:rsidR="004B2893" w:rsidRPr="0011743E" w:rsidRDefault="00FE1C68" w:rsidP="003A65B0">
      <w:pPr>
        <w:pStyle w:val="Akapitzlist"/>
        <w:numPr>
          <w:ilvl w:val="0"/>
          <w:numId w:val="13"/>
        </w:numPr>
        <w:ind w:left="0" w:firstLine="0"/>
        <w:contextualSpacing w:val="0"/>
        <w:jc w:val="both"/>
        <w:rPr>
          <w:rFonts w:ascii="Times New Roman" w:hAnsi="Times New Roman" w:cs="Times New Roman"/>
          <w:b/>
          <w:bCs/>
          <w:color w:val="365F91" w:themeColor="accent1" w:themeShade="BF"/>
          <w:sz w:val="28"/>
          <w:szCs w:val="28"/>
        </w:rPr>
      </w:pPr>
      <w:r>
        <w:rPr>
          <w:rStyle w:val="Pogrubienie"/>
          <w:rFonts w:ascii="Times New Roman" w:hAnsi="Times New Roman"/>
          <w:color w:val="365F91" w:themeColor="accent1" w:themeShade="BF"/>
          <w:sz w:val="28"/>
        </w:rPr>
        <w:t xml:space="preserve">I </w:t>
      </w:r>
      <w:r>
        <w:rPr>
          <w:rFonts w:ascii="Times New Roman" w:hAnsi="Times New Roman"/>
          <w:b/>
          <w:color w:val="365F91" w:themeColor="accent1" w:themeShade="BF"/>
          <w:sz w:val="28"/>
        </w:rPr>
        <w:t xml:space="preserve">Przypadek 1 </w:t>
      </w:r>
      <w:r>
        <w:rPr>
          <w:rStyle w:val="Pogrubienie"/>
          <w:rFonts w:ascii="Times New Roman" w:hAnsi="Times New Roman"/>
          <w:color w:val="365F91" w:themeColor="accent1" w:themeShade="BF"/>
          <w:sz w:val="28"/>
        </w:rPr>
        <w:t>scenariusz:</w:t>
      </w:r>
    </w:p>
    <w:p w:rsidR="004B2893" w:rsidRPr="0011743E"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Szef policji w Heraklionie, w imieniu prokuratury przy sądzie apelacyjnym Krety Wschodniej, wydaje ENA do Holandii (Królestwa Niderlandów) w sprawie lekarza medycyny narodowości holenderskiej (dr Drion), zamieszkałego w Maastricht, który miał popełnić morderstwo i dopuścić się sabotażu. Fakty dotyczące morderstwa odnoszą się do jego pomocy w położeniu kresu życia greckiego obywatela Karalisa w Salonikach. Na specjalne życzenie Karalisa, Drion wstrzyknął mu śmiertelną substancję, która spowodowała jego śmierć kilka minut później. Fakty sabotażu dotyczą zniszczenia mienia Aegean Airlines na lotnisku w Atenach, co było wynikiem frustracji dr Driona, który dowiedział się, że nie zdążył na swój lot powrotny do Maastricht. </w:t>
      </w:r>
    </w:p>
    <w:p w:rsidR="00305B19" w:rsidRPr="0011743E" w:rsidRDefault="00305B19" w:rsidP="003A65B0">
      <w:pPr>
        <w:suppressAutoHyphens/>
        <w:autoSpaceDN w:val="0"/>
        <w:spacing w:after="160" w:line="240" w:lineRule="auto"/>
        <w:ind w:left="714"/>
        <w:jc w:val="both"/>
        <w:textAlignment w:val="baseline"/>
        <w:rPr>
          <w:rFonts w:ascii="Times New Roman" w:hAnsi="Times New Roman" w:cs="Times New Roman"/>
          <w:sz w:val="28"/>
          <w:szCs w:val="28"/>
          <w:lang w:val="en-US"/>
        </w:rPr>
      </w:pPr>
    </w:p>
    <w:p w:rsidR="00784CC7" w:rsidRPr="0011743E" w:rsidRDefault="00784CC7" w:rsidP="003A65B0">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Pytania: </w:t>
      </w:r>
    </w:p>
    <w:p w:rsidR="004B2893" w:rsidRPr="0011743E" w:rsidRDefault="00AF18F3" w:rsidP="00EC5565">
      <w:pPr>
        <w:pStyle w:val="Akapitzlist"/>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 xml:space="preserve">Czy Holandia jest zobowiązana do wydania Dr. Driona, a jeśli tak, na jakich warunkach? </w:t>
      </w:r>
    </w:p>
    <w:p w:rsidR="00145B34" w:rsidRPr="0011743E" w:rsidRDefault="004B2893" w:rsidP="00EC5565">
      <w:pPr>
        <w:pStyle w:val="Akapitzlist"/>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Czy miałoby to jakieś znaczenie, gdyby te fakty nie miały miejsca w Grecji, ale w Holandii?</w:t>
      </w:r>
    </w:p>
    <w:p w:rsidR="004B2893" w:rsidRPr="0011743E" w:rsidRDefault="004B2893"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Czy Holandia może dokonać oceny tych przestępstw i zakwalifikować je zgodnie z holenderskim prawem karnym?</w:t>
      </w:r>
    </w:p>
    <w:p w:rsidR="009F6595" w:rsidRPr="0011743E" w:rsidRDefault="009F6595"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Czy narodowość osoby, której dotyczy wniosek, odgrywa jakąś rolę?</w:t>
      </w:r>
    </w:p>
    <w:p w:rsidR="009F6595" w:rsidRPr="0011743E" w:rsidRDefault="009F6595"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Czy osoba, której dotyczy wniosek, zostanie zatrzymana na czas trwania procedury?</w:t>
      </w:r>
    </w:p>
    <w:p w:rsidR="00C76691" w:rsidRPr="0011743E" w:rsidRDefault="00C76691"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Jakie organy będą zaangażowane po obu stronach w odniesieniu do tego ENA?</w:t>
      </w:r>
    </w:p>
    <w:p w:rsidR="00C76691" w:rsidRPr="0011743E" w:rsidRDefault="00C76691"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Jaką procedurę przewiduje się w Holandii i jak długo ona trwa?</w:t>
      </w:r>
    </w:p>
    <w:p w:rsidR="00C76691" w:rsidRPr="0011743E" w:rsidRDefault="00C76691"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Jaką rolę odgrywają organy greckie podczas procedury wydawania osób?</w:t>
      </w:r>
    </w:p>
    <w:p w:rsidR="00C76691" w:rsidRPr="0011743E" w:rsidRDefault="00C76691"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Kiedy i w jaki sposób odbędzie się wydanie?</w:t>
      </w:r>
    </w:p>
    <w:p w:rsidR="009F6595" w:rsidRPr="0011743E" w:rsidRDefault="009F6595" w:rsidP="00EC5565">
      <w:pPr>
        <w:pStyle w:val="Akapitzlist"/>
        <w:numPr>
          <w:ilvl w:val="0"/>
          <w:numId w:val="6"/>
        </w:numPr>
        <w:ind w:hanging="436"/>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lastRenderedPageBreak/>
        <w:t>Wyobraźmy sobie, że procedura wydania się udaje. Pod jakimi warunkami grecki prokurator może również oskarżyć Driona o popełnienie kolejnego przestępstwa kradzieży ze sklepu?</w:t>
      </w:r>
    </w:p>
    <w:p w:rsidR="007551D4" w:rsidRDefault="007551D4" w:rsidP="007551D4">
      <w:pPr>
        <w:spacing w:after="160"/>
        <w:rPr>
          <w:rFonts w:ascii="Times New Roman" w:hAnsi="Times New Roman"/>
          <w:b/>
          <w:color w:val="365F91" w:themeColor="accent1" w:themeShade="BF"/>
          <w:sz w:val="28"/>
        </w:rPr>
      </w:pPr>
    </w:p>
    <w:p w:rsidR="00C76691" w:rsidRPr="0011743E" w:rsidRDefault="00C76691" w:rsidP="007551D4">
      <w:pPr>
        <w:spacing w:after="160"/>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II. Ćwiczenia:</w:t>
      </w:r>
    </w:p>
    <w:p w:rsidR="00C76691" w:rsidRPr="0011743E" w:rsidRDefault="00C76691" w:rsidP="003A65B0">
      <w:pPr>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C76691" w:rsidRPr="0011743E" w:rsidRDefault="00C76691" w:rsidP="003A65B0">
      <w:pPr>
        <w:spacing w:after="160"/>
        <w:jc w:val="both"/>
        <w:rPr>
          <w:rFonts w:ascii="Times New Roman" w:hAnsi="Times New Roman" w:cs="Times New Roman"/>
          <w:sz w:val="28"/>
          <w:szCs w:val="28"/>
          <w:lang w:val="en-US"/>
        </w:rPr>
      </w:pPr>
    </w:p>
    <w:p w:rsidR="00CE154A" w:rsidRPr="0011743E"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Portugalski prokurator w Bradze domaga się wydania niemieckiego obywatela Dietera Müllera, który obecnie przebywa w fińskim Turku, w celu przeprowadzenia postępowania karnego.</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CE154A" w:rsidRPr="0011743E" w:rsidRDefault="00CE154A" w:rsidP="003A65B0">
      <w:pPr>
        <w:spacing w:after="160"/>
        <w:jc w:val="both"/>
        <w:rPr>
          <w:rFonts w:ascii="Times New Roman" w:hAnsi="Times New Roman" w:cs="Times New Roman"/>
          <w:sz w:val="28"/>
          <w:szCs w:val="28"/>
          <w:lang w:val="en-US"/>
        </w:rPr>
      </w:pP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2.</w:t>
      </w:r>
      <w:r w:rsidR="00AF18F3">
        <w:rPr>
          <w:rFonts w:ascii="Times New Roman" w:hAnsi="Times New Roman"/>
          <w:sz w:val="28"/>
        </w:rPr>
        <w:t xml:space="preserve"> </w:t>
      </w:r>
      <w:r>
        <w:rPr>
          <w:rFonts w:ascii="Times New Roman" w:hAnsi="Times New Roman"/>
          <w:sz w:val="28"/>
        </w:rPr>
        <w:t xml:space="preserve">Irlandzka prokuratura otrzymuje ENA dotyczący wyroku w sprawie obywatela francuskiego Leona Laselle'a skazanego zaocznie przez Tribunal de Grande Instance de Bordeaux, Francja. </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Właściwy organ:</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p w:rsidR="00CE154A" w:rsidRPr="0011743E" w:rsidRDefault="00CE154A" w:rsidP="003A65B0">
      <w:pPr>
        <w:spacing w:after="160"/>
        <w:jc w:val="both"/>
        <w:rPr>
          <w:rFonts w:ascii="Times New Roman" w:hAnsi="Times New Roman" w:cs="Times New Roman"/>
          <w:sz w:val="28"/>
          <w:szCs w:val="28"/>
          <w:lang w:val="en-US"/>
        </w:rPr>
      </w:pP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Właściwy organ hiszpański w Maladze poszukuje obywatela rosyjskiego Michaila Lebedenskiego, zamieszkałego w Nikozji na Cyprze.</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1" w:name="_Hlk54103106"/>
      <w:r>
        <w:rPr>
          <w:rFonts w:ascii="Times New Roman" w:hAnsi="Times New Roman"/>
          <w:i/>
          <w:sz w:val="28"/>
        </w:rPr>
        <w:t>Właściwy organ:</w:t>
      </w:r>
    </w:p>
    <w:p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Język:</w:t>
      </w:r>
    </w:p>
    <w:bookmarkEnd w:id="1"/>
    <w:p w:rsidR="00C76691" w:rsidRPr="0011743E" w:rsidRDefault="00C76691" w:rsidP="003A65B0">
      <w:pPr>
        <w:spacing w:after="160"/>
        <w:jc w:val="both"/>
        <w:rPr>
          <w:rStyle w:val="Pogrubienie"/>
          <w:rFonts w:ascii="Times New Roman" w:hAnsi="Times New Roman" w:cs="Times New Roman"/>
          <w:b w:val="0"/>
          <w:bCs w:val="0"/>
          <w:sz w:val="28"/>
          <w:szCs w:val="28"/>
          <w:lang w:val="en-US"/>
        </w:rPr>
      </w:pPr>
    </w:p>
    <w:p w:rsidR="00E372D1" w:rsidRPr="0011743E" w:rsidRDefault="00CE154A" w:rsidP="003A65B0">
      <w:pPr>
        <w:spacing w:after="160"/>
        <w:rPr>
          <w:rStyle w:val="Pogrubienie"/>
          <w:rFonts w:ascii="Times New Roman" w:hAnsi="Times New Roman" w:cs="Times New Roman"/>
          <w:b w:val="0"/>
          <w:bCs w:val="0"/>
          <w:sz w:val="28"/>
          <w:szCs w:val="28"/>
        </w:rPr>
      </w:pPr>
      <w:r>
        <w:br w:type="page"/>
      </w:r>
    </w:p>
    <w:p w:rsidR="00D353E2" w:rsidRPr="003A65B0" w:rsidRDefault="00A145A2" w:rsidP="003A65B0">
      <w:pPr>
        <w:pStyle w:val="Akapitzlist"/>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III. Scenariusz przypadku 2, kontynuacja przypadku 1:</w:t>
      </w:r>
    </w:p>
    <w:p w:rsidR="00A145A2" w:rsidRPr="0011743E" w:rsidRDefault="00A145A2" w:rsidP="003A65B0">
      <w:pPr>
        <w:pBdr>
          <w:top w:val="single" w:sz="4" w:space="1" w:color="auto"/>
          <w:left w:val="single" w:sz="4" w:space="4" w:color="auto"/>
          <w:bottom w:val="single" w:sz="4" w:space="1" w:color="auto"/>
          <w:right w:val="single" w:sz="4" w:space="4" w:color="auto"/>
        </w:pBd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Na rozprawie przed właściwym holenderskim sądem okręgowym obrońca dr. Drion oświadczył, że warunki przetrzymywania w Grecji są poniżej standardów stosowanych przez Europejski Trybunał Praw Człowieka i Trybunał Sprawiedliwości w sprawie Aranyosi. Obrona obawia się, że Drion będzie poddany nieludzkiemu i poniżającemu traktowaniu w więzieniach w Grecji. To, zdaniem obrony, naruszyłoby jego prawa wynikające z art. 3 EKPC i 4 Karty. Obrona wnosi do Trybunału o odmowę wydania.</w:t>
      </w:r>
    </w:p>
    <w:p w:rsidR="00A145A2" w:rsidRPr="0011743E" w:rsidRDefault="00A145A2" w:rsidP="003A65B0">
      <w:pPr>
        <w:spacing w:after="160"/>
        <w:jc w:val="both"/>
        <w:rPr>
          <w:rStyle w:val="Pogrubienie"/>
          <w:rFonts w:ascii="Times New Roman" w:hAnsi="Times New Roman" w:cs="Times New Roman"/>
          <w:b w:val="0"/>
          <w:bCs w:val="0"/>
          <w:sz w:val="28"/>
          <w:szCs w:val="28"/>
          <w:lang w:val="en-US"/>
        </w:rPr>
      </w:pPr>
    </w:p>
    <w:p w:rsidR="009F6595" w:rsidRPr="0011743E" w:rsidRDefault="009F6595" w:rsidP="003A65B0">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Pytania: </w:t>
      </w:r>
    </w:p>
    <w:p w:rsidR="009F6595" w:rsidRPr="0011743E" w:rsidRDefault="009F6595" w:rsidP="003A65B0">
      <w:pPr>
        <w:pStyle w:val="Akapitzlist"/>
        <w:numPr>
          <w:ilvl w:val="3"/>
          <w:numId w:val="8"/>
        </w:numPr>
        <w:ind w:left="709" w:hanging="709"/>
        <w:contextualSpacing w:val="0"/>
        <w:jc w:val="both"/>
        <w:rPr>
          <w:rFonts w:ascii="Times New Roman" w:hAnsi="Times New Roman" w:cs="Times New Roman"/>
          <w:i/>
          <w:sz w:val="28"/>
          <w:szCs w:val="28"/>
        </w:rPr>
      </w:pPr>
      <w:r>
        <w:rPr>
          <w:rFonts w:ascii="Times New Roman" w:hAnsi="Times New Roman"/>
          <w:i/>
          <w:sz w:val="28"/>
        </w:rPr>
        <w:t>Czy organ egzekucyjny jest zobowiązany do zajęcia się tą sprawą?</w:t>
      </w:r>
    </w:p>
    <w:p w:rsidR="009F6595" w:rsidRPr="0011743E" w:rsidRDefault="009F6595" w:rsidP="003A65B0">
      <w:pPr>
        <w:pStyle w:val="Akapitzlist"/>
        <w:numPr>
          <w:ilvl w:val="3"/>
          <w:numId w:val="8"/>
        </w:numPr>
        <w:ind w:left="709" w:hanging="709"/>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Jeśli tak, to jak sobie z tym poradzi?</w:t>
      </w:r>
    </w:p>
    <w:p w:rsidR="009F6595" w:rsidRPr="0011743E" w:rsidRDefault="009F6595" w:rsidP="003A65B0">
      <w:pPr>
        <w:pStyle w:val="Akapitzlist"/>
        <w:numPr>
          <w:ilvl w:val="3"/>
          <w:numId w:val="8"/>
        </w:numPr>
        <w:ind w:left="709" w:hanging="709"/>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Czy organ wydający nakaz ma do odegrania jakąś rolę?</w:t>
      </w:r>
    </w:p>
    <w:p w:rsidR="007D5CAB" w:rsidRPr="0011743E" w:rsidRDefault="009F6595" w:rsidP="003A65B0">
      <w:pPr>
        <w:pStyle w:val="Akapitzlist"/>
        <w:numPr>
          <w:ilvl w:val="3"/>
          <w:numId w:val="8"/>
        </w:numPr>
        <w:ind w:left="709" w:hanging="709"/>
        <w:contextualSpacing w:val="0"/>
        <w:jc w:val="both"/>
        <w:rPr>
          <w:rStyle w:val="Pogrubienie"/>
          <w:rFonts w:ascii="Times New Roman" w:hAnsi="Times New Roman" w:cs="Times New Roman"/>
          <w:b w:val="0"/>
          <w:bCs w:val="0"/>
          <w:i/>
          <w:sz w:val="28"/>
          <w:szCs w:val="28"/>
        </w:rPr>
      </w:pPr>
      <w:r>
        <w:rPr>
          <w:rStyle w:val="Pogrubienie"/>
          <w:rFonts w:ascii="Times New Roman" w:hAnsi="Times New Roman"/>
          <w:b w:val="0"/>
          <w:i/>
          <w:sz w:val="28"/>
        </w:rPr>
        <w:t>Czy organ wykonujący nakaz ma możliwość odroczenia wykonania ENA lub odmowy jego wykonania?</w:t>
      </w:r>
    </w:p>
    <w:p w:rsidR="00CE154A" w:rsidRPr="0011743E" w:rsidRDefault="00CE154A" w:rsidP="003A65B0">
      <w:pPr>
        <w:spacing w:after="160"/>
        <w:jc w:val="both"/>
        <w:rPr>
          <w:rFonts w:ascii="Times New Roman" w:hAnsi="Times New Roman" w:cs="Times New Roman"/>
          <w:i/>
          <w:sz w:val="28"/>
          <w:szCs w:val="28"/>
        </w:rPr>
      </w:pPr>
    </w:p>
    <w:p w:rsidR="00FE1C68" w:rsidRPr="003A65B0" w:rsidRDefault="00FE1C68" w:rsidP="003A65B0">
      <w:pPr>
        <w:pStyle w:val="Akapitzlist"/>
        <w:numPr>
          <w:ilvl w:val="0"/>
          <w:numId w:val="14"/>
        </w:numPr>
        <w:ind w:left="0" w:firstLine="0"/>
        <w:contextualSpacing w:val="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IV. Zadanie dodatkowe: ENA do Norwegii?</w:t>
      </w:r>
    </w:p>
    <w:p w:rsidR="00FE1C68" w:rsidRPr="0011743E" w:rsidRDefault="00FE1C68" w:rsidP="003A65B0">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Weźmy Scenariusz 1 i zastąpmy Holandię Norwegią, j. holenderski norweskim, a Maastricht Bergen. Wszystkie inne fakty pozostają bez zmian. W jaki sposób i na jakiej podstawie należy teraz wydać nakaz aresztowania i odpowiedzieć na pytanie zawarte w scenariuszu 1?</w:t>
      </w:r>
    </w:p>
    <w:p w:rsidR="00FE1C68" w:rsidRPr="0011743E" w:rsidRDefault="00FE1C68" w:rsidP="003A65B0">
      <w:pPr>
        <w:spacing w:after="160"/>
        <w:jc w:val="both"/>
        <w:rPr>
          <w:rStyle w:val="Pogrubienie"/>
          <w:rFonts w:ascii="Times New Roman" w:hAnsi="Times New Roman" w:cs="Times New Roman"/>
          <w:b w:val="0"/>
          <w:color w:val="000000"/>
          <w:sz w:val="28"/>
          <w:szCs w:val="28"/>
          <w:lang w:val="en-US"/>
        </w:rPr>
      </w:pPr>
    </w:p>
    <w:p w:rsidR="00FE1C68" w:rsidRDefault="00107C53" w:rsidP="003A65B0">
      <w:pPr>
        <w:spacing w:after="160"/>
        <w:rPr>
          <w:rStyle w:val="Pogrubienie"/>
          <w:rFonts w:ascii="Times New Roman" w:hAnsi="Times New Roman" w:cs="Times New Roman"/>
          <w:color w:val="000000"/>
          <w:sz w:val="28"/>
          <w:szCs w:val="28"/>
        </w:rPr>
      </w:pPr>
      <w:r>
        <w:br w:type="page"/>
      </w:r>
    </w:p>
    <w:p w:rsidR="00C35570" w:rsidRPr="00C35570" w:rsidRDefault="00C35570" w:rsidP="003A65B0">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B. Dodatkowe uwagi dla prowadzących szkolenie dotyczące przypadków</w:t>
      </w:r>
    </w:p>
    <w:p w:rsidR="00C35570" w:rsidRDefault="00C35570" w:rsidP="003A65B0">
      <w:pPr>
        <w:spacing w:after="160"/>
        <w:rPr>
          <w:rStyle w:val="Pogrubienie"/>
          <w:rFonts w:ascii="Times New Roman" w:hAnsi="Times New Roman" w:cs="Times New Roman"/>
          <w:color w:val="000000"/>
          <w:sz w:val="28"/>
          <w:szCs w:val="28"/>
          <w:lang w:val="en-US"/>
        </w:rPr>
      </w:pPr>
    </w:p>
    <w:p w:rsidR="00C35570" w:rsidRPr="00C35570" w:rsidRDefault="00C35570" w:rsidP="003A65B0">
      <w:pPr>
        <w:spacing w:after="160"/>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A. I. Przypadek 1:</w:t>
      </w:r>
    </w:p>
    <w:p w:rsidR="00C35570" w:rsidRDefault="00C35570" w:rsidP="003A65B0">
      <w:pPr>
        <w:spacing w:after="160"/>
        <w:jc w:val="both"/>
        <w:rPr>
          <w:rFonts w:ascii="Times New Roman" w:hAnsi="Times New Roman" w:cs="Times New Roman"/>
          <w:bCs/>
          <w:sz w:val="28"/>
          <w:szCs w:val="28"/>
        </w:rPr>
      </w:pPr>
      <w:r>
        <w:rPr>
          <w:rFonts w:ascii="Times New Roman" w:hAnsi="Times New Roman"/>
          <w:sz w:val="28"/>
        </w:rPr>
        <w:t>W zależności od państwa członkowskiego, w którym odbywa się seminarium, kraje ze scenariusza nr 1 i 2 będą się zmieniać. Upewnij się, że weźmiesz państwo członkowskie, które zdecydowanie sprzeciwia się eutanazji i państwo członkowskie, które dopuszcza ją w pewnych okolicznościach</w:t>
      </w:r>
    </w:p>
    <w:p w:rsidR="00C35570" w:rsidRDefault="00C35570" w:rsidP="003A65B0">
      <w:pPr>
        <w:spacing w:after="160"/>
        <w:jc w:val="both"/>
        <w:rPr>
          <w:rStyle w:val="Pogrubienie"/>
          <w:rFonts w:ascii="Times New Roman" w:hAnsi="Times New Roman" w:cs="Times New Roman"/>
          <w:b w:val="0"/>
          <w:color w:val="000000"/>
          <w:sz w:val="28"/>
          <w:szCs w:val="28"/>
          <w:lang w:val="en-US"/>
        </w:rPr>
      </w:pPr>
    </w:p>
    <w:p w:rsidR="00C35570" w:rsidRDefault="00C35570" w:rsidP="003A65B0">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A. IV. Zadanie dodatkowe: ENA do Norwegii?</w:t>
      </w:r>
    </w:p>
    <w:p w:rsidR="00C35570" w:rsidRPr="00C35570" w:rsidRDefault="00C35570" w:rsidP="003A65B0">
      <w:pPr>
        <w:spacing w:after="16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To zadanie może być wykorzystane, jeśli pozwala na to czas i powinno być powierzone bardziej doświadczonym praktykom</w:t>
      </w:r>
    </w:p>
    <w:p w:rsidR="00C35570" w:rsidRPr="00C35570" w:rsidRDefault="00C35570" w:rsidP="003A65B0">
      <w:pPr>
        <w:spacing w:after="160"/>
        <w:jc w:val="both"/>
        <w:rPr>
          <w:rStyle w:val="Pogrubienie"/>
          <w:rFonts w:ascii="Times New Roman" w:hAnsi="Times New Roman" w:cs="Times New Roman"/>
          <w:b w:val="0"/>
          <w:color w:val="000000"/>
          <w:sz w:val="28"/>
          <w:szCs w:val="28"/>
        </w:rPr>
      </w:pPr>
      <w:r>
        <w:br w:type="page"/>
      </w:r>
    </w:p>
    <w:p w:rsidR="00784CC7" w:rsidRPr="0011743E" w:rsidRDefault="00107C53" w:rsidP="003A65B0">
      <w:pPr>
        <w:pStyle w:val="Test"/>
        <w:shd w:val="clear" w:color="auto" w:fill="DED888"/>
        <w:spacing w:after="160"/>
        <w:jc w:val="center"/>
        <w:rPr>
          <w:rStyle w:val="Pogrubienie"/>
          <w:rFonts w:ascii="Times New Roman" w:hAnsi="Times New Roman"/>
          <w:b/>
          <w:color w:val="365F91" w:themeColor="accent1" w:themeShade="BF"/>
          <w:sz w:val="32"/>
          <w:szCs w:val="32"/>
        </w:rPr>
      </w:pPr>
      <w:r>
        <w:rPr>
          <w:rStyle w:val="Pogrubienie"/>
          <w:rFonts w:ascii="Times New Roman" w:hAnsi="Times New Roman"/>
          <w:b/>
          <w:color w:val="365F91" w:themeColor="accent1" w:themeShade="BF"/>
          <w:sz w:val="32"/>
        </w:rPr>
        <w:lastRenderedPageBreak/>
        <w:t>Część C. Podejście metodologiczne</w:t>
      </w:r>
    </w:p>
    <w:p w:rsidR="00107C53" w:rsidRPr="0011743E" w:rsidRDefault="00107C53" w:rsidP="003A65B0">
      <w:pPr>
        <w:spacing w:after="160"/>
        <w:jc w:val="both"/>
        <w:rPr>
          <w:rStyle w:val="Pogrubienie"/>
          <w:rFonts w:ascii="Times New Roman" w:hAnsi="Times New Roman" w:cs="Times New Roman"/>
          <w:color w:val="000000"/>
          <w:sz w:val="28"/>
          <w:szCs w:val="28"/>
        </w:rPr>
      </w:pPr>
    </w:p>
    <w:p w:rsidR="00107C53"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Ogólne założenie i główne tematy</w:t>
      </w:r>
    </w:p>
    <w:p w:rsidR="00D353E2" w:rsidRPr="0011743E"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W pierwszym przypadku chodzi o wyjaśnienie znaczenia pojęcia wzajemnego uznawania. Wiąże się to z dużym zaufaniem do systemów wymiaru sprawiedliwości w sprawach karnych drugiej strony i wymaga, by współpraca miała miejsce nawet w sytuacjach, w których znalezione rozwiązanie byłoby zupełnie inne w danym państwie członkowskim. Ważne jest, aby zauważyć, że krajowe kwalifikacje prawne często nie mają zastosowania. Zasadniczo nakazy aresztowania muszą być przyjmowane w takiej formie, w jakiej są, i wykonywane. W większości przypadków warunki określa państwo członkowskie wydające nakaz. Istnieje jednak kilka wyjątków. W orzecznictwie Trybunału wypracowano pewne wyjątki, o których nie ma mowy w decyzji ramowej, a które muszą być stosowane w praktyce. Przygotowując się do pracy ze swoimi organami, pracownicy sądu muszą rozwijać wrażliwość, aby rozpoznawać takie sytuacje, ponieważ mogą one powodować opóźnienia, a nawet utrudniać współpracę lub prowadzić do konsekwencji mających zastosowanie po przekazaniu.</w:t>
      </w:r>
    </w:p>
    <w:p w:rsidR="00D353E2" w:rsidRPr="0011743E" w:rsidRDefault="00D353E2" w:rsidP="003A65B0">
      <w:pPr>
        <w:spacing w:after="160"/>
        <w:jc w:val="both"/>
        <w:rPr>
          <w:rFonts w:ascii="Times New Roman" w:eastAsia="Calibri" w:hAnsi="Times New Roman" w:cs="Times New Roman"/>
          <w:bCs/>
          <w:sz w:val="28"/>
          <w:szCs w:val="28"/>
        </w:rPr>
      </w:pPr>
      <w:r>
        <w:rPr>
          <w:rFonts w:ascii="Times New Roman" w:hAnsi="Times New Roman"/>
          <w:sz w:val="28"/>
        </w:rPr>
        <w:t>Przypadki i pytania zostały zaprojektowane w taki sposób, aby umożliwić prowadzącym szkolenie i uczestnikom zmierzenie się z nimi:</w:t>
      </w:r>
    </w:p>
    <w:p w:rsidR="00D353E2" w:rsidRPr="0011743E" w:rsidRDefault="005D1164" w:rsidP="003A65B0">
      <w:pPr>
        <w:pStyle w:val="Akapitzlist"/>
        <w:numPr>
          <w:ilvl w:val="3"/>
          <w:numId w:val="1"/>
        </w:numPr>
        <w:ind w:left="567" w:hanging="567"/>
        <w:contextualSpacing w:val="0"/>
        <w:jc w:val="both"/>
        <w:rPr>
          <w:rStyle w:val="Pogrubienie"/>
          <w:rFonts w:ascii="Times New Roman" w:hAnsi="Times New Roman" w:cs="Times New Roman"/>
          <w:b w:val="0"/>
          <w:color w:val="000000"/>
          <w:sz w:val="28"/>
          <w:szCs w:val="28"/>
        </w:rPr>
      </w:pPr>
      <w:r>
        <w:rPr>
          <w:rFonts w:ascii="Times New Roman" w:hAnsi="Times New Roman"/>
          <w:sz w:val="28"/>
        </w:rPr>
        <w:t xml:space="preserve">Struktura i podstawowe założenia wzajemnego uznawania w ogólnym ujęciu i </w:t>
      </w:r>
      <w:r w:rsidR="00AF18F3">
        <w:rPr>
          <w:rFonts w:ascii="Times New Roman" w:hAnsi="Times New Roman"/>
          <w:sz w:val="28"/>
        </w:rPr>
        <w:t>w kontekście</w:t>
      </w:r>
      <w:r>
        <w:rPr>
          <w:rFonts w:ascii="Times New Roman" w:hAnsi="Times New Roman"/>
          <w:sz w:val="28"/>
        </w:rPr>
        <w:t xml:space="preserve"> </w:t>
      </w:r>
      <w:r>
        <w:rPr>
          <w:rStyle w:val="Pogrubienie"/>
          <w:rFonts w:ascii="Times New Roman" w:hAnsi="Times New Roman"/>
          <w:b w:val="0"/>
          <w:color w:val="000000"/>
          <w:sz w:val="28"/>
        </w:rPr>
        <w:t>decyzji ramowej Rady 2002/584/WSiSW z dnia 13 czerwca 2002 r. w sprawie europejskiego nakazu aresztowania i procedury wydawania osób między państwami członkowskimi; Uwaga</w:t>
      </w:r>
      <w:r>
        <w:rPr>
          <w:rFonts w:ascii="Times New Roman" w:hAnsi="Times New Roman"/>
          <w:sz w:val="28"/>
        </w:rPr>
        <w:t>:</w:t>
      </w:r>
      <w:r>
        <w:rPr>
          <w:rStyle w:val="Pogrubienie"/>
          <w:rFonts w:ascii="Times New Roman" w:hAnsi="Times New Roman"/>
          <w:b w:val="0"/>
          <w:color w:val="000000"/>
          <w:sz w:val="28"/>
        </w:rPr>
        <w:t xml:space="preserve"> ENA, jako najstarsze i wyłączne narzędzie ekstradycji/wydania, stanowi laboratorium dla wszystkich innych instrumentów dotyczących wzajemnego uznawania. Zmiany w orzecznictwie dotyczącym ENA mają zatem natychmiastowy wpływ na wszelkie in</w:t>
      </w:r>
      <w:r w:rsidR="00DD26AA">
        <w:rPr>
          <w:rStyle w:val="Pogrubienie"/>
          <w:rFonts w:ascii="Times New Roman" w:hAnsi="Times New Roman"/>
          <w:b w:val="0"/>
          <w:color w:val="000000"/>
          <w:sz w:val="28"/>
        </w:rPr>
        <w:t>ne formy współpracy.</w:t>
      </w:r>
    </w:p>
    <w:p w:rsidR="00D353E2" w:rsidRPr="0011743E" w:rsidRDefault="00D353E2" w:rsidP="003A65B0">
      <w:pPr>
        <w:pStyle w:val="Akapitzlist"/>
        <w:numPr>
          <w:ilvl w:val="3"/>
          <w:numId w:val="1"/>
        </w:numPr>
        <w:ind w:left="567" w:hanging="567"/>
        <w:contextualSpacing w:val="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 xml:space="preserve">Ustalenie, które organy </w:t>
      </w:r>
      <w:r w:rsidR="00DD26AA">
        <w:rPr>
          <w:rStyle w:val="Pogrubienie"/>
          <w:rFonts w:ascii="Times New Roman" w:hAnsi="Times New Roman"/>
          <w:b w:val="0"/>
          <w:color w:val="000000"/>
          <w:sz w:val="28"/>
        </w:rPr>
        <w:t>są zaangażowane po obu stronach.</w:t>
      </w:r>
    </w:p>
    <w:p w:rsidR="00D353E2" w:rsidRPr="0011743E" w:rsidRDefault="00D353E2" w:rsidP="003A65B0">
      <w:pPr>
        <w:pStyle w:val="Akapitzlist"/>
        <w:numPr>
          <w:ilvl w:val="3"/>
          <w:numId w:val="1"/>
        </w:numPr>
        <w:ind w:left="567" w:hanging="567"/>
        <w:contextualSpacing w:val="0"/>
        <w:jc w:val="both"/>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Sposób podziału zadań między organem wydając</w:t>
      </w:r>
      <w:r w:rsidR="00DD26AA">
        <w:rPr>
          <w:rStyle w:val="Pogrubienie"/>
          <w:rFonts w:ascii="Times New Roman" w:hAnsi="Times New Roman"/>
          <w:b w:val="0"/>
          <w:color w:val="000000"/>
          <w:sz w:val="28"/>
        </w:rPr>
        <w:t>ym a organem wykonującym nakaz.</w:t>
      </w:r>
    </w:p>
    <w:p w:rsidR="00D353E2" w:rsidRPr="0011743E" w:rsidRDefault="00D353E2" w:rsidP="003A65B0">
      <w:pPr>
        <w:pStyle w:val="Akapitzlist"/>
        <w:numPr>
          <w:ilvl w:val="3"/>
          <w:numId w:val="1"/>
        </w:numPr>
        <w:ind w:left="567" w:hanging="567"/>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sz w:val="28"/>
        </w:rPr>
        <w:t>W jaki sposób można nawiązać kontakt między organami i j</w:t>
      </w:r>
      <w:r w:rsidR="00DD26AA">
        <w:rPr>
          <w:rStyle w:val="Pogrubienie"/>
          <w:rFonts w:ascii="Times New Roman" w:hAnsi="Times New Roman"/>
          <w:b w:val="0"/>
          <w:sz w:val="28"/>
        </w:rPr>
        <w:t>akich gwarancji należy udzielić?</w:t>
      </w:r>
    </w:p>
    <w:p w:rsidR="00D353E2" w:rsidRPr="0011743E" w:rsidRDefault="00D353E2" w:rsidP="003A65B0">
      <w:pPr>
        <w:pStyle w:val="Akapitzlist"/>
        <w:numPr>
          <w:ilvl w:val="3"/>
          <w:numId w:val="1"/>
        </w:numPr>
        <w:ind w:left="567" w:hanging="567"/>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t>Jakie są konsekwencje wydania dla ścigania w państw</w:t>
      </w:r>
      <w:r w:rsidR="00DD26AA">
        <w:rPr>
          <w:rStyle w:val="Pogrubienie"/>
          <w:rFonts w:ascii="Times New Roman" w:hAnsi="Times New Roman"/>
          <w:b w:val="0"/>
          <w:color w:val="000000"/>
          <w:sz w:val="28"/>
        </w:rPr>
        <w:t>ie członkowskim wydającym nakaz?</w:t>
      </w:r>
    </w:p>
    <w:p w:rsidR="00E372D1" w:rsidRPr="0011743E" w:rsidRDefault="00E372D1" w:rsidP="003A65B0">
      <w:pPr>
        <w:pStyle w:val="Akapitzlist"/>
        <w:numPr>
          <w:ilvl w:val="3"/>
          <w:numId w:val="1"/>
        </w:numPr>
        <w:ind w:left="567" w:hanging="567"/>
        <w:contextualSpacing w:val="0"/>
        <w:rPr>
          <w:rStyle w:val="Pogrubienie"/>
          <w:rFonts w:ascii="Times New Roman" w:hAnsi="Times New Roman" w:cs="Times New Roman"/>
          <w:b w:val="0"/>
          <w:color w:val="000000"/>
          <w:sz w:val="28"/>
          <w:szCs w:val="28"/>
        </w:rPr>
      </w:pPr>
      <w:r>
        <w:rPr>
          <w:rStyle w:val="Pogrubienie"/>
          <w:rFonts w:ascii="Times New Roman" w:hAnsi="Times New Roman"/>
          <w:b w:val="0"/>
          <w:color w:val="000000"/>
          <w:sz w:val="28"/>
        </w:rPr>
        <w:lastRenderedPageBreak/>
        <w:t>Jakie są konsekwencje przekazania dla zatrzymania państw</w:t>
      </w:r>
      <w:r w:rsidR="00DD26AA">
        <w:rPr>
          <w:rStyle w:val="Pogrubienie"/>
          <w:rFonts w:ascii="Times New Roman" w:hAnsi="Times New Roman"/>
          <w:b w:val="0"/>
          <w:color w:val="000000"/>
          <w:sz w:val="28"/>
        </w:rPr>
        <w:t>ie członkowskim wydającym nakaz?</w:t>
      </w:r>
    </w:p>
    <w:p w:rsidR="00D353E2" w:rsidRPr="0011743E" w:rsidRDefault="00E372D1" w:rsidP="003A65B0">
      <w:pPr>
        <w:pStyle w:val="Akapitzlist"/>
        <w:numPr>
          <w:ilvl w:val="3"/>
          <w:numId w:val="1"/>
        </w:numPr>
        <w:ind w:left="567" w:hanging="567"/>
        <w:contextualSpacing w:val="0"/>
        <w:rPr>
          <w:rFonts w:ascii="Times New Roman" w:hAnsi="Times New Roman" w:cs="Times New Roman"/>
          <w:bCs/>
          <w:color w:val="000000"/>
          <w:sz w:val="28"/>
          <w:szCs w:val="28"/>
        </w:rPr>
      </w:pPr>
      <w:r>
        <w:rPr>
          <w:rStyle w:val="Pogrubienie"/>
          <w:rFonts w:ascii="Times New Roman" w:hAnsi="Times New Roman"/>
          <w:b w:val="0"/>
          <w:color w:val="000000"/>
          <w:sz w:val="28"/>
        </w:rPr>
        <w:t>Rola, jaką może odegrać obrona w próbie zablokowania wydania lub uzyskania lepszych warunków.</w:t>
      </w:r>
    </w:p>
    <w:p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Grupy robocze i struktura seminarium</w:t>
      </w:r>
    </w:p>
    <w:p w:rsidR="005D1164" w:rsidRPr="0011743E" w:rsidRDefault="005D1164" w:rsidP="003A65B0">
      <w:pPr>
        <w:spacing w:after="160"/>
        <w:jc w:val="both"/>
        <w:rPr>
          <w:rFonts w:ascii="Times New Roman" w:hAnsi="Times New Roman" w:cs="Times New Roman"/>
          <w:sz w:val="28"/>
          <w:szCs w:val="28"/>
        </w:rPr>
      </w:pPr>
      <w:r>
        <w:rPr>
          <w:rFonts w:ascii="Times New Roman" w:hAnsi="Times New Roman"/>
          <w:sz w:val="28"/>
        </w:rPr>
        <w:t>Przed seminarium prowadzący prześle jednostronicowy kwestionariusz, aby poznać doświadczenia uczestników w zakresie decyzji ramowej (DR) i jej stosowania w praktyce. Zapyta również, jakie są oczekiwania uczestników i na jakie pytania chcieliby uzyskać odpowiedzi. Uzyskane w ten sposób informacje zostaną wykorzystane w prezentacji, jak również wpłyną na wybory, których trzeba będzie dokonać przy różnicowaniu poziomu zadań do omówienia i ewentualnych dodatkowych pytań. Ważne jest, aby informacje te były dostępne, ponieważ można się spodziewać, że wśród uczestników poziom doświadczenia, ich zdolności językowe i codzienne zadania w praktyce mogą się różnić.</w:t>
      </w:r>
    </w:p>
    <w:p w:rsidR="004D5F0E" w:rsidRPr="004D5F0E" w:rsidRDefault="00E372D1" w:rsidP="003A65B0">
      <w:pPr>
        <w:spacing w:after="160"/>
        <w:jc w:val="both"/>
        <w:rPr>
          <w:rFonts w:ascii="Times New Roman" w:hAnsi="Times New Roman" w:cs="Times New Roman"/>
          <w:sz w:val="28"/>
          <w:szCs w:val="28"/>
        </w:rPr>
      </w:pPr>
      <w:r>
        <w:rPr>
          <w:rFonts w:ascii="Times New Roman" w:hAnsi="Times New Roman"/>
          <w:sz w:val="28"/>
        </w:rPr>
        <w:t xml:space="preserve">Osoba prowadząca szkolenie przedstawi uczestnikom krótką prezentację (Power Point) podkreślającą istotne cechy </w:t>
      </w:r>
      <w:r>
        <w:rPr>
          <w:rStyle w:val="Pogrubienie"/>
          <w:rFonts w:ascii="Times New Roman" w:hAnsi="Times New Roman"/>
          <w:color w:val="000000"/>
          <w:sz w:val="28"/>
        </w:rPr>
        <w:t xml:space="preserve">decyzji ramowej Rady 2002/584/WSiSW z dnia 13 czerwca 2002 r. w sprawie europejskiego nakazu aresztowania i procedury </w:t>
      </w:r>
      <w:r w:rsidR="00AF18F3">
        <w:rPr>
          <w:rStyle w:val="Pogrubienie"/>
          <w:rFonts w:ascii="Times New Roman" w:hAnsi="Times New Roman"/>
          <w:color w:val="000000"/>
          <w:sz w:val="28"/>
        </w:rPr>
        <w:t>wydawania</w:t>
      </w:r>
      <w:r w:rsidR="00AF18F3">
        <w:rPr>
          <w:rFonts w:ascii="Times New Roman" w:hAnsi="Times New Roman"/>
          <w:sz w:val="28"/>
        </w:rPr>
        <w:t xml:space="preserve"> osób</w:t>
      </w:r>
      <w:r>
        <w:rPr>
          <w:rFonts w:ascii="Times New Roman" w:hAnsi="Times New Roman"/>
          <w:sz w:val="28"/>
        </w:rPr>
        <w:t xml:space="preserve"> między państwami członkowskimi – zakres zastosowania, definicje, właściwe organy, rozróżnienie między przekazaniem w celu ścigania a wykonaniem, rola obywatelstwa lub miejsca zamieszkania osoby, której dotyczy wniosek, podstawy odmowy, terminy, prawo właściwe, kolejne decyzje, obowiązki państw członkowskich</w:t>
      </w:r>
      <w:r>
        <w:rPr>
          <w:rFonts w:ascii="Times New Roman" w:hAnsi="Times New Roman"/>
          <w:b/>
          <w:sz w:val="28"/>
        </w:rPr>
        <w:t xml:space="preserve"> (ok. 15-20 min</w:t>
      </w:r>
      <w:r>
        <w:rPr>
          <w:rFonts w:ascii="Times New Roman" w:hAnsi="Times New Roman"/>
          <w:sz w:val="28"/>
        </w:rPr>
        <w:t xml:space="preserve">). </w:t>
      </w:r>
    </w:p>
    <w:p w:rsidR="00E372D1" w:rsidRDefault="00E372D1" w:rsidP="003A65B0">
      <w:pPr>
        <w:spacing w:after="160"/>
        <w:jc w:val="both"/>
        <w:rPr>
          <w:rFonts w:ascii="Times New Roman" w:hAnsi="Times New Roman" w:cs="Times New Roman"/>
          <w:sz w:val="28"/>
          <w:szCs w:val="28"/>
        </w:rPr>
      </w:pPr>
      <w:r>
        <w:rPr>
          <w:rFonts w:ascii="Times New Roman" w:hAnsi="Times New Roman"/>
          <w:b/>
          <w:i/>
          <w:sz w:val="28"/>
        </w:rPr>
        <w:t>Scenariusz przypadku 1</w:t>
      </w:r>
      <w:r>
        <w:rPr>
          <w:rFonts w:ascii="Times New Roman" w:hAnsi="Times New Roman"/>
          <w:sz w:val="28"/>
        </w:rPr>
        <w:t xml:space="preserve"> ma na celu zarówno zajęcie się bardzo podstawowymi kwestiami, jak i bardziej dogłębną analizę kilku problemów, które mogą wystąpić. Uczestnicy będą pracować w grupach 4-5 osobowych i będą mieli do dyspozycji laptopa podłączonego do Internetu w celu rozwiązania pytań. Szczególnie polecane są strony internetowe EJN, Eurlex i Trybunału Sprawiedliwości. Celem jest, aby uczestnicy nauczyli się korzystać z tych stron internetowych w celu uzyskania potrzebnych informacji i wykorzystania ich w rozwiązywaniu omawianych problemów. Rozwiązanie przypadku 1 i udzielenie odpowiedzi na pytania powinno zająć </w:t>
      </w:r>
      <w:r>
        <w:rPr>
          <w:rFonts w:ascii="Times New Roman" w:hAnsi="Times New Roman"/>
          <w:b/>
          <w:sz w:val="28"/>
        </w:rPr>
        <w:t>ok. 1 godziny i 40 minut</w:t>
      </w:r>
      <w:r>
        <w:rPr>
          <w:rFonts w:ascii="Times New Roman" w:hAnsi="Times New Roman"/>
          <w:sz w:val="28"/>
        </w:rPr>
        <w:t>. Grupy mogą być tworzone poprzez zebranie uczestników o tym samym poziomie doświadczenia.</w:t>
      </w:r>
    </w:p>
    <w:p w:rsidR="00D739ED" w:rsidRPr="0011743E" w:rsidRDefault="00E372D1" w:rsidP="003A65B0">
      <w:pPr>
        <w:spacing w:after="160"/>
        <w:jc w:val="both"/>
        <w:rPr>
          <w:rFonts w:ascii="Times New Roman" w:hAnsi="Times New Roman" w:cs="Times New Roman"/>
          <w:sz w:val="28"/>
          <w:szCs w:val="28"/>
        </w:rPr>
      </w:pPr>
      <w:r>
        <w:rPr>
          <w:rFonts w:ascii="Times New Roman" w:hAnsi="Times New Roman"/>
          <w:sz w:val="28"/>
        </w:rPr>
        <w:t>W tym momencie zalecana jest 10-minutowa przerwa.</w:t>
      </w:r>
    </w:p>
    <w:p w:rsidR="00E372D1" w:rsidRPr="0011743E" w:rsidRDefault="00E372D1" w:rsidP="003A65B0">
      <w:pPr>
        <w:spacing w:after="160"/>
        <w:jc w:val="both"/>
        <w:rPr>
          <w:rFonts w:ascii="Times New Roman" w:hAnsi="Times New Roman" w:cs="Times New Roman"/>
        </w:rPr>
      </w:pPr>
      <w:r>
        <w:rPr>
          <w:rFonts w:ascii="Times New Roman" w:hAnsi="Times New Roman"/>
          <w:sz w:val="28"/>
        </w:rPr>
        <w:lastRenderedPageBreak/>
        <w:t xml:space="preserve">Rozwiązywanie </w:t>
      </w:r>
      <w:r>
        <w:rPr>
          <w:rFonts w:ascii="Times New Roman" w:hAnsi="Times New Roman"/>
          <w:b/>
          <w:sz w:val="28"/>
        </w:rPr>
        <w:t xml:space="preserve">ćwiczeń </w:t>
      </w:r>
      <w:r>
        <w:rPr>
          <w:rFonts w:ascii="Times New Roman" w:hAnsi="Times New Roman"/>
          <w:sz w:val="28"/>
        </w:rPr>
        <w:t xml:space="preserve">z punktu A.II powinno zająć </w:t>
      </w:r>
      <w:r>
        <w:rPr>
          <w:rFonts w:ascii="Times New Roman" w:hAnsi="Times New Roman"/>
          <w:b/>
          <w:sz w:val="28"/>
        </w:rPr>
        <w:t>ok. 10 minut</w:t>
      </w:r>
      <w:r>
        <w:rPr>
          <w:rFonts w:ascii="Times New Roman" w:hAnsi="Times New Roman"/>
          <w:sz w:val="28"/>
        </w:rPr>
        <w:t>, ponieważ mają one pomóc uczestnikom w zrozumieniu mechanizmu znajdowania właściwego organu oraz języka, którego należy używać w zaświadczeniu. Po zapoznaniu się ze stroną internetową EJN, ćwiczenie to może być również wykorzystane jako ćwiczenie kontrolne. W przypadku, gdy rozwiązanie Przypadku 1 zajęło więcej czasu niż przewidywano, ćwiczenie to można pominąć i zadać jako pracę domową.</w:t>
      </w:r>
    </w:p>
    <w:p w:rsidR="00E372D1" w:rsidRPr="0011743E" w:rsidRDefault="00E372D1" w:rsidP="003A65B0">
      <w:pPr>
        <w:spacing w:after="160"/>
        <w:jc w:val="both"/>
        <w:rPr>
          <w:rFonts w:ascii="Times New Roman" w:hAnsi="Times New Roman" w:cs="Times New Roman"/>
        </w:rPr>
      </w:pPr>
      <w:r>
        <w:rPr>
          <w:rFonts w:ascii="Times New Roman" w:hAnsi="Times New Roman"/>
          <w:b/>
          <w:i/>
          <w:sz w:val="28"/>
        </w:rPr>
        <w:t>Scenariusz przypadku nr 2</w:t>
      </w:r>
      <w:r>
        <w:rPr>
          <w:rFonts w:ascii="Times New Roman" w:hAnsi="Times New Roman"/>
          <w:sz w:val="28"/>
        </w:rPr>
        <w:t xml:space="preserve"> zmusi uczestników do zajęcia się kwestiami, których nie można znaleźć w tekście decyzji ramowej, jednak mają one zastosowanie w praktyce i wymagają szybkiej odpowiedzi. Uczestnicy będą pracować w grupach 4-5 osobowych i będą mieli do dyspozycji laptopa podłączonego do Internetu w celu rozwiązania pytań. Rozwiązanie scenariusza przypadku 2 powinno zająć </w:t>
      </w:r>
      <w:r>
        <w:rPr>
          <w:rFonts w:ascii="Times New Roman" w:hAnsi="Times New Roman"/>
          <w:b/>
          <w:sz w:val="28"/>
        </w:rPr>
        <w:t>ok. 40-45 minut</w:t>
      </w:r>
      <w:r>
        <w:rPr>
          <w:rFonts w:ascii="Times New Roman" w:hAnsi="Times New Roman"/>
          <w:sz w:val="28"/>
        </w:rPr>
        <w:t>.</w:t>
      </w:r>
    </w:p>
    <w:p w:rsidR="00C85C71" w:rsidRPr="0011743E" w:rsidRDefault="00E372D1" w:rsidP="003A65B0">
      <w:pPr>
        <w:spacing w:after="160"/>
        <w:jc w:val="both"/>
        <w:rPr>
          <w:rFonts w:ascii="Times New Roman" w:hAnsi="Times New Roman" w:cs="Times New Roman"/>
        </w:rPr>
      </w:pPr>
      <w:r>
        <w:rPr>
          <w:rFonts w:ascii="Times New Roman" w:hAnsi="Times New Roman"/>
          <w:sz w:val="28"/>
        </w:rPr>
        <w:t xml:space="preserve">Pozostałe pytania powinny zostać omówione na koniec seminarium (przez </w:t>
      </w:r>
      <w:r>
        <w:rPr>
          <w:rFonts w:ascii="Times New Roman" w:hAnsi="Times New Roman"/>
          <w:b/>
          <w:sz w:val="28"/>
        </w:rPr>
        <w:t>ok. 5-10 minut</w:t>
      </w:r>
      <w:r>
        <w:rPr>
          <w:rFonts w:ascii="Times New Roman" w:hAnsi="Times New Roman"/>
          <w:sz w:val="28"/>
        </w:rPr>
        <w:t>).</w:t>
      </w:r>
    </w:p>
    <w:p w:rsidR="0011743E" w:rsidRPr="0011743E" w:rsidRDefault="0011743E" w:rsidP="003A65B0">
      <w:pPr>
        <w:spacing w:after="160"/>
        <w:jc w:val="both"/>
        <w:rPr>
          <w:rFonts w:ascii="Times New Roman" w:hAnsi="Times New Roman" w:cs="Times New Roman"/>
        </w:rPr>
      </w:pPr>
    </w:p>
    <w:p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Materiały dodatkowe</w:t>
      </w:r>
    </w:p>
    <w:p w:rsidR="00C85C71" w:rsidRPr="0011743E" w:rsidRDefault="00C85C71" w:rsidP="003A65B0">
      <w:pPr>
        <w:spacing w:after="160"/>
        <w:jc w:val="both"/>
        <w:rPr>
          <w:rFonts w:ascii="Times New Roman" w:hAnsi="Times New Roman" w:cs="Times New Roman"/>
          <w:sz w:val="28"/>
          <w:szCs w:val="28"/>
        </w:rPr>
      </w:pPr>
      <w:r>
        <w:rPr>
          <w:rFonts w:ascii="Times New Roman" w:hAnsi="Times New Roman"/>
          <w:sz w:val="28"/>
        </w:rPr>
        <w:t xml:space="preserve">Wszyscy uczestnicy muszą </w:t>
      </w:r>
      <w:r>
        <w:rPr>
          <w:rFonts w:ascii="Times New Roman" w:hAnsi="Times New Roman"/>
          <w:b/>
          <w:sz w:val="28"/>
        </w:rPr>
        <w:t>przynieść</w:t>
      </w:r>
      <w:r>
        <w:rPr>
          <w:rFonts w:ascii="Times New Roman" w:hAnsi="Times New Roman"/>
          <w:sz w:val="28"/>
        </w:rPr>
        <w:t xml:space="preserve"> ze sobą kopię </w:t>
      </w:r>
      <w:r>
        <w:rPr>
          <w:rStyle w:val="Pogrubienie"/>
          <w:rFonts w:ascii="Times New Roman" w:hAnsi="Times New Roman"/>
          <w:color w:val="000000"/>
          <w:sz w:val="28"/>
        </w:rPr>
        <w:t>decyzji ramowej Rady 2002/584/WSiSW z dnia 13 czerwca 2002 r. w sprawie europejskiego nakazu aresztowania i procedury wydawania osób między państwami członkowskimi</w:t>
      </w:r>
      <w:r>
        <w:rPr>
          <w:rStyle w:val="Pogrubienie"/>
          <w:rFonts w:ascii="Times New Roman" w:hAnsi="Times New Roman"/>
          <w:b w:val="0"/>
          <w:color w:val="000000"/>
          <w:sz w:val="28"/>
        </w:rPr>
        <w:t xml:space="preserve"> </w:t>
      </w:r>
      <w:r>
        <w:rPr>
          <w:rFonts w:ascii="Times New Roman" w:hAnsi="Times New Roman"/>
          <w:sz w:val="28"/>
        </w:rPr>
        <w:t xml:space="preserve">zawierającą formularze znajdujące się w załączniku. Ponadto uczestnicy muszą przynieść lub mieć dostęp do swoich przepisów krajowych wdrażających decyzję ramową. </w:t>
      </w:r>
    </w:p>
    <w:p w:rsidR="00EA26C1" w:rsidRDefault="00C87F56" w:rsidP="003A65B0">
      <w:pPr>
        <w:spacing w:after="160"/>
        <w:jc w:val="both"/>
        <w:rPr>
          <w:rFonts w:ascii="Times New Roman" w:hAnsi="Times New Roman" w:cs="Times New Roman"/>
          <w:b/>
          <w:sz w:val="28"/>
          <w:szCs w:val="28"/>
        </w:rPr>
      </w:pPr>
      <w:r>
        <w:rPr>
          <w:rFonts w:ascii="Times New Roman" w:hAnsi="Times New Roman"/>
          <w:b/>
          <w:sz w:val="28"/>
        </w:rPr>
        <w:t xml:space="preserve">Uwaga dla osób przeprowadzających szkolenie: Interesujące będzie sprawdzenie, czy tekst, którym dysponują uczestnicy, jest nie tylko tekstem w ich języku narodowym, ale także tekstem zawierającym poprawki (takie jak DR 2009/299) i sprostowania wprowadzone do tekstu pierwotnego. Nadal często zdarza się, że tekst opublikowany w 2002 r. jest stosowany w praktyce bez późniejszych zmian. Uwaga: jeśli chodzi o sprostowania, to różnią się one w zależności od języka i mogą pojawić się wiele lat po 2002 r., np. w wersji holenderskiej Dz.U. 2020 L 118/39. Jeśli czas na to pozwala, jest to moment na przeszkolenie ich w zakresie korzystania z systemu eurlex i </w:t>
      </w:r>
      <w:hyperlink r:id="rId9" w:history="1">
        <w:r>
          <w:rPr>
            <w:rStyle w:val="Hipercze"/>
            <w:rFonts w:ascii="Times New Roman" w:hAnsi="Times New Roman"/>
            <w:b/>
            <w:sz w:val="28"/>
          </w:rPr>
          <w:t>skonsolidowanej wersji tekstów prawnych</w:t>
        </w:r>
      </w:hyperlink>
      <w:r>
        <w:rPr>
          <w:rFonts w:ascii="Times New Roman" w:hAnsi="Times New Roman"/>
          <w:b/>
          <w:sz w:val="28"/>
        </w:rPr>
        <w:t xml:space="preserve">) </w:t>
      </w:r>
    </w:p>
    <w:p w:rsidR="00EC5565" w:rsidRPr="0011743E" w:rsidRDefault="00EC5565" w:rsidP="003A65B0">
      <w:pPr>
        <w:spacing w:after="160"/>
        <w:jc w:val="both"/>
        <w:rPr>
          <w:rFonts w:ascii="Times New Roman" w:hAnsi="Times New Roman" w:cs="Times New Roman"/>
          <w:b/>
          <w:sz w:val="28"/>
          <w:szCs w:val="28"/>
          <w:lang w:val="en-GB"/>
        </w:rPr>
      </w:pPr>
    </w:p>
    <w:p w:rsidR="00390CDB" w:rsidRPr="0011743E" w:rsidRDefault="00390CDB" w:rsidP="003A65B0">
      <w:pPr>
        <w:spacing w:after="160"/>
        <w:jc w:val="both"/>
        <w:rPr>
          <w:rFonts w:ascii="Times New Roman" w:hAnsi="Times New Roman" w:cs="Times New Roman"/>
          <w:b/>
        </w:rPr>
      </w:pPr>
      <w:r>
        <w:rPr>
          <w:rFonts w:ascii="Times New Roman" w:hAnsi="Times New Roman"/>
          <w:b/>
          <w:sz w:val="28"/>
          <w:highlight w:val="yellow"/>
        </w:rPr>
        <w:lastRenderedPageBreak/>
        <w:t>Bardzo ważne zachęcanie do używania narzędzi online!</w:t>
      </w:r>
    </w:p>
    <w:p w:rsidR="00784CC7" w:rsidRPr="0011743E" w:rsidRDefault="00784CC7" w:rsidP="003A65B0">
      <w:pPr>
        <w:autoSpaceDN w:val="0"/>
        <w:spacing w:after="160" w:line="244" w:lineRule="auto"/>
        <w:jc w:val="both"/>
        <w:rPr>
          <w:rFonts w:ascii="Times New Roman" w:eastAsia="Calibri" w:hAnsi="Times New Roman" w:cs="Times New Roman"/>
          <w:sz w:val="28"/>
          <w:szCs w:val="28"/>
          <w:lang w:val="en-US"/>
        </w:rPr>
      </w:pPr>
    </w:p>
    <w:p w:rsidR="0011743E" w:rsidRPr="0011743E" w:rsidRDefault="00390CDB" w:rsidP="003A65B0">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IV. Ostatnie wydarzenia </w:t>
      </w:r>
    </w:p>
    <w:p w:rsidR="007551D4" w:rsidRDefault="00390CDB" w:rsidP="007551D4">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Proszę sprawdzić, czy w ciągu ostatnich trzech miesięcy nie toczyła się żadna nowa sprawa lub czy nie wniesiono wniosku o wydanie orzeczenia w trybie prejudycjalnym do Trybunału Sprawiedliwości.</w:t>
      </w:r>
    </w:p>
    <w:p w:rsidR="00390CDB" w:rsidRPr="0011743E" w:rsidRDefault="00390CDB" w:rsidP="007551D4">
      <w:pPr>
        <w:autoSpaceDN w:val="0"/>
        <w:spacing w:after="160" w:line="244" w:lineRule="auto"/>
        <w:jc w:val="both"/>
        <w:rPr>
          <w:rFonts w:ascii="Times New Roman" w:eastAsia="Calibri" w:hAnsi="Times New Roman" w:cs="Times New Roman"/>
          <w:sz w:val="28"/>
          <w:szCs w:val="28"/>
        </w:rPr>
      </w:pPr>
    </w:p>
    <w:p w:rsidR="00784CC7" w:rsidRPr="001F3093" w:rsidRDefault="0011743E" w:rsidP="003A65B0">
      <w:pPr>
        <w:pStyle w:val="Test"/>
        <w:shd w:val="clear" w:color="auto" w:fill="DED888"/>
        <w:spacing w:after="160"/>
        <w:jc w:val="center"/>
        <w:rPr>
          <w:rStyle w:val="Pogrubienie"/>
          <w:rFonts w:ascii="Times New Roman" w:hAnsi="Times New Roman"/>
          <w:b/>
          <w:bCs w:val="0"/>
          <w:color w:val="365F91" w:themeColor="accent1" w:themeShade="BF"/>
          <w:sz w:val="32"/>
          <w:szCs w:val="32"/>
        </w:rPr>
      </w:pPr>
      <w:r>
        <w:rPr>
          <w:rStyle w:val="Pogrubienie"/>
          <w:rFonts w:ascii="Times New Roman" w:hAnsi="Times New Roman"/>
          <w:b/>
          <w:color w:val="365F91" w:themeColor="accent1" w:themeShade="BF"/>
          <w:sz w:val="32"/>
        </w:rPr>
        <w:t>Część D. Rozwiązania</w:t>
      </w:r>
    </w:p>
    <w:p w:rsidR="0011743E" w:rsidRPr="001F3093" w:rsidRDefault="0011743E" w:rsidP="003A65B0">
      <w:pPr>
        <w:spacing w:after="160"/>
        <w:rPr>
          <w:rFonts w:ascii="Times New Roman" w:hAnsi="Times New Roman" w:cs="Times New Roman"/>
          <w:b/>
          <w:bCs/>
          <w:sz w:val="28"/>
          <w:szCs w:val="28"/>
          <w:lang w:val="en-US"/>
        </w:rPr>
      </w:pPr>
    </w:p>
    <w:p w:rsidR="00C35570" w:rsidRPr="00682CB5" w:rsidRDefault="00D51D85"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 Scenariusz przypadku 1:</w:t>
      </w:r>
    </w:p>
    <w:p w:rsidR="00C87F56" w:rsidRPr="001F3093" w:rsidRDefault="00C87F56" w:rsidP="003A65B0">
      <w:pPr>
        <w:spacing w:after="160"/>
        <w:jc w:val="both"/>
        <w:rPr>
          <w:rStyle w:val="Pogrubienie"/>
          <w:rFonts w:ascii="Times New Roman" w:hAnsi="Times New Roman" w:cs="Times New Roman"/>
          <w:color w:val="365F91" w:themeColor="accent1" w:themeShade="BF"/>
          <w:sz w:val="28"/>
          <w:szCs w:val="28"/>
        </w:rPr>
      </w:pPr>
      <w:r>
        <w:rPr>
          <w:rStyle w:val="Pogrubienie"/>
          <w:rFonts w:ascii="Times New Roman" w:hAnsi="Times New Roman"/>
          <w:color w:val="365F91" w:themeColor="accent1" w:themeShade="BF"/>
          <w:sz w:val="28"/>
        </w:rPr>
        <w:t xml:space="preserve">Pytania: </w:t>
      </w:r>
    </w:p>
    <w:p w:rsidR="00C87F56" w:rsidRPr="00D94DD6" w:rsidRDefault="00C87F56" w:rsidP="003A65B0">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P1. Czy Holandia jest zobowiązana do wydania Dr. Driona, a jeśli tak, to na jakich warunkach? </w:t>
      </w:r>
    </w:p>
    <w:p w:rsidR="00EE08F8" w:rsidRPr="0011743E" w:rsidRDefault="00EE08F8" w:rsidP="003A65B0">
      <w:pPr>
        <w:spacing w:after="160"/>
        <w:jc w:val="both"/>
        <w:rPr>
          <w:rFonts w:ascii="Times New Roman" w:hAnsi="Times New Roman" w:cs="Times New Roman"/>
          <w:sz w:val="28"/>
          <w:szCs w:val="28"/>
          <w:lang w:val="en-GB"/>
        </w:rPr>
      </w:pPr>
    </w:p>
    <w:p w:rsidR="00390CDB" w:rsidRPr="00D94DD6" w:rsidRDefault="00390CDB" w:rsidP="003A65B0">
      <w:pPr>
        <w:spacing w:after="160"/>
        <w:jc w:val="both"/>
        <w:rPr>
          <w:rFonts w:ascii="Times New Roman" w:hAnsi="Times New Roman" w:cs="Times New Roman"/>
          <w:sz w:val="28"/>
          <w:szCs w:val="28"/>
          <w:u w:val="single"/>
        </w:rPr>
      </w:pPr>
      <w:r>
        <w:rPr>
          <w:rFonts w:ascii="Times New Roman" w:hAnsi="Times New Roman"/>
          <w:sz w:val="28"/>
          <w:u w:val="single"/>
        </w:rPr>
        <w:t>Sprawy wstępne</w:t>
      </w:r>
    </w:p>
    <w:p w:rsidR="005117DE" w:rsidRPr="001573FD" w:rsidRDefault="00EE08F8" w:rsidP="003A65B0">
      <w:pPr>
        <w:spacing w:after="160"/>
        <w:jc w:val="both"/>
        <w:rPr>
          <w:rFonts w:ascii="Times New Roman" w:hAnsi="Times New Roman" w:cs="Times New Roman"/>
          <w:sz w:val="28"/>
          <w:szCs w:val="28"/>
        </w:rPr>
      </w:pPr>
      <w:r>
        <w:rPr>
          <w:rFonts w:ascii="Times New Roman" w:hAnsi="Times New Roman"/>
          <w:sz w:val="28"/>
        </w:rPr>
        <w:t xml:space="preserve">Charakter organu wydającego nakaz powinien wywołać pytanie wstępne, a mianowicie, czy organ wydający nakaz jest organem </w:t>
      </w:r>
      <w:r>
        <w:rPr>
          <w:rFonts w:ascii="Times New Roman" w:hAnsi="Times New Roman"/>
          <w:i/>
          <w:sz w:val="28"/>
        </w:rPr>
        <w:t>sądowym</w:t>
      </w:r>
      <w:r>
        <w:rPr>
          <w:rFonts w:ascii="Times New Roman" w:hAnsi="Times New Roman"/>
          <w:sz w:val="28"/>
        </w:rPr>
        <w:t xml:space="preserve"> w rozumieniu art. 6 decyzji ramowej. Organ policji nie może być takim organem, tak orzekł Trybunał w </w:t>
      </w:r>
      <w:hyperlink r:id="rId10" w:history="1">
        <w:r>
          <w:rPr>
            <w:rStyle w:val="Hipercze"/>
            <w:rFonts w:ascii="Times New Roman" w:hAnsi="Times New Roman"/>
            <w:sz w:val="28"/>
          </w:rPr>
          <w:t>Sprawie Poltorak (C-452/16 PPU)</w:t>
        </w:r>
      </w:hyperlink>
      <w:r>
        <w:rPr>
          <w:rFonts w:ascii="Times New Roman" w:hAnsi="Times New Roman"/>
          <w:sz w:val="28"/>
        </w:rPr>
        <w:t xml:space="preserve">. Ostatnio Trybunał dodał również dodatkowe wymogi dla prokuratorów (zob. </w:t>
      </w:r>
      <w:hyperlink r:id="rId11" w:history="1">
        <w:r>
          <w:rPr>
            <w:rStyle w:val="Hipercze"/>
            <w:rFonts w:ascii="Times New Roman" w:hAnsi="Times New Roman"/>
            <w:sz w:val="28"/>
          </w:rPr>
          <w:t>C-489/19 PPU – NJ [Parquet de Vienne]</w:t>
        </w:r>
      </w:hyperlink>
      <w:r>
        <w:rPr>
          <w:rFonts w:ascii="Times New Roman" w:hAnsi="Times New Roman"/>
          <w:sz w:val="28"/>
        </w:rPr>
        <w:t xml:space="preserve">). Zasadniczo oznacza to, że musi być jasne, iż przeprowadzono indywidualną ocenę proporcjonalności ENA oraz że istnieje nadzór sądowy ze strony sędziego lub sądu. Ponadto musi być jasne, że europejski nakaz aresztowania opiera się na krajowym nakazie aresztowania, </w:t>
      </w:r>
      <w:r w:rsidR="00AF18F3">
        <w:rPr>
          <w:rFonts w:ascii="Times New Roman" w:hAnsi="Times New Roman"/>
          <w:sz w:val="28"/>
        </w:rPr>
        <w:t>zob.</w:t>
      </w:r>
      <w:r w:rsidR="00AF18F3">
        <w:t xml:space="preserve"> sprawa</w:t>
      </w:r>
      <w:r>
        <w:rPr>
          <w:rFonts w:ascii="Times New Roman" w:hAnsi="Times New Roman"/>
          <w:sz w:val="28"/>
        </w:rPr>
        <w:t>. Niektóre państwa członkowskie stosują system, w którym tylko jeden nakaz aresztowania dotyczy obu tych osób. Trybunał pragnie zobaczyć dwa.</w:t>
      </w:r>
    </w:p>
    <w:p w:rsidR="001573FD"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Wymogi te, rozwinięte w orzecznictwie, mogą prowadzić do pytań kierowanych przez organ wykonujący nakaz do organu wydającego nakaz. Niestety, może to również prowadzić do opóźnień i frustracji. </w:t>
      </w:r>
    </w:p>
    <w:p w:rsidR="00EC6418"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Po ustaleniu lub naprawieniu charakteru organu wydającego nakaz jako </w:t>
      </w:r>
      <w:r>
        <w:rPr>
          <w:rFonts w:ascii="Times New Roman" w:hAnsi="Times New Roman"/>
          <w:i/>
          <w:sz w:val="28"/>
        </w:rPr>
        <w:t>organu sądowego</w:t>
      </w:r>
      <w:r>
        <w:rPr>
          <w:rFonts w:ascii="Times New Roman" w:hAnsi="Times New Roman"/>
          <w:sz w:val="28"/>
        </w:rPr>
        <w:t xml:space="preserve"> (Uwaga: z reguły większość formalności może zostać naprawiona. </w:t>
      </w:r>
      <w:r>
        <w:rPr>
          <w:rFonts w:ascii="Times New Roman" w:hAnsi="Times New Roman"/>
          <w:sz w:val="28"/>
        </w:rPr>
        <w:lastRenderedPageBreak/>
        <w:t>Nie istnieje zasada ne bis in idem w zakresie wydawania ENA) ENA może być rozpatrywany. Patrz również: odpowiedź na pytanie 3.</w:t>
      </w:r>
    </w:p>
    <w:p w:rsidR="000F5C94" w:rsidRDefault="000F5C94">
      <w:pPr>
        <w:rPr>
          <w:rFonts w:ascii="Times New Roman" w:hAnsi="Times New Roman" w:cs="Times New Roman"/>
          <w:i/>
          <w:color w:val="365F91" w:themeColor="accent1" w:themeShade="BF"/>
          <w:sz w:val="28"/>
          <w:szCs w:val="28"/>
        </w:rPr>
      </w:pPr>
    </w:p>
    <w:p w:rsidR="00F11921" w:rsidRPr="00EC6418" w:rsidRDefault="00F11921" w:rsidP="003A65B0">
      <w:pPr>
        <w:spacing w:after="160"/>
        <w:jc w:val="both"/>
        <w:rPr>
          <w:rFonts w:ascii="Times New Roman" w:hAnsi="Times New Roman" w:cs="Times New Roman"/>
          <w:sz w:val="28"/>
          <w:szCs w:val="28"/>
        </w:rPr>
      </w:pPr>
      <w:r>
        <w:rPr>
          <w:rFonts w:ascii="Times New Roman" w:hAnsi="Times New Roman"/>
          <w:i/>
          <w:color w:val="365F91" w:themeColor="accent1" w:themeShade="BF"/>
          <w:sz w:val="28"/>
        </w:rPr>
        <w:t>P2. Czy miałoby to znaczenie, gdyby przestępstwa nie miały miejsca w Grecji, ale w Holandii?</w:t>
      </w:r>
    </w:p>
    <w:p w:rsidR="00F11921" w:rsidRPr="0011743E" w:rsidRDefault="00F11921" w:rsidP="003A65B0">
      <w:pPr>
        <w:spacing w:after="160"/>
        <w:jc w:val="both"/>
        <w:rPr>
          <w:rFonts w:ascii="Times New Roman" w:hAnsi="Times New Roman" w:cs="Times New Roman"/>
          <w:sz w:val="28"/>
          <w:szCs w:val="28"/>
        </w:rPr>
      </w:pPr>
      <w:r>
        <w:rPr>
          <w:rFonts w:ascii="Times New Roman" w:hAnsi="Times New Roman"/>
          <w:sz w:val="28"/>
        </w:rPr>
        <w:t>Jeżeli zachowanie miało miejsce w Holandii, a nie w Grecji, zastosowanie ma podstawa odmowy określona w art. 4 ust. 7. Przestępstwa miały miejsce w Holandii i to uprawnia ten kraj do odmowy. Uwaga: nagłówek art. 4 mówi „może odmówić”. Nie ma takiego obowiązku. Uwaga: jeśli starczy czasu, interesujące może być sprawdzenie, w jaki sposób poszczególne państwa członkowskie wdrożyły tę fakultatywną podstawę odmowy. Niektórzy utrzymali ją jako fakultatywną, inni przekształcili ją w obowiązkową podstawę odmowy.</w:t>
      </w:r>
    </w:p>
    <w:p w:rsidR="00F11921" w:rsidRPr="0011743E" w:rsidRDefault="00F11921" w:rsidP="003A65B0">
      <w:pPr>
        <w:spacing w:after="160"/>
        <w:jc w:val="both"/>
        <w:rPr>
          <w:rFonts w:ascii="Times New Roman" w:hAnsi="Times New Roman" w:cs="Times New Roman"/>
          <w:sz w:val="28"/>
          <w:szCs w:val="28"/>
        </w:rPr>
      </w:pPr>
    </w:p>
    <w:p w:rsidR="00D94DD6" w:rsidRPr="00682CB5" w:rsidRDefault="00794126"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P3. Czy Holandia może dokonać oceny tych przestępstw i zakwalifikować je zgodnie z holenderskim prawem karnym?</w:t>
      </w:r>
    </w:p>
    <w:p w:rsidR="00794126" w:rsidRPr="0011743E" w:rsidRDefault="00794126" w:rsidP="007551D4">
      <w:pPr>
        <w:spacing w:after="160"/>
        <w:jc w:val="both"/>
        <w:rPr>
          <w:rFonts w:ascii="Times New Roman" w:hAnsi="Times New Roman" w:cs="Times New Roman"/>
          <w:sz w:val="28"/>
          <w:szCs w:val="28"/>
        </w:rPr>
      </w:pPr>
      <w:r>
        <w:rPr>
          <w:rFonts w:ascii="Times New Roman" w:hAnsi="Times New Roman"/>
          <w:sz w:val="28"/>
        </w:rPr>
        <w:t>Zasadniczo istnieje obowiązek wydania. Należy ocenić, czy każde pojedyncze liczenie jest sprawdzane. Pierwszy z nich dotyczy morderstwa. Jest to tak zwane przestępstwo z listy i wymienione w art. 2 ust. 2. Z pewnością przestępstwo spełnia minimalny wymóg art. 2 ust. 1 dotyczący kary pozbawienia wolności, która ma zostać orzeczona. W związku z tym, że organy greckie zaznaczyły pole „morderstwo”, organ wykonujący nakaz nie może dokonać własnej oceny przestępstwa, lecz musi po prostu zaakceptować ten fakt. Dotyczy to również sytuacji, w której mogą istnieć wyraźne różnice poglądów co do karalności przestępstwa lub zastosowania podstaw usprawiedliwienia. W konkretnych okolicznościach sprawy organy holenderskie nie mogą zastępować prawa greckiego poglądami mającymi zastosowanie na podstawie prawa holenderskiego.</w:t>
      </w:r>
    </w:p>
    <w:p w:rsidR="008470B0" w:rsidRPr="005117DE" w:rsidRDefault="00794126" w:rsidP="007551D4">
      <w:pPr>
        <w:jc w:val="both"/>
        <w:rPr>
          <w:rFonts w:ascii="Times New Roman" w:hAnsi="Times New Roman" w:cs="Times New Roman"/>
          <w:sz w:val="28"/>
          <w:szCs w:val="28"/>
        </w:rPr>
      </w:pPr>
      <w:r>
        <w:rPr>
          <w:rFonts w:ascii="Times New Roman" w:hAnsi="Times New Roman"/>
          <w:sz w:val="28"/>
        </w:rPr>
        <w:t xml:space="preserve">Drugim wykroczeniem jest </w:t>
      </w:r>
      <w:r>
        <w:rPr>
          <w:rFonts w:ascii="Times New Roman" w:hAnsi="Times New Roman"/>
          <w:i/>
          <w:sz w:val="28"/>
        </w:rPr>
        <w:t>sabotaż</w:t>
      </w:r>
      <w:r>
        <w:rPr>
          <w:rFonts w:ascii="Times New Roman" w:hAnsi="Times New Roman"/>
          <w:sz w:val="28"/>
        </w:rPr>
        <w:t xml:space="preserve">. Jest to również przestępstwo z listy i ma takie samo zastosowanie jak w przypadku morderstwa. Minimalny próg określony w art. 2 ust. 2 wynosi 3 lata. Czy ma znaczenie, że Holandia nie zna przestępstwa karnego zwanego sabotażem? </w:t>
      </w:r>
      <w:r>
        <w:rPr>
          <w:rFonts w:ascii="Times New Roman" w:hAnsi="Times New Roman"/>
          <w:b/>
          <w:sz w:val="28"/>
        </w:rPr>
        <w:t>[uwaga dla prowadzących szkolenie:</w:t>
      </w:r>
      <w:r>
        <w:rPr>
          <w:rFonts w:ascii="Times New Roman" w:hAnsi="Times New Roman"/>
          <w:sz w:val="28"/>
        </w:rPr>
        <w:t xml:space="preserve"> może z tego wyniknąć dość ciekawa dyskusja. Faktem jest, że w holenderskim kodeksie karnym nie ma takiego przestępstwa i może tak być w przypadku większej liczby państw członkowskich. Nie jest to jednak decydujące. Liczy się to, że państwo członkowskie wydające nakaz zaznaczyło </w:t>
      </w:r>
      <w:r>
        <w:rPr>
          <w:rFonts w:ascii="Times New Roman" w:hAnsi="Times New Roman"/>
          <w:sz w:val="28"/>
        </w:rPr>
        <w:lastRenderedPageBreak/>
        <w:t>pole sabotażu, w związku z czym prawo krajowe państwa członkowskiego wykonującego nakaz nie ma już znaczenia]</w:t>
      </w:r>
    </w:p>
    <w:p w:rsidR="00794126" w:rsidRPr="0011743E" w:rsidRDefault="00794126" w:rsidP="00CF476B">
      <w:pPr>
        <w:rPr>
          <w:rStyle w:val="Pogrubienie"/>
          <w:rFonts w:ascii="Times New Roman" w:hAnsi="Times New Roman" w:cs="Times New Roman"/>
          <w:b w:val="0"/>
          <w:bCs w:val="0"/>
          <w:sz w:val="28"/>
          <w:szCs w:val="28"/>
        </w:rPr>
      </w:pPr>
    </w:p>
    <w:p w:rsidR="00D94DD6" w:rsidRPr="00682CB5" w:rsidRDefault="00794126"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P4. Czy narodowość osoby, której dotyczy wniosek, odgrywa jakąś rolę?</w:t>
      </w:r>
    </w:p>
    <w:p w:rsidR="008C521F" w:rsidRDefault="00794126"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Tak. Osoba, której dotyczy wniosek, ma obywatelstwo państwa członkowskiego wykonującego nakaz. Na podstawie art. 5 ust. 3 decyzji ramowej organ wykonujący nakaz może dokonać przekazania pod warunkiem, że dana osoba po przesłuchaniu zostanie odesłana do Holandii w celu odbycia tam kary pozbawienia wolności lub wykonania środka zabezpieczającego orzeczonego wobec niej w państwie członkowskim wydającym nakaz</w:t>
      </w:r>
      <w:r w:rsidR="00AF18F3">
        <w:rPr>
          <w:rStyle w:val="Pogrubienie"/>
          <w:rFonts w:ascii="Times New Roman" w:hAnsi="Times New Roman"/>
          <w:b w:val="0"/>
          <w:sz w:val="28"/>
        </w:rPr>
        <w:t xml:space="preserve"> </w:t>
      </w:r>
      <w:r>
        <w:rPr>
          <w:rStyle w:val="Pogrubienie"/>
          <w:rFonts w:ascii="Times New Roman" w:hAnsi="Times New Roman"/>
          <w:b w:val="0"/>
          <w:i/>
          <w:sz w:val="28"/>
        </w:rPr>
        <w:t>(zobowiązanie do powrotu</w:t>
      </w:r>
      <w:r>
        <w:rPr>
          <w:rStyle w:val="Pogrubienie"/>
          <w:rFonts w:ascii="Times New Roman" w:hAnsi="Times New Roman"/>
          <w:b w:val="0"/>
          <w:sz w:val="28"/>
        </w:rPr>
        <w:t xml:space="preserve"> do kraju pochodzenia). </w:t>
      </w:r>
    </w:p>
    <w:p w:rsidR="000F5C94" w:rsidRDefault="00794126" w:rsidP="000F5C94">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 xml:space="preserve">Uczestnicy powinni być w stanie dowiedzieć się, czy Holandia będzie wymagała spełnienia tego warunku. Informacji tej nie można znaleźć w zgłoszeniu dokonanym przez Holandię (zob. </w:t>
      </w:r>
      <w:hyperlink r:id="rId12" w:history="1">
        <w:r>
          <w:rPr>
            <w:rStyle w:val="Hipercze"/>
            <w:rFonts w:ascii="Times New Roman" w:hAnsi="Times New Roman"/>
            <w:sz w:val="28"/>
          </w:rPr>
          <w:t>sprawa Bob-Dogi</w:t>
        </w:r>
      </w:hyperlink>
      <w:r>
        <w:rPr>
          <w:rStyle w:val="Pogrubienie"/>
          <w:rFonts w:ascii="Times New Roman" w:hAnsi="Times New Roman"/>
          <w:b w:val="0"/>
          <w:sz w:val="28"/>
        </w:rPr>
        <w:t xml:space="preserve">), lecz w art. 6 ust. 1 krajowej ustawy wykonawczej. Zob. </w:t>
      </w:r>
      <w:hyperlink r:id="rId13" w:history="1">
        <w:r>
          <w:rPr>
            <w:rStyle w:val="Hipercze"/>
            <w:rFonts w:ascii="Times New Roman" w:hAnsi="Times New Roman"/>
            <w:sz w:val="28"/>
          </w:rPr>
          <w:t>tę bibliotekę sądową na stronie EJN</w:t>
        </w:r>
      </w:hyperlink>
      <w:r>
        <w:rPr>
          <w:rStyle w:val="Pogrubienie"/>
          <w:rFonts w:ascii="Times New Roman" w:hAnsi="Times New Roman"/>
          <w:b w:val="0"/>
          <w:sz w:val="28"/>
        </w:rPr>
        <w:t xml:space="preserve">. </w:t>
      </w:r>
    </w:p>
    <w:p w:rsidR="00794126" w:rsidRPr="001E1987" w:rsidRDefault="00304030" w:rsidP="000F5C94">
      <w:pPr>
        <w:spacing w:after="160"/>
        <w:jc w:val="both"/>
        <w:rPr>
          <w:rStyle w:val="Pogrubienie"/>
          <w:rFonts w:ascii="Times New Roman" w:hAnsi="Times New Roman" w:cs="Times New Roman"/>
          <w:bCs w:val="0"/>
          <w:sz w:val="28"/>
          <w:szCs w:val="28"/>
        </w:rPr>
      </w:pPr>
      <w:r>
        <w:rPr>
          <w:rFonts w:ascii="Times New Roman" w:hAnsi="Times New Roman"/>
          <w:sz w:val="28"/>
        </w:rPr>
        <w:t>Uwaga: ostrzeżenie. Tłumaczenia przepisów krajowych prawie nigdy nie są aktualne.</w:t>
      </w:r>
      <w:r>
        <w:rPr>
          <w:rStyle w:val="Pogrubienie"/>
          <w:rFonts w:ascii="Times New Roman" w:hAnsi="Times New Roman"/>
          <w:b w:val="0"/>
          <w:sz w:val="28"/>
        </w:rPr>
        <w:t xml:space="preserve"> </w:t>
      </w:r>
      <w:r>
        <w:rPr>
          <w:rStyle w:val="Pogrubienie"/>
          <w:rFonts w:ascii="Times New Roman" w:hAnsi="Times New Roman"/>
          <w:sz w:val="28"/>
        </w:rPr>
        <w:t>Pytanie to wymaga również od pracowników myślenia perspektywicznego i sprawdzenia, czy przedmiotowe przestępstwa dają podstawy zarówno do przekazania, jak i przeniesienia na mocy decyzji ramowej 2008/909.</w:t>
      </w:r>
      <w:r>
        <w:rPr>
          <w:rStyle w:val="UyteHipercze"/>
          <w:rFonts w:ascii="Times New Roman" w:hAnsi="Times New Roman"/>
          <w:sz w:val="28"/>
          <w:u w:val="none"/>
        </w:rPr>
        <w:t xml:space="preserve"> </w:t>
      </w:r>
      <w:r>
        <w:rPr>
          <w:rStyle w:val="Pogrubienie"/>
          <w:rFonts w:ascii="Times New Roman" w:hAnsi="Times New Roman"/>
          <w:sz w:val="28"/>
        </w:rPr>
        <w:t>Czas wynosi minimum sześć miesięcy (art. 9 ust. 1 lit. h)).</w:t>
      </w:r>
    </w:p>
    <w:p w:rsidR="00794126" w:rsidRPr="0011743E" w:rsidRDefault="00794126" w:rsidP="003A65B0">
      <w:pPr>
        <w:spacing w:after="160"/>
        <w:jc w:val="both"/>
        <w:rPr>
          <w:rStyle w:val="Pogrubienie"/>
          <w:rFonts w:ascii="Times New Roman" w:hAnsi="Times New Roman" w:cs="Times New Roman"/>
          <w:b w:val="0"/>
          <w:bCs w:val="0"/>
          <w:sz w:val="28"/>
          <w:szCs w:val="28"/>
          <w:lang w:val="en-GB"/>
        </w:rPr>
      </w:pPr>
    </w:p>
    <w:p w:rsidR="00D94DD6" w:rsidRPr="00682CB5" w:rsidRDefault="00005608"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P5. Czy osoba, której dotyczy wniosek, zostanie zatrzymana na czas trwania procedury?</w:t>
      </w:r>
    </w:p>
    <w:p w:rsidR="0027629A" w:rsidRDefault="00005608" w:rsidP="000F5C94">
      <w:pPr>
        <w:spacing w:after="160"/>
        <w:jc w:val="both"/>
        <w:rPr>
          <w:rFonts w:ascii="Times New Roman" w:hAnsi="Times New Roman" w:cs="Times New Roman"/>
          <w:sz w:val="32"/>
          <w:szCs w:val="28"/>
        </w:rPr>
      </w:pPr>
      <w:r>
        <w:rPr>
          <w:rStyle w:val="Pogrubienie"/>
          <w:rFonts w:ascii="Times New Roman" w:hAnsi="Times New Roman"/>
          <w:b w:val="0"/>
          <w:sz w:val="28"/>
        </w:rPr>
        <w:t xml:space="preserve">Odpowiedzi udziela art. 12 DR: to organ wykonujący nakaz podejmuje decyzję, czy jest to konieczne na podstawie prawa krajowego. </w:t>
      </w:r>
      <w:r>
        <w:rPr>
          <w:rFonts w:ascii="Times New Roman" w:hAnsi="Times New Roman"/>
          <w:sz w:val="28"/>
        </w:rPr>
        <w:t>Zob.</w:t>
      </w:r>
      <w:r>
        <w:rPr>
          <w:rFonts w:ascii="Times New Roman" w:hAnsi="Times New Roman"/>
        </w:rPr>
        <w:t xml:space="preserve"> </w:t>
      </w:r>
      <w:hyperlink r:id="rId14" w:history="1">
        <w:r>
          <w:rPr>
            <w:rStyle w:val="Hipercze"/>
            <w:rFonts w:ascii="Times New Roman" w:hAnsi="Times New Roman"/>
            <w:sz w:val="28"/>
          </w:rPr>
          <w:t>sprawa Lanigan</w:t>
        </w:r>
        <w:r>
          <w:rPr>
            <w:rStyle w:val="Hipercze"/>
            <w:rFonts w:ascii="Times New Roman" w:hAnsi="Times New Roman"/>
          </w:rPr>
          <w:t xml:space="preserve"> </w:t>
        </w:r>
        <w:r>
          <w:rPr>
            <w:rStyle w:val="Hipercze"/>
            <w:rFonts w:ascii="Times New Roman" w:hAnsi="Times New Roman"/>
            <w:sz w:val="28"/>
          </w:rPr>
          <w:t>(C-237/15 PPU)</w:t>
        </w:r>
      </w:hyperlink>
      <w:r>
        <w:rPr>
          <w:rFonts w:ascii="Times New Roman" w:hAnsi="Times New Roman"/>
          <w:sz w:val="28"/>
        </w:rPr>
        <w:t>.</w:t>
      </w:r>
      <w:r>
        <w:rPr>
          <w:rFonts w:ascii="Times New Roman" w:hAnsi="Times New Roman"/>
          <w:sz w:val="32"/>
        </w:rPr>
        <w:t xml:space="preserve"> </w:t>
      </w:r>
    </w:p>
    <w:p w:rsidR="00005608" w:rsidRDefault="00005608" w:rsidP="003A65B0">
      <w:pPr>
        <w:spacing w:after="160"/>
        <w:jc w:val="both"/>
        <w:rPr>
          <w:rStyle w:val="Pogrubienie"/>
          <w:rFonts w:ascii="Times New Roman" w:hAnsi="Times New Roman" w:cs="Times New Roman"/>
          <w:b w:val="0"/>
          <w:bCs w:val="0"/>
          <w:sz w:val="28"/>
          <w:szCs w:val="28"/>
        </w:rPr>
      </w:pPr>
      <w:r>
        <w:rPr>
          <w:rFonts w:ascii="Times New Roman" w:hAnsi="Times New Roman"/>
          <w:sz w:val="28"/>
        </w:rPr>
        <w:t>Prowadzący szkolenie może zachęcić do sprawdzenia, jaka jest praktyka w danym państwie członkowskim oraz w państwie członkowskim pochodzenia uczestnika. Często państwa członkowskie widzą w fakcie, że osoba, której dotyczy wniosek, straciłaby ochronę art. 5 ust. 3 w przypadku ucieczki, powód do nieutrzymywania w areszcie swoich obywateli do czasu zakończenia procedury wydania.</w:t>
      </w:r>
    </w:p>
    <w:p w:rsidR="0027629A" w:rsidRPr="0011743E" w:rsidRDefault="000F5C94" w:rsidP="000F5C94">
      <w:pPr>
        <w:rPr>
          <w:rStyle w:val="Pogrubienie"/>
          <w:rFonts w:ascii="Times New Roman" w:hAnsi="Times New Roman" w:cs="Times New Roman"/>
          <w:b w:val="0"/>
          <w:bCs w:val="0"/>
          <w:sz w:val="28"/>
          <w:szCs w:val="28"/>
        </w:rPr>
      </w:pPr>
      <w:r>
        <w:br w:type="page"/>
      </w:r>
    </w:p>
    <w:p w:rsidR="00D94DD6" w:rsidRPr="00682CB5" w:rsidRDefault="00005608"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lastRenderedPageBreak/>
        <w:t>P6. Jakie organy będą zaangażowane po obu stronach w odniesieniu do tego ENA?</w:t>
      </w:r>
    </w:p>
    <w:p w:rsidR="001540EB" w:rsidRPr="0011743E" w:rsidRDefault="00005608"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Organem wydającym nakaz jest prokuratura przy Sądzie Apelacyjnym Krety Wschodniej, której dane kontaktowe można znaleźć w atlasie sądowym.</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sz w:val="28"/>
              </w:rPr>
              <w:tab/>
            </w:r>
            <w:r>
              <w:rPr>
                <w:rFonts w:ascii="Times New Roman" w:hAnsi="Times New Roman"/>
                <w:sz w:val="28"/>
              </w:rPr>
              <w:tab/>
              <w:t xml:space="preserve">Prokuratura przy Sądzie Apelacyjnym Krety Wschodniej </w:t>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Pr>
                <w:rFonts w:ascii="Times New Roman" w:hAnsi="Times New Roman"/>
                <w:sz w:val="28"/>
              </w:rPr>
              <w:t>(Eisaggelia Efeton Anatolikis Kritis)</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Plateia Daskalogianni</w:t>
            </w:r>
          </w:p>
          <w:p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54396F" w:rsidRP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7551D4">
              <w:rPr>
                <w:rFonts w:ascii="Times New Roman" w:hAnsi="Times New Roman"/>
                <w:sz w:val="28"/>
              </w:rPr>
              <w:tab/>
            </w:r>
            <w:r>
              <w:rPr>
                <w:rFonts w:ascii="Times New Roman" w:hAnsi="Times New Roman"/>
                <w:sz w:val="28"/>
              </w:rPr>
              <w:t>Irakleio</w:t>
            </w:r>
          </w:p>
          <w:p w:rsidR="0054396F"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Pr>
                <w:rFonts w:ascii="Times New Roman" w:hAnsi="Times New Roman"/>
                <w:sz w:val="28"/>
              </w:rPr>
              <w:t>71201</w:t>
            </w:r>
          </w:p>
          <w:p w:rsidR="001540EB"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+30 2810 247813</w:t>
            </w:r>
          </w:p>
          <w:p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sz w:val="28"/>
              </w:rPr>
              <w:tab/>
              <w:t>+30 2810 247813</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t>eisefankr@yahoo.gr</w:t>
            </w:r>
          </w:p>
        </w:tc>
      </w:tr>
    </w:tbl>
    <w:p w:rsidR="002902B5" w:rsidRDefault="0054396F"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W zależności od tego, czy prokurator może wydać ENA samodzielnie, czy też potrzebuje decyzji sądu lub sędziego, może zaistnieć konieczność zaangażowania również tego organu.</w:t>
      </w:r>
    </w:p>
    <w:p w:rsidR="0054396F" w:rsidRPr="0011743E" w:rsidRDefault="0054396F"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Organ wykonawczy jest jeden dla całego kraju:</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sz w:val="28"/>
              </w:rPr>
              <w:tab/>
            </w:r>
            <w:r>
              <w:rPr>
                <w:rFonts w:ascii="Times New Roman" w:hAnsi="Times New Roman"/>
                <w:sz w:val="28"/>
              </w:rPr>
              <w:tab/>
              <w:t xml:space="preserve">Officier van Justitie te Amsterdam (organ centralny ENA) </w:t>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Pr>
                <w:rFonts w:ascii="Times New Roman" w:hAnsi="Times New Roman"/>
                <w:sz w:val="28"/>
              </w:rPr>
              <w:t>IRC Amsterdam</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Postbus 115</w:t>
            </w:r>
          </w:p>
          <w:p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54396F" w:rsidRPr="0011743E" w:rsidRDefault="002902B5" w:rsidP="00682CB5">
            <w:pPr>
              <w:jc w:val="both"/>
              <w:rPr>
                <w:rFonts w:ascii="Times New Roman" w:hAnsi="Times New Roman" w:cs="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Organ centralny odpowiedzialny za europejskie nakazy </w:t>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Pr>
                <w:rFonts w:ascii="Times New Roman" w:hAnsi="Times New Roman"/>
                <w:sz w:val="28"/>
              </w:rPr>
              <w:t>aresztowania</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sidR="007551D4">
              <w:rPr>
                <w:rFonts w:ascii="Times New Roman" w:hAnsi="Times New Roman"/>
                <w:sz w:val="28"/>
              </w:rPr>
              <w:tab/>
            </w:r>
            <w:r>
              <w:rPr>
                <w:rFonts w:ascii="Times New Roman" w:hAnsi="Times New Roman"/>
                <w:sz w:val="28"/>
              </w:rPr>
              <w:t>Amsterdam</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Pr>
                <w:rFonts w:ascii="Times New Roman" w:hAnsi="Times New Roman"/>
                <w:sz w:val="28"/>
              </w:rPr>
              <w:t>1000AC</w:t>
            </w:r>
          </w:p>
          <w:p w:rsid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sz w:val="28"/>
              </w:rPr>
              <w:tab/>
              <w:t>+31 88 6991270</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Telefon komórkowy</w:t>
            </w:r>
            <w:r>
              <w:rPr>
                <w:rFonts w:ascii="Times New Roman" w:hAnsi="Times New Roman"/>
                <w:sz w:val="28"/>
              </w:rPr>
              <w:t>+316 53332848</w:t>
            </w:r>
          </w:p>
          <w:p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Numer faksu:</w:t>
            </w:r>
          </w:p>
          <w:p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sz w:val="28"/>
              </w:rPr>
              <w:tab/>
              <w:t>eab.amsterdam@om.nl</w:t>
            </w:r>
          </w:p>
        </w:tc>
      </w:tr>
    </w:tbl>
    <w:p w:rsidR="0054396F" w:rsidRPr="0011743E" w:rsidRDefault="0054396F"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Uwaga dla prowadzących szkolenie: można zmienić państwo członkowskie wykonujące nakaz i wybrać inne państwo, które nie scentralizowało zadań związanych z ENA. Następnie należy zlokalizować miejsce zamieszkania Dr. Drion w tym państwie członkowskim.</w:t>
      </w:r>
    </w:p>
    <w:p w:rsidR="0054396F" w:rsidRDefault="0054396F" w:rsidP="003A65B0">
      <w:pPr>
        <w:spacing w:after="160"/>
        <w:jc w:val="both"/>
        <w:rPr>
          <w:rStyle w:val="Pogrubienie"/>
          <w:rFonts w:ascii="Times New Roman" w:hAnsi="Times New Roman" w:cs="Times New Roman"/>
          <w:b w:val="0"/>
          <w:bCs w:val="0"/>
          <w:sz w:val="28"/>
          <w:szCs w:val="28"/>
        </w:rPr>
      </w:pPr>
    </w:p>
    <w:p w:rsidR="0027629A" w:rsidRPr="0011743E" w:rsidRDefault="0027629A" w:rsidP="003A65B0">
      <w:pPr>
        <w:spacing w:after="160"/>
        <w:jc w:val="both"/>
        <w:rPr>
          <w:rStyle w:val="Pogrubienie"/>
          <w:rFonts w:ascii="Times New Roman" w:hAnsi="Times New Roman" w:cs="Times New Roman"/>
          <w:b w:val="0"/>
          <w:bCs w:val="0"/>
          <w:sz w:val="28"/>
          <w:szCs w:val="28"/>
        </w:rPr>
      </w:pPr>
    </w:p>
    <w:p w:rsidR="00722354" w:rsidRPr="00682CB5" w:rsidRDefault="0054396F"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P7. Jaką procedurę przewiduje się w Holandii i jak długo ona trwa?</w:t>
      </w:r>
    </w:p>
    <w:p w:rsidR="00FE45E8" w:rsidRPr="0011743E" w:rsidRDefault="00FE45E8" w:rsidP="0008190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 xml:space="preserve">Postępowanie odbędzie się w Sądzie Okręgowym w Amsterdamie, zgodnie z przepisami decyzji ramowej i krajowego aktu wykonawczego. Dobrze jest przyjrzeć się terminom określonym w art. 17 DR. W związku z tym decyzja powinna być podjęta w ciągu 10 dni w przypadku zgody osoby zainteresowanej. (Uwaga: jeśli czas na to pozwoli, dobrym ćwiczeniem edukacyjnym byłoby postawienie pytania, co pociąga za sobą procedura zgody i jakie są jej konsekwencje) W innych przypadkach decyzja musi zostać podjęta w ciągu 60 dni i z zastrzeżeniem podania przyczyn może zostać przedłużona do 90 dni. W ogólnym ujęciu, państwa członkowskie często mają trudności z utrzymaniem terminów. Zob. </w:t>
      </w:r>
      <w:r>
        <w:rPr>
          <w:rFonts w:ascii="Times New Roman" w:hAnsi="Times New Roman"/>
          <w:sz w:val="28"/>
        </w:rPr>
        <w:t xml:space="preserve">str. 9 i 10 </w:t>
      </w:r>
      <w:hyperlink r:id="rId15" w:history="1">
        <w:r>
          <w:rPr>
            <w:rStyle w:val="Hipercze"/>
            <w:rFonts w:ascii="Times New Roman" w:hAnsi="Times New Roman"/>
            <w:sz w:val="28"/>
          </w:rPr>
          <w:t>dane statystyczne dotyczące Holandii znajdują się na str. 9 i 10 niniejszego raportu</w:t>
        </w:r>
      </w:hyperlink>
      <w:r>
        <w:rPr>
          <w:rStyle w:val="Pogrubienie"/>
          <w:rFonts w:ascii="Times New Roman" w:hAnsi="Times New Roman"/>
          <w:b w:val="0"/>
          <w:sz w:val="28"/>
        </w:rPr>
        <w:t xml:space="preserve">. </w:t>
      </w:r>
      <w:r>
        <w:rPr>
          <w:rFonts w:ascii="Times New Roman" w:hAnsi="Times New Roman"/>
          <w:sz w:val="28"/>
        </w:rPr>
        <w:t>Decyzja ramowa nie przewiduje sankcji w przypadku nieprzestrzegania terminów. Takie przypadki muszą być jednak zgłaszane do Eurojustu, zob. art. 17 ust. 7.</w:t>
      </w:r>
    </w:p>
    <w:p w:rsidR="00682CB5" w:rsidRDefault="00682CB5">
      <w:pPr>
        <w:rPr>
          <w:rStyle w:val="Pogrubienie"/>
          <w:rFonts w:ascii="Times New Roman" w:hAnsi="Times New Roman" w:cs="Times New Roman"/>
          <w:b w:val="0"/>
          <w:bCs w:val="0"/>
          <w:sz w:val="28"/>
          <w:szCs w:val="28"/>
        </w:rPr>
      </w:pPr>
    </w:p>
    <w:p w:rsidR="00294CB3" w:rsidRPr="00682CB5" w:rsidRDefault="00FE45E8"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P8. Jaką rolę odgrywają organy greckie podczas procedury wydawania osób?</w:t>
      </w:r>
    </w:p>
    <w:p w:rsidR="009C0A52" w:rsidRDefault="00FE45E8"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Muszą oni być dostępni, aby odpowiedzieć na wszelkie pytania dotyczące wyjaśnień, które mogą się pojawić. Dla reszty nie mają żadnej roli.</w:t>
      </w:r>
    </w:p>
    <w:p w:rsidR="00081900" w:rsidRPr="0011743E" w:rsidRDefault="00081900" w:rsidP="003A65B0">
      <w:pPr>
        <w:spacing w:after="160"/>
        <w:jc w:val="both"/>
        <w:rPr>
          <w:rStyle w:val="Pogrubienie"/>
          <w:rFonts w:ascii="Times New Roman" w:hAnsi="Times New Roman" w:cs="Times New Roman"/>
          <w:b w:val="0"/>
          <w:bCs w:val="0"/>
          <w:sz w:val="28"/>
          <w:szCs w:val="28"/>
        </w:rPr>
      </w:pPr>
    </w:p>
    <w:p w:rsidR="00294CB3" w:rsidRPr="00682CB5" w:rsidRDefault="009C0A52"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P9. Kiedy i w jaki sposób odbędzie się wydanie?</w:t>
      </w:r>
    </w:p>
    <w:p w:rsidR="009C0A52" w:rsidRPr="0011743E" w:rsidRDefault="009C0A52"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Przekazanie musi nastąpić możliwie jak najszybciej w terminie uzgodnionym przez zainteresowane organy (art. 23 ust. 1). Zgodnie z art. 10 ust. 2 nie może to nastąpić później niż 10 dni po podjęciu decyzji o przekazaniu. Należy pamiętać, że termin ten może zostać przedłużony, a art. 23 ust. 4 przewiduje tymczasowe odroczenie w przypadku wystąpienia przyczyn humanitarnych, takich jak choroba. Decyzja ramowa nie określa, w jaki sposób faktycznie odbywa się przekazanie. W praktyce decydują o tym również organy. Najczęstszym sposobem jest regularny lot między dwoma państwami członkowskimi, podczas którego osobie, której dotyczy wniosek, towarzyszy policja. Kraje sąsiednie mogą się przeprowadzić procedurę wydania na posterunku granicznym.</w:t>
      </w:r>
    </w:p>
    <w:p w:rsidR="00081900" w:rsidRDefault="00081900">
      <w:pPr>
        <w:rPr>
          <w:rStyle w:val="Pogrubienie"/>
          <w:rFonts w:ascii="Times New Roman" w:hAnsi="Times New Roman" w:cs="Times New Roman"/>
          <w:b w:val="0"/>
          <w:bCs w:val="0"/>
          <w:sz w:val="28"/>
          <w:szCs w:val="28"/>
        </w:rPr>
      </w:pPr>
      <w:r>
        <w:br w:type="page"/>
      </w:r>
    </w:p>
    <w:p w:rsidR="000F6045" w:rsidRPr="00682CB5" w:rsidRDefault="009C0A52"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lastRenderedPageBreak/>
        <w:t>P10. Wyobraźmy sobie, że procedura wydania się udaje. Pod jakimi warunkami grecki prokurator może również oskarżyć Driona o popełnienie kolejnego przestępstwa kradzieży ze sklepu?</w:t>
      </w:r>
    </w:p>
    <w:p w:rsidR="006E3406" w:rsidRPr="0011743E" w:rsidRDefault="009C0A52"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Pytanie to wywołuje analizę zasady specjalności, która chroni osobę, której wydania zażądano, przed ściganiem za przestępstwo, w związku z którym nie zażądano wydania</w:t>
      </w:r>
      <w:r>
        <w:rPr>
          <w:rStyle w:val="Pogrubienie"/>
          <w:rFonts w:ascii="Times New Roman" w:hAnsi="Times New Roman"/>
          <w:sz w:val="28"/>
        </w:rPr>
        <w:t xml:space="preserve">, lub w związku z </w:t>
      </w:r>
      <w:r>
        <w:rPr>
          <w:rStyle w:val="Pogrubienie"/>
          <w:rFonts w:ascii="Times New Roman" w:hAnsi="Times New Roman"/>
          <w:b w:val="0"/>
          <w:sz w:val="28"/>
        </w:rPr>
        <w:t xml:space="preserve">którym </w:t>
      </w:r>
      <w:r w:rsidR="00AF18F3">
        <w:rPr>
          <w:rStyle w:val="Pogrubienie"/>
          <w:rFonts w:ascii="Times New Roman" w:hAnsi="Times New Roman"/>
          <w:b w:val="0"/>
          <w:sz w:val="28"/>
        </w:rPr>
        <w:t>zażądano wydania</w:t>
      </w:r>
      <w:r>
        <w:rPr>
          <w:rStyle w:val="Pogrubienie"/>
          <w:rFonts w:ascii="Times New Roman" w:hAnsi="Times New Roman"/>
          <w:sz w:val="28"/>
        </w:rPr>
        <w:t xml:space="preserve">, </w:t>
      </w:r>
      <w:r>
        <w:rPr>
          <w:rStyle w:val="Pogrubienie"/>
          <w:rFonts w:ascii="Times New Roman" w:hAnsi="Times New Roman"/>
          <w:b w:val="0"/>
          <w:sz w:val="28"/>
        </w:rPr>
        <w:t>ale odmówiono</w:t>
      </w:r>
      <w:r>
        <w:rPr>
          <w:rStyle w:val="Pogrubienie"/>
          <w:rFonts w:ascii="Times New Roman" w:hAnsi="Times New Roman"/>
          <w:sz w:val="28"/>
        </w:rPr>
        <w:t>.</w:t>
      </w:r>
      <w:r>
        <w:rPr>
          <w:rStyle w:val="Pogrubienie"/>
          <w:rFonts w:ascii="Times New Roman" w:hAnsi="Times New Roman"/>
          <w:b w:val="0"/>
          <w:sz w:val="28"/>
        </w:rPr>
        <w:t xml:space="preserve"> </w:t>
      </w:r>
    </w:p>
    <w:p w:rsidR="006E3406" w:rsidRPr="0011743E" w:rsidRDefault="006E3406"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Po wydaniu może być wymagana dodatkowa zgoda na kolejne przestępstwa. Procedura została opisana w Art. 27 ust. 4: W praktyce ocena będzie wyglądała następująco:</w:t>
      </w:r>
    </w:p>
    <w:p w:rsidR="00587B46" w:rsidRPr="0011743E" w:rsidRDefault="006E3406"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Kradzież sklepowa nie jest przestępstwem z listy. Oznacza to, że zastosowanie ma art. 2 ust. 4 i należy sprawdzić podwójną karalność. Organ wydający nakaz musi przedstawić obowiązujące przepisy prawne, sprawdzić, czy został osiągnięty minimalny próg 12 miesięcy pozbawienia wolności i przedstawić dokładny opis stanu faktycznego. Organ wykonujący nakaz sprawdzi, czy jest to przestępstwo w świetle prawa holenderskiego. Najprawdopodobniej przestępstwo kradzieży sklepowej będzie spełniało wszystkie te wymogi i zostanie udzielona dodatkowa zgoda.</w:t>
      </w:r>
    </w:p>
    <w:p w:rsidR="00587B46" w:rsidRPr="0011743E" w:rsidRDefault="00587B46"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Pracownicy sądu lub prokuratury w państwie członkowskim wydającym nakaz powinni przed wydaniem ENA zwrócić uwagę na to, czy w ich państwie członkowskim jest więcej przestępstw, za które poszukiwana jest osoba. Jeżeli tak, należy ocenić, czy właściwe jest dodanie tego przestępstwa (tych przestępstw) do ENA. Miałoby to tę zaletę, że wszystkie przestępstwa mogłyby być rozpatrywane w ramach jednej procedury i pozwoliłoby uniknąć dalszych dodatkowych wniosków.</w:t>
      </w:r>
    </w:p>
    <w:p w:rsidR="007551D4" w:rsidRDefault="00587B46" w:rsidP="00081900">
      <w:pPr>
        <w:spacing w:after="160"/>
        <w:jc w:val="both"/>
        <w:rPr>
          <w:rStyle w:val="Pogrubienie"/>
          <w:rFonts w:ascii="Times New Roman" w:hAnsi="Times New Roman"/>
          <w:b w:val="0"/>
          <w:sz w:val="28"/>
        </w:rPr>
      </w:pPr>
      <w:r>
        <w:rPr>
          <w:rStyle w:val="Pogrubienie"/>
          <w:rFonts w:ascii="Times New Roman" w:hAnsi="Times New Roman"/>
          <w:b w:val="0"/>
          <w:sz w:val="28"/>
        </w:rPr>
        <w:t xml:space="preserve">Pracownicy sądu w państwie członkowskim wydającym nakaz, w którym po przekazaniu toczy się postępowanie karne, musi być świadomy ograniczeń wynikających z zasady specjalności, o której mowa w art. 27 ust. 2. Nie może mieć miejsca ściganie. Uwaga: Art. 27 ust. 1 pozwala na zniesienie tego ograniczenia, ale tylko między państwami członkowskimi, które dokonały takiego powiadomienia. Uczestnicy mogą wykonać ćwiczenie polegające na ustaleniu, czy taka sytuacja ma miejsce w przypadku dwóch zaangażowanych państw. Odpowiedź brzmi: ani Grecja, ani Holandia nie dokonały takiego zgłoszenia. W praktyce bardzo niewiele państw członkowskich dokonało takiego zgłoszenia. Uwaga: w przypadku, gdy decyzja ramowa odnosi się do zgłoszenia, należy pamiętać, że zgłoszenie może zostać zmienione. Innymi </w:t>
      </w:r>
      <w:r>
        <w:rPr>
          <w:rStyle w:val="Pogrubienie"/>
          <w:rFonts w:ascii="Times New Roman" w:hAnsi="Times New Roman"/>
          <w:b w:val="0"/>
          <w:sz w:val="28"/>
        </w:rPr>
        <w:lastRenderedPageBreak/>
        <w:t xml:space="preserve">słowy: w tej sprawie zawsze należy dwukrotnie sprawdzić stronę internetową EJN. Zob. na przykład ostatnio zmienione </w:t>
      </w:r>
      <w:hyperlink r:id="rId16" w:history="1">
        <w:r>
          <w:rPr>
            <w:rStyle w:val="Hipercze"/>
            <w:rFonts w:ascii="Times New Roman" w:hAnsi="Times New Roman"/>
            <w:sz w:val="28"/>
          </w:rPr>
          <w:t>zgłoszenie Rumunii z 13 marca 2020 r.</w:t>
        </w:r>
      </w:hyperlink>
    </w:p>
    <w:p w:rsidR="007551D4" w:rsidRDefault="007551D4" w:rsidP="00081900">
      <w:pPr>
        <w:spacing w:after="160"/>
        <w:jc w:val="both"/>
        <w:rPr>
          <w:rStyle w:val="Pogrubienie"/>
          <w:rFonts w:ascii="Times New Roman" w:hAnsi="Times New Roman" w:cs="Times New Roman"/>
          <w:b w:val="0"/>
          <w:bCs w:val="0"/>
          <w:sz w:val="28"/>
          <w:szCs w:val="28"/>
        </w:rPr>
      </w:pPr>
    </w:p>
    <w:p w:rsidR="007F4950" w:rsidRPr="00D51D85" w:rsidRDefault="00D51D85"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Ćwiczenia:</w:t>
      </w:r>
    </w:p>
    <w:p w:rsidR="007019D9" w:rsidRPr="00682CB5" w:rsidRDefault="007F4950"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Znajdź następujące właściwe organy wykonujące nakaz i języki, które mają być używane w zaświadczeniu:</w:t>
      </w:r>
    </w:p>
    <w:p w:rsidR="007019D9" w:rsidRPr="0011743E" w:rsidRDefault="007019D9" w:rsidP="003A65B0">
      <w:pPr>
        <w:spacing w:after="160"/>
        <w:jc w:val="both"/>
        <w:rPr>
          <w:rFonts w:ascii="Times New Roman" w:hAnsi="Times New Roman" w:cs="Times New Roman"/>
        </w:rPr>
      </w:pPr>
      <w:r>
        <w:rPr>
          <w:rFonts w:ascii="Times New Roman" w:hAnsi="Times New Roman"/>
          <w:sz w:val="28"/>
        </w:rPr>
        <w:t xml:space="preserve">W celu odnalezienia właściwych organów będziemy korzystać z </w:t>
      </w:r>
      <w:hyperlink r:id="rId17" w:history="1">
        <w:r>
          <w:rPr>
            <w:rStyle w:val="Hipercze"/>
            <w:rFonts w:ascii="Times New Roman" w:hAnsi="Times New Roman"/>
            <w:b/>
            <w:i/>
            <w:sz w:val="28"/>
          </w:rPr>
          <w:t>Atlasu</w:t>
        </w:r>
      </w:hyperlink>
      <w:r>
        <w:rPr>
          <w:rFonts w:ascii="Times New Roman" w:hAnsi="Times New Roman"/>
          <w:sz w:val="28"/>
        </w:rPr>
        <w:t xml:space="preserve"> dostępnego na stronie internetowej EJN – </w:t>
      </w:r>
      <w:hyperlink r:id="rId18" w:history="1">
        <w:r>
          <w:rPr>
            <w:rFonts w:ascii="Times New Roman" w:hAnsi="Times New Roman"/>
            <w:color w:val="0563C1"/>
            <w:sz w:val="28"/>
            <w:u w:val="single"/>
          </w:rPr>
          <w:t>www.ejn-crimjust.europa.eu</w:t>
        </w:r>
      </w:hyperlink>
      <w:r>
        <w:rPr>
          <w:rFonts w:ascii="Times New Roman" w:hAnsi="Times New Roman"/>
          <w:sz w:val="28"/>
        </w:rPr>
        <w:t xml:space="preserve"> wybierz państwo członkowskie wykonujące nakaz jako państwa wykonujące nakaz i </w:t>
      </w:r>
      <w:r>
        <w:rPr>
          <w:rFonts w:ascii="Times New Roman" w:hAnsi="Times New Roman"/>
          <w:i/>
          <w:sz w:val="28"/>
        </w:rPr>
        <w:t>901. Europejski nakaz aresztowania.</w:t>
      </w:r>
    </w:p>
    <w:p w:rsidR="00490097" w:rsidRPr="00081900" w:rsidRDefault="007019D9" w:rsidP="00081900">
      <w:pPr>
        <w:spacing w:after="160"/>
        <w:jc w:val="both"/>
        <w:rPr>
          <w:rFonts w:ascii="Times New Roman" w:hAnsi="Times New Roman" w:cs="Times New Roman"/>
          <w:sz w:val="28"/>
          <w:szCs w:val="28"/>
        </w:rPr>
      </w:pPr>
      <w:r>
        <w:rPr>
          <w:rFonts w:ascii="Times New Roman" w:hAnsi="Times New Roman"/>
          <w:sz w:val="28"/>
        </w:rPr>
        <w:t xml:space="preserve">Jeśli chodzi o języki zaświadczenia, będziemy korzystać z sekcji – Powiadomienia dla każdego z państw członkowskich </w:t>
      </w:r>
      <w:hyperlink r:id="rId19" w:history="1">
        <w:r>
          <w:rPr>
            <w:rStyle w:val="Hipercze"/>
            <w:rFonts w:ascii="Times New Roman" w:hAnsi="Times New Roman"/>
            <w:sz w:val="28"/>
          </w:rPr>
          <w:t>dostępnej tutaj</w:t>
        </w:r>
      </w:hyperlink>
      <w:r>
        <w:rPr>
          <w:rFonts w:ascii="Times New Roman" w:hAnsi="Times New Roman"/>
          <w:sz w:val="28"/>
        </w:rPr>
        <w:t>.</w:t>
      </w:r>
    </w:p>
    <w:p w:rsidR="007019D9" w:rsidRPr="0011743E" w:rsidRDefault="007019D9" w:rsidP="003A65B0">
      <w:pPr>
        <w:spacing w:after="160"/>
        <w:jc w:val="both"/>
        <w:rPr>
          <w:rFonts w:ascii="Times New Roman" w:hAnsi="Times New Roman" w:cs="Times New Roman"/>
          <w:sz w:val="28"/>
          <w:szCs w:val="28"/>
        </w:rPr>
      </w:pPr>
      <w:r>
        <w:rPr>
          <w:rFonts w:ascii="Times New Roman" w:hAnsi="Times New Roman"/>
          <w:sz w:val="28"/>
        </w:rPr>
        <w:t>W przypadku braku zgłoszenia, zgodnie z art. 8 ust. 2 DR, stosuje się język(i) urzędowy(e) państwa członkowskiego.</w:t>
      </w:r>
    </w:p>
    <w:p w:rsidR="00D51D85" w:rsidRDefault="007019D9" w:rsidP="003A65B0">
      <w:pPr>
        <w:spacing w:after="160"/>
        <w:jc w:val="both"/>
        <w:rPr>
          <w:rFonts w:ascii="Times New Roman" w:hAnsi="Times New Roman" w:cs="Times New Roman"/>
          <w:sz w:val="28"/>
          <w:szCs w:val="28"/>
        </w:rPr>
      </w:pPr>
      <w:r>
        <w:rPr>
          <w:rFonts w:ascii="Times New Roman" w:hAnsi="Times New Roman"/>
          <w:sz w:val="28"/>
        </w:rPr>
        <w:t>Wyniki powinny być następujące:</w:t>
      </w:r>
    </w:p>
    <w:p w:rsidR="00682CB5" w:rsidRDefault="00682CB5" w:rsidP="003A65B0">
      <w:pPr>
        <w:spacing w:after="160"/>
        <w:jc w:val="both"/>
        <w:rPr>
          <w:rFonts w:ascii="Times New Roman" w:hAnsi="Times New Roman" w:cs="Times New Roman"/>
          <w:sz w:val="28"/>
          <w:szCs w:val="28"/>
          <w:lang w:val="en-US"/>
        </w:rPr>
      </w:pPr>
    </w:p>
    <w:p w:rsidR="00682CB5" w:rsidRPr="00682CB5" w:rsidRDefault="00D51D85" w:rsidP="00682CB5">
      <w:pPr>
        <w:spacing w:after="160"/>
        <w:jc w:val="both"/>
        <w:rPr>
          <w:rFonts w:ascii="Times New Roman" w:hAnsi="Times New Roman" w:cs="Times New Roman"/>
          <w:i/>
          <w:sz w:val="28"/>
          <w:szCs w:val="28"/>
        </w:rPr>
      </w:pPr>
      <w:r>
        <w:rPr>
          <w:rFonts w:ascii="Times New Roman" w:hAnsi="Times New Roman"/>
          <w:i/>
          <w:sz w:val="28"/>
        </w:rPr>
        <w:t>1. Portugalski prokurator w Bradze domaga się wydania niemieckiego obywatela Dietera Müllera, który obecnie przebywa w fińskim Turku, w celu przeprowadzenia postępowania karnego.</w:t>
      </w:r>
    </w:p>
    <w:p w:rsidR="00AA0FD7" w:rsidRPr="0011743E" w:rsidRDefault="00AA0FD7" w:rsidP="003A65B0">
      <w:pPr>
        <w:spacing w:after="160"/>
        <w:jc w:val="both"/>
        <w:rPr>
          <w:rFonts w:ascii="Times New Roman" w:hAnsi="Times New Roman" w:cs="Times New Roman"/>
          <w:sz w:val="28"/>
          <w:szCs w:val="28"/>
        </w:rPr>
      </w:pPr>
      <w:r>
        <w:rPr>
          <w:rFonts w:ascii="Times New Roman" w:hAnsi="Times New Roman"/>
          <w:sz w:val="28"/>
        </w:rPr>
        <w:t xml:space="preserve">Właściwy organ portugalski znajduje się w </w:t>
      </w:r>
      <w:r>
        <w:rPr>
          <w:rFonts w:ascii="Times New Roman" w:hAnsi="Times New Roman"/>
          <w:color w:val="000000"/>
          <w:sz w:val="28"/>
        </w:rPr>
        <w:t>Guimarães, zob. strona internetowa EJN</w:t>
      </w:r>
      <w:r>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11743E"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color w:val="808080" w:themeColor="background1" w:themeShade="80"/>
                <w:sz w:val="28"/>
              </w:rPr>
              <w:tab/>
            </w:r>
            <w:r>
              <w:rPr>
                <w:rFonts w:ascii="Times New Roman" w:hAnsi="Times New Roman"/>
                <w:color w:val="808080" w:themeColor="background1" w:themeShade="80"/>
                <w:sz w:val="28"/>
              </w:rPr>
              <w:tab/>
            </w:r>
            <w:r w:rsidR="007551D4">
              <w:rPr>
                <w:rFonts w:ascii="Times New Roman" w:hAnsi="Times New Roman"/>
                <w:color w:val="808080" w:themeColor="background1" w:themeShade="80"/>
                <w:sz w:val="28"/>
              </w:rPr>
              <w:tab/>
            </w:r>
            <w:r>
              <w:rPr>
                <w:rFonts w:ascii="Times New Roman" w:hAnsi="Times New Roman"/>
                <w:color w:val="000000"/>
                <w:sz w:val="28"/>
              </w:rPr>
              <w:t>Tribunal da Relação de Guimarães</w:t>
            </w:r>
          </w:p>
          <w:p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themeColor="background1" w:themeShade="80"/>
                <w:sz w:val="28"/>
              </w:rPr>
              <w:tab/>
            </w:r>
            <w:r w:rsidR="007551D4">
              <w:rPr>
                <w:rFonts w:ascii="Times New Roman" w:hAnsi="Times New Roman"/>
                <w:color w:val="808080" w:themeColor="background1" w:themeShade="80"/>
                <w:sz w:val="28"/>
              </w:rPr>
              <w:tab/>
            </w:r>
            <w:r>
              <w:rPr>
                <w:rFonts w:ascii="Times New Roman" w:hAnsi="Times New Roman"/>
                <w:color w:val="000000"/>
                <w:sz w:val="28"/>
              </w:rPr>
              <w:t>Largo João Franco 248</w:t>
            </w:r>
          </w:p>
          <w:p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themeColor="background1" w:themeShade="80"/>
                <w:sz w:val="28"/>
              </w:rPr>
              <w:tab/>
            </w:r>
            <w:r>
              <w:rPr>
                <w:rFonts w:ascii="Times New Roman" w:hAnsi="Times New Roman"/>
                <w:color w:val="000000"/>
                <w:sz w:val="28"/>
              </w:rPr>
              <w:t>Guimarães.</w:t>
            </w:r>
          </w:p>
          <w:p w:rsidR="00AA0FD7" w:rsidRPr="007530D3"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sidR="007551D4">
              <w:rPr>
                <w:rFonts w:ascii="Times New Roman" w:hAnsi="Times New Roman"/>
                <w:b/>
                <w:color w:val="365F91" w:themeColor="accent1" w:themeShade="BF"/>
                <w:sz w:val="28"/>
              </w:rPr>
              <w:tab/>
            </w:r>
            <w:r>
              <w:rPr>
                <w:rFonts w:ascii="Times New Roman" w:hAnsi="Times New Roman"/>
                <w:color w:val="000000"/>
                <w:sz w:val="28"/>
              </w:rPr>
              <w:t>4810-269</w:t>
            </w:r>
          </w:p>
          <w:p w:rsidR="007530D3"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Numer telefonu:</w:t>
            </w:r>
          </w:p>
          <w:p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7530D3" w:rsidRPr="00556862" w:rsidRDefault="00AA0FD7" w:rsidP="00682CB5">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Numer faksu:</w:t>
            </w:r>
          </w:p>
          <w:p w:rsidR="00AA0FD7" w:rsidRPr="00556862" w:rsidRDefault="00AA0FD7"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Adres e-mail:</w:t>
            </w:r>
          </w:p>
        </w:tc>
      </w:tr>
    </w:tbl>
    <w:p w:rsidR="00AA0FD7" w:rsidRPr="0011743E" w:rsidRDefault="00AA0FD7" w:rsidP="003A65B0">
      <w:pPr>
        <w:spacing w:after="160" w:line="240" w:lineRule="auto"/>
        <w:jc w:val="both"/>
        <w:rPr>
          <w:rFonts w:ascii="Times New Roman" w:eastAsia="Times New Roman" w:hAnsi="Times New Roman" w:cs="Times New Roman"/>
          <w:sz w:val="28"/>
          <w:szCs w:val="28"/>
        </w:rPr>
      </w:pPr>
      <w:r>
        <w:rPr>
          <w:rFonts w:ascii="Times New Roman" w:hAnsi="Times New Roman"/>
          <w:sz w:val="28"/>
        </w:rPr>
        <w:t xml:space="preserve">Istnieje jedna centralny organ dla całego kraju. Zgodnie ze zgłoszeniem Finlandia przyjmuje europejskie nakazy aresztowania w języku fińskim, szwedzkim i angielskim. Uwaga: Zauważyłem (w maju 2020 r.), że dokument </w:t>
      </w:r>
      <w:r>
        <w:rPr>
          <w:rFonts w:ascii="Times New Roman" w:hAnsi="Times New Roman"/>
          <w:sz w:val="28"/>
        </w:rPr>
        <w:lastRenderedPageBreak/>
        <w:t>zamieszczony na stronie internetowej EJN, który ma zawierać tłumaczenie zgłoszenia na język angielski, nie jest w tym języku, lecz w języku fińskim.</w:t>
      </w:r>
    </w:p>
    <w:p w:rsidR="00AA0FD7" w:rsidRPr="00556862" w:rsidRDefault="00AA0FD7" w:rsidP="00556862">
      <w:pPr>
        <w:spacing w:after="160" w:line="240" w:lineRule="auto"/>
        <w:jc w:val="both"/>
        <w:rPr>
          <w:rFonts w:ascii="Times New Roman" w:eastAsia="Times New Roman" w:hAnsi="Times New Roman" w:cs="Times New Roman"/>
          <w:sz w:val="28"/>
          <w:szCs w:val="28"/>
        </w:rPr>
      </w:pPr>
      <w:r>
        <w:rPr>
          <w:rFonts w:ascii="Times New Roman" w:hAnsi="Times New Roman"/>
          <w:sz w:val="28"/>
        </w:rPr>
        <w:t>(Uwaga: Prowadzący: Bardzo przydatne może być wykonanie tego ćwiczenia na ekranie wspólnie z grupą. Szukajcie razem na stronie EJN. Odpowiedź na to pytanie można znaleźć na kilka sposobów. Ważne jest to, że uczestnicy odnajdują się na stronie)</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11743E"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Okręg prokuratorski południowej Finlandii (Etelä-</w:t>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Pr>
                <w:rFonts w:ascii="Times New Roman" w:hAnsi="Times New Roman"/>
                <w:color w:val="000000"/>
                <w:sz w:val="28"/>
              </w:rPr>
              <w:t>Suomen syyttäjäalue)</w:t>
            </w:r>
          </w:p>
          <w:p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Porkkalankatu 13</w:t>
            </w:r>
          </w:p>
          <w:p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Helsinki</w:t>
            </w:r>
          </w:p>
          <w:p w:rsidR="00C33366" w:rsidRPr="00AC451B"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000000"/>
                <w:sz w:val="28"/>
              </w:rPr>
              <w:t>00180</w:t>
            </w:r>
          </w:p>
          <w:p w:rsidR="00AC451B" w:rsidRDefault="00C33366"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telefonu: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+358 29 562 2100</w:t>
            </w:r>
          </w:p>
          <w:p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AC451B" w:rsidRDefault="00C33366"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faksu: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+358 29 562 2203</w:t>
            </w:r>
          </w:p>
          <w:p w:rsidR="00C33366" w:rsidRPr="0011743E" w:rsidRDefault="00C33366"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etela-suomi.syyttaja@oikeus.fi</w:t>
            </w:r>
          </w:p>
        </w:tc>
      </w:tr>
    </w:tbl>
    <w:p w:rsidR="00C33366" w:rsidRPr="0011743E" w:rsidRDefault="00C33366" w:rsidP="003A65B0">
      <w:pPr>
        <w:spacing w:after="160" w:line="240" w:lineRule="auto"/>
        <w:jc w:val="both"/>
        <w:rPr>
          <w:rFonts w:ascii="Times New Roman" w:eastAsia="Times New Roman" w:hAnsi="Times New Roman" w:cs="Times New Roman"/>
          <w:sz w:val="28"/>
          <w:szCs w:val="28"/>
          <w:lang w:eastAsia="nl-NL"/>
        </w:rPr>
      </w:pPr>
    </w:p>
    <w:p w:rsidR="00C33366" w:rsidRPr="0011743E" w:rsidRDefault="00C33366" w:rsidP="00682CB5">
      <w:pPr>
        <w:spacing w:after="160" w:line="240" w:lineRule="auto"/>
        <w:jc w:val="both"/>
        <w:rPr>
          <w:rFonts w:ascii="Times New Roman" w:eastAsia="Times New Roman" w:hAnsi="Times New Roman" w:cs="Times New Roman"/>
          <w:sz w:val="28"/>
          <w:szCs w:val="28"/>
        </w:rPr>
      </w:pPr>
      <w:r>
        <w:rPr>
          <w:rFonts w:ascii="Times New Roman" w:hAnsi="Times New Roman"/>
          <w:sz w:val="28"/>
        </w:rPr>
        <w:t>(Jeżeli czas na to pozwoli, można zadać uczestnikom pytanie, czy konieczne jest zapewnienie tłumaczenia ENA na język niemiecki, ponieważ osoba, której dotyczy wniosek, jest obywatelem tego państwa. Wiąże się to ze stosowaniem dyrektywy 2010/64 w sprawie tłumaczeń pisemnych i ustnych. W rzeczywistości pytanie to może pojawić się, gdy osoba, której dotyczy wniosek, jest zaangażowana w procedurę. Zależy to od tego, czy osoba, której dotyczy wniosek, jest w stanie zrozumieć język ENA)</w:t>
      </w:r>
    </w:p>
    <w:p w:rsidR="00556862" w:rsidRPr="0011743E" w:rsidRDefault="00556862" w:rsidP="003A65B0">
      <w:pPr>
        <w:spacing w:after="160" w:line="240" w:lineRule="auto"/>
        <w:jc w:val="both"/>
        <w:rPr>
          <w:rFonts w:ascii="Times New Roman" w:eastAsia="Times New Roman" w:hAnsi="Times New Roman" w:cs="Times New Roman"/>
          <w:color w:val="808080"/>
          <w:sz w:val="17"/>
          <w:lang w:eastAsia="nl-NL"/>
        </w:rPr>
      </w:pPr>
    </w:p>
    <w:p w:rsidR="00C629CD" w:rsidRPr="00556862" w:rsidRDefault="00C629CD" w:rsidP="003A65B0">
      <w:pPr>
        <w:spacing w:after="160"/>
        <w:jc w:val="both"/>
        <w:rPr>
          <w:rFonts w:ascii="Times New Roman" w:hAnsi="Times New Roman" w:cs="Times New Roman"/>
          <w:i/>
          <w:sz w:val="28"/>
          <w:szCs w:val="28"/>
        </w:rPr>
      </w:pPr>
      <w:r>
        <w:rPr>
          <w:rFonts w:ascii="Times New Roman" w:hAnsi="Times New Roman"/>
          <w:i/>
          <w:sz w:val="28"/>
        </w:rPr>
        <w:t xml:space="preserve">2. Irlandzka prokuratura otrzymuje ENA dotyczący wyroku w sprawie obywatela francuskiego Leona Laselle'a skazanego zaocznie przez Tribunal de Grande Instance de Bordeaux, Francja.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Nazwa:</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Cour d'Appel de Bordeaux</w:t>
            </w:r>
          </w:p>
          <w:p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Place de la République</w:t>
            </w:r>
          </w:p>
          <w:p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BORDEAUX CEDEX</w:t>
            </w:r>
          </w:p>
          <w:p w:rsidR="00AF37BC" w:rsidRP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Kod pocztowy:</w:t>
            </w:r>
            <w:r>
              <w:rPr>
                <w:rFonts w:ascii="Times New Roman" w:hAnsi="Times New Roman"/>
                <w:b/>
                <w:color w:val="808080"/>
                <w:sz w:val="28"/>
              </w:rPr>
              <w:tab/>
            </w:r>
            <w:r w:rsidR="007551D4">
              <w:rPr>
                <w:rFonts w:ascii="Times New Roman" w:hAnsi="Times New Roman"/>
                <w:b/>
                <w:color w:val="808080"/>
                <w:sz w:val="28"/>
              </w:rPr>
              <w:tab/>
            </w:r>
            <w:r>
              <w:rPr>
                <w:rFonts w:ascii="Times New Roman" w:hAnsi="Times New Roman"/>
                <w:sz w:val="28"/>
              </w:rPr>
              <w:t>33077</w:t>
            </w:r>
          </w:p>
          <w:p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Numer telefonu:</w:t>
            </w:r>
            <w:r>
              <w:rPr>
                <w:rFonts w:ascii="Times New Roman" w:hAnsi="Times New Roman"/>
                <w:color w:val="365F91" w:themeColor="accent1" w:themeShade="BF"/>
                <w:sz w:val="28"/>
              </w:rPr>
              <w:tab/>
            </w:r>
            <w:r w:rsidR="007551D4">
              <w:rPr>
                <w:rFonts w:ascii="Times New Roman" w:hAnsi="Times New Roman"/>
                <w:color w:val="365F91" w:themeColor="accent1" w:themeShade="BF"/>
                <w:sz w:val="28"/>
              </w:rPr>
              <w:tab/>
            </w:r>
            <w:r>
              <w:rPr>
                <w:rFonts w:ascii="Times New Roman" w:hAnsi="Times New Roman"/>
                <w:sz w:val="28"/>
              </w:rPr>
              <w:t>(+33) 556013400</w:t>
            </w:r>
          </w:p>
          <w:p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Numer faksu: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(+33) 556442830</w:t>
            </w:r>
          </w:p>
          <w:p w:rsidR="00556862"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Adres e-mail:</w:t>
            </w:r>
          </w:p>
        </w:tc>
      </w:tr>
      <w:tr w:rsidR="00114FD5" w:rsidRPr="0011743E"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lastRenderedPageBreak/>
              <w:t>Nazwa:</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Organ centralny odpowiedzialny za ENA</w:t>
            </w:r>
          </w:p>
          <w:p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 xml:space="preserve">Departament Sprawiedliwości i Reformy Prawa 51 St </w:t>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t xml:space="preserve">Stephens </w:t>
            </w:r>
            <w:r>
              <w:rPr>
                <w:rFonts w:ascii="Times New Roman" w:hAnsi="Times New Roman"/>
                <w:color w:val="000000"/>
                <w:sz w:val="28"/>
              </w:rPr>
              <w:t>Green</w:t>
            </w:r>
          </w:p>
          <w:p w:rsidR="00114FD5" w:rsidRPr="00733318" w:rsidRDefault="00114FD5"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Departament (Wydział):</w:t>
            </w:r>
            <w:r>
              <w:rPr>
                <w:rFonts w:ascii="Times New Roman" w:hAnsi="Times New Roman"/>
                <w:color w:val="000000"/>
                <w:sz w:val="28"/>
              </w:rPr>
              <w:t>Dublin 2</w:t>
            </w:r>
          </w:p>
          <w:p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Miasto:</w:t>
            </w:r>
          </w:p>
          <w:p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Kod pocztowy:</w:t>
            </w:r>
          </w:p>
          <w:p w:rsidR="00C629CD" w:rsidRDefault="00114FD5"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telefonu:</w:t>
            </w:r>
            <w:r>
              <w:rPr>
                <w:rFonts w:ascii="Times New Roman" w:hAnsi="Times New Roman"/>
                <w:color w:val="000000"/>
                <w:sz w:val="28"/>
              </w:rPr>
              <w:tab/>
            </w:r>
            <w:r w:rsidR="007551D4">
              <w:rPr>
                <w:rFonts w:ascii="Times New Roman" w:hAnsi="Times New Roman"/>
                <w:color w:val="000000"/>
                <w:sz w:val="28"/>
              </w:rPr>
              <w:tab/>
            </w:r>
            <w:r>
              <w:rPr>
                <w:rFonts w:ascii="Times New Roman" w:hAnsi="Times New Roman"/>
                <w:color w:val="000000"/>
                <w:sz w:val="28"/>
              </w:rPr>
              <w:t>00 353 1 408 6100</w:t>
            </w:r>
          </w:p>
          <w:p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C629CD" w:rsidRDefault="00114FD5"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faksu:</w:t>
            </w:r>
            <w:r>
              <w:rPr>
                <w:rFonts w:ascii="Times New Roman" w:hAnsi="Times New Roman"/>
                <w:color w:val="000000"/>
                <w:sz w:val="28"/>
              </w:rPr>
              <w:tab/>
            </w:r>
            <w:r w:rsidR="007551D4">
              <w:rPr>
                <w:rFonts w:ascii="Times New Roman" w:hAnsi="Times New Roman"/>
                <w:color w:val="000000"/>
                <w:sz w:val="28"/>
              </w:rPr>
              <w:tab/>
            </w:r>
            <w:r>
              <w:rPr>
                <w:rFonts w:ascii="Times New Roman" w:hAnsi="Times New Roman"/>
                <w:color w:val="000000"/>
                <w:sz w:val="28"/>
              </w:rPr>
              <w:t>00 353 1 408 6117</w:t>
            </w:r>
          </w:p>
          <w:p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warrantsmail@justice.ie</w:t>
            </w:r>
          </w:p>
        </w:tc>
      </w:tr>
    </w:tbl>
    <w:p w:rsidR="00114FD5" w:rsidRDefault="00114FD5" w:rsidP="00733318">
      <w:pPr>
        <w:spacing w:after="160"/>
        <w:jc w:val="both"/>
        <w:rPr>
          <w:rFonts w:ascii="Times New Roman" w:eastAsia="Times New Roman" w:hAnsi="Times New Roman" w:cs="Times New Roman"/>
          <w:sz w:val="28"/>
          <w:szCs w:val="28"/>
        </w:rPr>
      </w:pPr>
      <w:r>
        <w:rPr>
          <w:rFonts w:ascii="Times New Roman" w:hAnsi="Times New Roman"/>
          <w:sz w:val="28"/>
        </w:rPr>
        <w:t xml:space="preserve">Istnieje jedna centralny organ dla całego kraju. Zgodnie ze zgłoszeniem Irlandia akceptuje ENA w języku irlandzkim i angielskim. </w:t>
      </w:r>
    </w:p>
    <w:p w:rsidR="00733318" w:rsidRPr="00733318" w:rsidRDefault="00733318" w:rsidP="00733318">
      <w:pPr>
        <w:spacing w:after="160"/>
        <w:jc w:val="both"/>
        <w:rPr>
          <w:rFonts w:ascii="Times New Roman" w:eastAsia="Times New Roman" w:hAnsi="Times New Roman" w:cs="Times New Roman"/>
          <w:sz w:val="28"/>
          <w:szCs w:val="28"/>
          <w:lang w:eastAsia="nl-NL"/>
        </w:rPr>
      </w:pPr>
    </w:p>
    <w:p w:rsidR="00C87F56" w:rsidRPr="00733318" w:rsidRDefault="00F30BF3" w:rsidP="003A65B0">
      <w:pPr>
        <w:spacing w:after="160"/>
        <w:jc w:val="both"/>
        <w:rPr>
          <w:rFonts w:ascii="Times New Roman" w:hAnsi="Times New Roman" w:cs="Times New Roman"/>
          <w:i/>
          <w:sz w:val="28"/>
          <w:szCs w:val="28"/>
        </w:rPr>
      </w:pPr>
      <w:r>
        <w:rPr>
          <w:rFonts w:ascii="Times New Roman" w:hAnsi="Times New Roman"/>
          <w:i/>
          <w:sz w:val="28"/>
        </w:rPr>
        <w:t>3. Właściwy organ hiszpański w Maladze poszukuje obywatela rosyjskiego Michaila Lebedenskiego, zamieszkałego w Nikozji na Cyprze.</w:t>
      </w:r>
    </w:p>
    <w:p w:rsidR="00733318" w:rsidRDefault="00733318" w:rsidP="003A65B0">
      <w:pPr>
        <w:spacing w:after="160"/>
        <w:jc w:val="both"/>
        <w:rPr>
          <w:rFonts w:ascii="Times New Roman" w:hAnsi="Times New Roman" w:cs="Times New Roman"/>
          <w:bCs/>
          <w:sz w:val="28"/>
          <w:szCs w:val="28"/>
          <w:lang w:val="en-US"/>
        </w:rPr>
      </w:pPr>
    </w:p>
    <w:p w:rsidR="00AF37BC" w:rsidRPr="00F30BF3" w:rsidRDefault="00AF37BC" w:rsidP="003A65B0">
      <w:pPr>
        <w:spacing w:after="160"/>
        <w:jc w:val="both"/>
        <w:rPr>
          <w:rFonts w:ascii="Times New Roman" w:hAnsi="Times New Roman" w:cs="Times New Roman"/>
          <w:bCs/>
          <w:sz w:val="28"/>
          <w:szCs w:val="28"/>
        </w:rPr>
      </w:pPr>
      <w:r>
        <w:rPr>
          <w:rFonts w:ascii="Times New Roman" w:hAnsi="Times New Roman"/>
          <w:sz w:val="28"/>
        </w:rPr>
        <w:t>Właściwy organ hiszpański jest właściwy dla całego kraju:</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Nazwa:</w:t>
            </w:r>
            <w:r>
              <w:rPr>
                <w:rFonts w:ascii="Times New Roman" w:hAnsi="Times New Roman"/>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 xml:space="preserve">Servicio Común de Registro, (Para el reparto entre </w:t>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sidR="007551D4">
              <w:rPr>
                <w:rFonts w:ascii="Times New Roman" w:hAnsi="Times New Roman"/>
                <w:color w:val="000000"/>
                <w:sz w:val="28"/>
              </w:rPr>
              <w:tab/>
            </w:r>
            <w:r>
              <w:rPr>
                <w:rFonts w:ascii="Times New Roman" w:hAnsi="Times New Roman"/>
                <w:color w:val="000000"/>
                <w:sz w:val="28"/>
              </w:rPr>
              <w:t>los Juzgados Centrales de Instrucción)</w:t>
            </w:r>
          </w:p>
          <w:p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Goya 14</w:t>
            </w:r>
          </w:p>
          <w:p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Madryt</w:t>
            </w:r>
          </w:p>
          <w:p w:rsidR="00AF37BC" w:rsidRPr="00F30BF3"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sidR="007551D4">
              <w:rPr>
                <w:rFonts w:ascii="Times New Roman" w:hAnsi="Times New Roman"/>
                <w:b/>
                <w:color w:val="365F91" w:themeColor="accent1" w:themeShade="BF"/>
                <w:sz w:val="28"/>
              </w:rPr>
              <w:tab/>
            </w:r>
            <w:r>
              <w:rPr>
                <w:rFonts w:ascii="Times New Roman" w:hAnsi="Times New Roman"/>
                <w:color w:val="000000"/>
                <w:sz w:val="28"/>
              </w:rPr>
              <w:t>28071</w:t>
            </w:r>
          </w:p>
          <w:p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telefonu: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(+34) 91.400.62.13/26/25</w:t>
            </w:r>
          </w:p>
          <w:p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Numer faksu: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(+34) 91.400.72.34/35</w:t>
            </w:r>
          </w:p>
          <w:p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Adres e-mail:</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color w:val="000000"/>
                <w:sz w:val="28"/>
              </w:rPr>
              <w:t>audiencianacional.scrrda@justicia.es</w:t>
            </w:r>
          </w:p>
        </w:tc>
      </w:tr>
    </w:tbl>
    <w:p w:rsidR="00AF37BC" w:rsidRPr="0011743E" w:rsidRDefault="00AF37BC" w:rsidP="003A65B0">
      <w:pPr>
        <w:spacing w:after="160"/>
        <w:jc w:val="both"/>
        <w:rPr>
          <w:rFonts w:ascii="Times New Roman" w:hAnsi="Times New Roman" w:cs="Times New Roman"/>
          <w:b/>
          <w:bCs/>
          <w:sz w:val="28"/>
          <w:szCs w:val="28"/>
        </w:rPr>
      </w:pPr>
    </w:p>
    <w:p w:rsidR="00AF37BC" w:rsidRPr="0011743E" w:rsidRDefault="00CC2342" w:rsidP="003A65B0">
      <w:pPr>
        <w:spacing w:after="160"/>
        <w:jc w:val="both"/>
        <w:rPr>
          <w:rFonts w:ascii="Times New Roman" w:hAnsi="Times New Roman" w:cs="Times New Roman"/>
          <w:bCs/>
          <w:sz w:val="28"/>
          <w:szCs w:val="28"/>
        </w:rPr>
      </w:pPr>
      <w:r>
        <w:rPr>
          <w:rFonts w:ascii="Times New Roman" w:hAnsi="Times New Roman"/>
          <w:sz w:val="28"/>
        </w:rPr>
        <w:t>Organem właściwym na Cyprze jest:</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11743E"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Nazwa:</w:t>
            </w:r>
            <w:r>
              <w:rPr>
                <w:rFonts w:ascii="Times New Roman" w:hAnsi="Times New Roman"/>
                <w:b/>
                <w:color w:val="808080"/>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 xml:space="preserve">Ministerstwo Sprawiedliwości i Porządku </w:t>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sidR="007551D4">
              <w:rPr>
                <w:rFonts w:ascii="Times New Roman" w:hAnsi="Times New Roman"/>
                <w:sz w:val="28"/>
              </w:rPr>
              <w:tab/>
            </w:r>
            <w:r>
              <w:rPr>
                <w:rFonts w:ascii="Times New Roman" w:hAnsi="Times New Roman"/>
                <w:sz w:val="28"/>
              </w:rPr>
              <w:t>Publicznego</w:t>
            </w:r>
          </w:p>
          <w:p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b/>
                <w:color w:val="365F91" w:themeColor="accent1" w:themeShade="BF"/>
                <w:sz w:val="28"/>
              </w:rPr>
              <w:tab/>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125 Athalassas Avenue</w:t>
            </w:r>
          </w:p>
          <w:p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Departament (Wydział):</w:t>
            </w:r>
          </w:p>
          <w:p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Miasto:</w:t>
            </w:r>
            <w:r>
              <w:rPr>
                <w:rFonts w:ascii="Times New Roman" w:hAnsi="Times New Roman"/>
                <w:b/>
                <w:color w:val="365F91" w:themeColor="accent1" w:themeShade="BF"/>
                <w:sz w:val="28"/>
              </w:rPr>
              <w:tab/>
            </w:r>
            <w:r>
              <w:rPr>
                <w:rFonts w:ascii="Times New Roman" w:hAnsi="Times New Roman"/>
                <w:color w:val="365F91" w:themeColor="accent1" w:themeShade="BF"/>
                <w:sz w:val="28"/>
              </w:rPr>
              <w:tab/>
            </w:r>
            <w:r>
              <w:rPr>
                <w:rFonts w:ascii="Times New Roman" w:hAnsi="Times New Roman"/>
                <w:color w:val="808080"/>
                <w:sz w:val="28"/>
              </w:rPr>
              <w:tab/>
            </w:r>
            <w:r>
              <w:rPr>
                <w:rFonts w:ascii="Times New Roman" w:hAnsi="Times New Roman"/>
                <w:sz w:val="28"/>
              </w:rPr>
              <w:t>Nikozja</w:t>
            </w:r>
          </w:p>
          <w:p w:rsidR="00114FD5" w:rsidRPr="00B22753" w:rsidRDefault="00114FD5" w:rsidP="00556862">
            <w:pPr>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Kod pocztowy:</w:t>
            </w:r>
            <w:r>
              <w:rPr>
                <w:rFonts w:ascii="Times New Roman" w:hAnsi="Times New Roman"/>
                <w:b/>
                <w:color w:val="365F91" w:themeColor="accent1" w:themeShade="BF"/>
                <w:sz w:val="28"/>
              </w:rPr>
              <w:tab/>
            </w:r>
            <w:r w:rsidR="007551D4">
              <w:rPr>
                <w:rFonts w:ascii="Times New Roman" w:hAnsi="Times New Roman"/>
                <w:b/>
                <w:color w:val="365F91" w:themeColor="accent1" w:themeShade="BF"/>
                <w:sz w:val="28"/>
              </w:rPr>
              <w:tab/>
            </w:r>
            <w:r>
              <w:rPr>
                <w:rFonts w:ascii="Times New Roman" w:hAnsi="Times New Roman"/>
                <w:sz w:val="28"/>
              </w:rPr>
              <w:t>1461</w:t>
            </w:r>
          </w:p>
          <w:p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Numer telefonu: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+357 22805928; +357 22805950/951</w:t>
            </w:r>
          </w:p>
          <w:p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 komórkowy</w:t>
            </w:r>
          </w:p>
          <w:p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Numer faksu:</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 xml:space="preserve">+357 22518328; +357 22518356; </w:t>
            </w:r>
          </w:p>
          <w:p w:rsidR="00114FD5" w:rsidRPr="0011743E" w:rsidRDefault="00B22753"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 e-mail:</w:t>
            </w:r>
            <w:r>
              <w:rPr>
                <w:rFonts w:ascii="Times New Roman" w:hAnsi="Times New Roman"/>
                <w:color w:val="808080"/>
                <w:sz w:val="28"/>
              </w:rPr>
              <w:tab/>
            </w:r>
            <w:r w:rsidR="007551D4">
              <w:rPr>
                <w:rFonts w:ascii="Times New Roman" w:hAnsi="Times New Roman"/>
                <w:color w:val="808080"/>
                <w:sz w:val="28"/>
              </w:rPr>
              <w:tab/>
            </w:r>
            <w:r>
              <w:rPr>
                <w:rFonts w:ascii="Times New Roman" w:hAnsi="Times New Roman"/>
                <w:sz w:val="28"/>
              </w:rPr>
              <w:t>akyriakides@papd.gov.cy</w:t>
            </w:r>
          </w:p>
        </w:tc>
      </w:tr>
    </w:tbl>
    <w:p w:rsidR="00733318" w:rsidRDefault="00733318" w:rsidP="003A65B0">
      <w:pPr>
        <w:spacing w:after="160"/>
        <w:jc w:val="both"/>
        <w:rPr>
          <w:rFonts w:ascii="Times New Roman" w:eastAsia="Times New Roman" w:hAnsi="Times New Roman" w:cs="Times New Roman"/>
          <w:sz w:val="28"/>
          <w:szCs w:val="28"/>
          <w:lang w:eastAsia="nl-NL"/>
        </w:rPr>
      </w:pPr>
    </w:p>
    <w:p w:rsidR="0007613E"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 xml:space="preserve">Istnieje jedna centralny organ dla całego kraju. Zgodnie ze zgłoszeniem, </w:t>
      </w:r>
      <w:hyperlink r:id="rId20" w:history="1">
        <w:r>
          <w:rPr>
            <w:rStyle w:val="Hipercze"/>
            <w:rFonts w:ascii="Times New Roman" w:hAnsi="Times New Roman"/>
            <w:sz w:val="28"/>
          </w:rPr>
          <w:t>można znaleźć na stronie internetowej EJN</w:t>
        </w:r>
      </w:hyperlink>
      <w:r>
        <w:rPr>
          <w:rFonts w:ascii="Times New Roman" w:hAnsi="Times New Roman"/>
          <w:sz w:val="28"/>
        </w:rPr>
        <w:t xml:space="preserve">. </w:t>
      </w:r>
    </w:p>
    <w:p w:rsidR="00114FD5"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Cypr akceptuje ENA w swoich językach urzędowych oraz w języku angielskim. Uwaga: niniejsze zgłoszenie wymaga, aby organ wydający nakaz, jeżeli nie wysyła ENA w języku angielskim, wiedział, jakie są języki urzędowe Cypru.</w:t>
      </w:r>
    </w:p>
    <w:p w:rsidR="00081900" w:rsidRPr="00733318" w:rsidRDefault="00B2082C" w:rsidP="00081900">
      <w:pPr>
        <w:spacing w:after="160"/>
        <w:jc w:val="both"/>
        <w:rPr>
          <w:rFonts w:ascii="Times New Roman" w:eastAsia="Times New Roman" w:hAnsi="Times New Roman" w:cs="Times New Roman"/>
          <w:sz w:val="28"/>
          <w:szCs w:val="28"/>
        </w:rPr>
      </w:pPr>
      <w:r>
        <w:rPr>
          <w:rFonts w:ascii="Times New Roman" w:hAnsi="Times New Roman"/>
          <w:sz w:val="28"/>
        </w:rPr>
        <w:t xml:space="preserve">(Jeżeli czas na to pozwoli, można zadać uczestnikom pytanie, w jaki sposób dokonuje się tłumaczenia ENA na inny język. Podstawową kwestią jest tu to, czy tłumacz wykonujący to zadanie otrzyma pełny oryginał dokumentu i następnie dokona jego tłumaczenia, czy też zostanie poinformowany, że ENA i jego formularz są dostępne we wszystkich autentycznych językach Unii Europejskiej. Jeśli nie zostaną podane dalsze instrukcje, istnieje duże prawdopodobieństwo, że tłumacz przetłumaczy wszystko od nowa, łącznie z formularzem. Skutkiem tego może być nadanie terminom formularza innego znaczenia niż w tekście oryginalnym. Może to prowadzić do nieporozumień, konieczności wyjaśnień i opóźnień. Tłumacze muszą przetłumaczyć tylko to, co zostało wypełnione w formularzu, a nie sam formularz </w:t>
      </w:r>
      <w:hyperlink r:id="rId21" w:history="1">
        <w:r>
          <w:rPr>
            <w:rStyle w:val="Hipercze"/>
            <w:rFonts w:ascii="Times New Roman" w:hAnsi="Times New Roman"/>
            <w:sz w:val="28"/>
          </w:rPr>
          <w:t>Wszystkie autentyczne teksty można znaleźć i pobrać tutaj</w:t>
        </w:r>
      </w:hyperlink>
      <w:r>
        <w:rPr>
          <w:rFonts w:ascii="Times New Roman" w:hAnsi="Times New Roman"/>
        </w:rPr>
        <w:t xml:space="preserve">. </w:t>
      </w:r>
      <w:r>
        <w:rPr>
          <w:rFonts w:ascii="Times New Roman" w:hAnsi="Times New Roman"/>
          <w:sz w:val="28"/>
        </w:rPr>
        <w:t>Uwaga ta jest równie istotna dla osób tłumaczących zbiór spraw i instrukcji)</w:t>
      </w:r>
    </w:p>
    <w:p w:rsidR="00B2082C" w:rsidRPr="0011743E" w:rsidRDefault="00733318" w:rsidP="00081900">
      <w:pPr>
        <w:rPr>
          <w:rFonts w:ascii="Times New Roman" w:hAnsi="Times New Roman" w:cs="Times New Roman"/>
          <w:b/>
          <w:bCs/>
          <w:sz w:val="28"/>
          <w:szCs w:val="28"/>
        </w:rPr>
      </w:pPr>
      <w:r>
        <w:br w:type="page"/>
      </w:r>
    </w:p>
    <w:p w:rsidR="00B2082C" w:rsidRPr="00AA2B9D" w:rsidRDefault="00AA2B9D"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Scenariusz przypadku 2, kontynuacja przypadku 1:</w:t>
      </w:r>
    </w:p>
    <w:p w:rsidR="00B2082C" w:rsidRPr="0011743E" w:rsidRDefault="00B2082C" w:rsidP="003A65B0">
      <w:pPr>
        <w:pStyle w:val="Akapitzlist"/>
        <w:suppressAutoHyphens/>
        <w:autoSpaceDN w:val="0"/>
        <w:spacing w:line="240" w:lineRule="auto"/>
        <w:contextualSpacing w:val="0"/>
        <w:jc w:val="both"/>
        <w:textAlignment w:val="baseline"/>
        <w:rPr>
          <w:rFonts w:ascii="Times New Roman" w:hAnsi="Times New Roman" w:cs="Times New Roman"/>
          <w:b/>
          <w:bCs/>
          <w:sz w:val="28"/>
          <w:szCs w:val="28"/>
          <w:lang w:val="en-US"/>
        </w:rPr>
      </w:pPr>
    </w:p>
    <w:p w:rsidR="00B63ECE" w:rsidRPr="0011743E" w:rsidRDefault="00B63ECE"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 xml:space="preserve">Pytanie to dodaje bardziej współczesny problem do wykonania ENA, który pojawił się w wyniku orzecznictwa Trybunału Sprawiedliwości (Zob. </w:t>
      </w:r>
      <w:r>
        <w:rPr>
          <w:rFonts w:ascii="Times New Roman" w:hAnsi="Times New Roman"/>
          <w:sz w:val="28"/>
        </w:rPr>
        <w:t xml:space="preserve">5 kwietnia 2016 r., sprawy połączone </w:t>
      </w:r>
      <w:hyperlink r:id="rId22" w:history="1">
        <w:r>
          <w:rPr>
            <w:rStyle w:val="Hipercze"/>
            <w:rFonts w:ascii="Times New Roman" w:hAnsi="Times New Roman"/>
            <w:sz w:val="28"/>
          </w:rPr>
          <w:t>C-404/15 i C-659/15 PPU</w:t>
        </w:r>
      </w:hyperlink>
      <w:r>
        <w:rPr>
          <w:rFonts w:ascii="Times New Roman" w:hAnsi="Times New Roman"/>
          <w:sz w:val="28"/>
        </w:rPr>
        <w:t xml:space="preserve">, </w:t>
      </w:r>
      <w:r>
        <w:rPr>
          <w:rFonts w:ascii="Times New Roman" w:hAnsi="Times New Roman"/>
          <w:i/>
          <w:sz w:val="28"/>
        </w:rPr>
        <w:t>Pál Aranyosi (C-404/15) i Robert Căldăraru (C-659/15 PPU)</w:t>
      </w:r>
      <w:r>
        <w:rPr>
          <w:rStyle w:val="Pogrubienie"/>
          <w:rFonts w:ascii="Times New Roman" w:hAnsi="Times New Roman"/>
          <w:b w:val="0"/>
          <w:sz w:val="28"/>
        </w:rPr>
        <w:t>). Wynika z niego w dużej mierze, że wzajemne uznawanie nie jest bezwzględne i że mogą istnieć pewne ograniczenia w odniesieniu do ogólnego obowiązku przestrzegania ENA. Wymagania narzucone przez Trybunał mają wpływ zarówno na organ wykonujący nakaz, jak i wydający nakaz. Pierwszy z nich będzie zobowiązany do zwrócenia się o informacje dotyczące warunków więziennych, w jakich będzie przebywać osoba, której dotyczy wniosek, po jej wydaniu. Ten ostatni będzie musiał odpowiedzieć na te pytania i być może będzie musiał udzielić gwarancji, że osoba, której dotyczy wniosek, zostanie przywieziona i zatrzymana w konkretnie wymienionym zakładzie karnym.</w:t>
      </w:r>
    </w:p>
    <w:p w:rsidR="00B2082C" w:rsidRPr="0011743E" w:rsidRDefault="00B2082C" w:rsidP="003A65B0">
      <w:pPr>
        <w:spacing w:after="160"/>
        <w:jc w:val="both"/>
        <w:rPr>
          <w:rStyle w:val="Pogrubienie"/>
          <w:rFonts w:ascii="Times New Roman" w:hAnsi="Times New Roman" w:cs="Times New Roman"/>
          <w:b w:val="0"/>
          <w:bCs w:val="0"/>
          <w:sz w:val="28"/>
          <w:szCs w:val="28"/>
          <w:lang w:val="en-US"/>
        </w:rPr>
      </w:pPr>
    </w:p>
    <w:p w:rsidR="00AA2B9D" w:rsidRPr="00140EEF" w:rsidRDefault="00B63ECE" w:rsidP="003A65B0">
      <w:pPr>
        <w:spacing w:after="160"/>
        <w:jc w:val="both"/>
        <w:rPr>
          <w:rFonts w:ascii="Times New Roman" w:hAnsi="Times New Roman" w:cs="Times New Roman"/>
          <w:i/>
          <w:color w:val="365F91" w:themeColor="accent1" w:themeShade="BF"/>
          <w:sz w:val="28"/>
          <w:szCs w:val="28"/>
        </w:rPr>
      </w:pPr>
      <w:r>
        <w:rPr>
          <w:rStyle w:val="Pogrubienie"/>
          <w:rFonts w:ascii="Times New Roman" w:hAnsi="Times New Roman"/>
          <w:b w:val="0"/>
          <w:i/>
          <w:color w:val="365F91" w:themeColor="accent1" w:themeShade="BF"/>
          <w:sz w:val="28"/>
        </w:rPr>
        <w:t>P1.</w:t>
      </w:r>
      <w:r>
        <w:rPr>
          <w:rStyle w:val="Pogrubienie"/>
          <w:rFonts w:ascii="Times New Roman" w:hAnsi="Times New Roman"/>
          <w:i/>
          <w:color w:val="365F91" w:themeColor="accent1" w:themeShade="BF"/>
          <w:sz w:val="28"/>
        </w:rPr>
        <w:t xml:space="preserve"> </w:t>
      </w:r>
      <w:r>
        <w:rPr>
          <w:rFonts w:ascii="Times New Roman" w:hAnsi="Times New Roman"/>
          <w:i/>
          <w:color w:val="365F91" w:themeColor="accent1" w:themeShade="BF"/>
          <w:sz w:val="28"/>
        </w:rPr>
        <w:t>Czy organ egzekucyjny jest zobowiązany do zajęcia się tą sprawą?</w:t>
      </w:r>
    </w:p>
    <w:p w:rsidR="00B63ECE" w:rsidRPr="0011743E" w:rsidRDefault="00B63ECE" w:rsidP="003A65B0">
      <w:pPr>
        <w:spacing w:after="160"/>
        <w:jc w:val="both"/>
        <w:rPr>
          <w:rFonts w:ascii="Times New Roman" w:hAnsi="Times New Roman" w:cs="Times New Roman"/>
          <w:sz w:val="28"/>
          <w:szCs w:val="28"/>
        </w:rPr>
      </w:pPr>
      <w:r>
        <w:rPr>
          <w:rFonts w:ascii="Times New Roman" w:hAnsi="Times New Roman"/>
          <w:sz w:val="28"/>
        </w:rPr>
        <w:t>Tak. Roszczenie obrony dotyczy potencjalnego naruszenia bezwzględnych praw w państwie członkowskim wydającym nakaz. Trybunał wskazał, że osoba, której dotyczy wniosek, musi być zawsze chroniona przed takim ryzykiem.</w:t>
      </w:r>
    </w:p>
    <w:p w:rsidR="00B63ECE" w:rsidRPr="0011743E" w:rsidRDefault="00B63ECE" w:rsidP="003A65B0">
      <w:pPr>
        <w:spacing w:after="160"/>
        <w:jc w:val="both"/>
        <w:rPr>
          <w:rFonts w:ascii="Times New Roman" w:hAnsi="Times New Roman" w:cs="Times New Roman"/>
          <w:sz w:val="28"/>
          <w:szCs w:val="28"/>
          <w:lang w:val="en-US"/>
        </w:rPr>
      </w:pPr>
    </w:p>
    <w:p w:rsidR="00AA2B9D" w:rsidRPr="00140EEF" w:rsidRDefault="00B63ECE"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P2. Jeśli tak, to jak sobie z tym poradzi?</w:t>
      </w:r>
    </w:p>
    <w:p w:rsidR="00BF5363" w:rsidRPr="0011743E" w:rsidRDefault="00B63ECE"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Konsekwencją orzecznictwa Trybunału jest obecnie to, że państwo członkowskie wydające nakaz będzie musiało wskazać zakład karny, do którego trafi osoba objęta wnioskiem, w którym okoliczności są bezsporne. Informacje te powinny odnosić się do miejsca, w którym faktycznie zamierza się zatrzymać osobę, której dotyczy wniosek. Kładzie on zatem nacisk na przewidywalne skutki w perspektywie krótkoterminowej. W konkretnych okolicznościach naszej sprawy oznacza to, że jeśli w ocenie Sądu Okręgowego w Amsterdamie warunki w więzieniu, do którego zostanie doprowadzony Drion, nie są zgodne z art. 4 Karty, władze greckie muszą więc zapewnić inne więzienie. Uwaga: Trybunał wskazał, że co do zasady cała ta kwestia może prowadzić do odroczenia, ale nie do ostatecznej odmowy.</w:t>
      </w:r>
    </w:p>
    <w:p w:rsidR="00140EEF" w:rsidRDefault="00140EEF">
      <w:pPr>
        <w:rPr>
          <w:rStyle w:val="Pogrubienie"/>
          <w:rFonts w:ascii="Times New Roman" w:hAnsi="Times New Roman" w:cs="Times New Roman"/>
          <w:b w:val="0"/>
          <w:bCs w:val="0"/>
          <w:i/>
          <w:color w:val="365F91" w:themeColor="accent1" w:themeShade="BF"/>
          <w:sz w:val="28"/>
          <w:szCs w:val="28"/>
        </w:rPr>
      </w:pPr>
      <w:r>
        <w:br w:type="page"/>
      </w:r>
    </w:p>
    <w:p w:rsidR="00AA2B9D" w:rsidRPr="00140EEF" w:rsidRDefault="00BF5363"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lastRenderedPageBreak/>
        <w:t>P3. Czy organ wydający nakaz ma do odegrania jakąś rolę?</w:t>
      </w:r>
    </w:p>
    <w:p w:rsidR="00CC2342" w:rsidRDefault="00BF5363"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 xml:space="preserve">Tak. Będzie on musiał zawierać bardzo konkretne informacje na temat warunków więziennych, w jakich będzie przebywać osoba, której dotyczy wniosek. Sprowadza się to nawet do liczby metrów kwadratowych dostępnych na osobę, a także dostępności godzin poza celą i wszelkich innych udogodnień. Np. w </w:t>
      </w:r>
      <w:hyperlink r:id="rId23" w:history="1">
        <w:r>
          <w:rPr>
            <w:rStyle w:val="Hipercze"/>
            <w:rFonts w:ascii="Times New Roman" w:hAnsi="Times New Roman"/>
            <w:sz w:val="28"/>
          </w:rPr>
          <w:t>sprawie Dorobantu (C-128/18)</w:t>
        </w:r>
      </w:hyperlink>
      <w:r>
        <w:rPr>
          <w:rStyle w:val="Pogrubienie"/>
          <w:rFonts w:ascii="Times New Roman" w:hAnsi="Times New Roman"/>
          <w:b w:val="0"/>
          <w:sz w:val="28"/>
        </w:rPr>
        <w:t xml:space="preserve">organ wydający nakaz przekazał organowi wykonującemu nakaz informację, „że pan Dorobantu będzie, podczas pobytu w areszcie śledczym w trakcie procesu, osadzony w celi 4-osobowej o powierzchni 12,30 m2, 12,67 m2 lub 13,50 m2 lub w celi 10-osobowej o powierzchni 36,25 m2. W przypadku skazania pana Dorobantu na karę pozbawienia wolności, będzie on początkowo osadzony w zakładzie karnym, w którym każdy więzień ma do dyspozycji powierzchnię 3 m2, a następnie w takich samych warunkach, jeżeli będzie odbywał karę pozbawienia wolności w zakładzie zamkniętym, a jeżeli będzie przebywał w zakładzie otwartym lub półotwartym, w celi o powierzchni 2 m2 na osobę.” </w:t>
      </w:r>
    </w:p>
    <w:p w:rsidR="00081900" w:rsidRPr="00912A48" w:rsidRDefault="00081900" w:rsidP="003A65B0">
      <w:pPr>
        <w:spacing w:after="160"/>
        <w:jc w:val="both"/>
        <w:rPr>
          <w:rStyle w:val="Pogrubienie"/>
          <w:rFonts w:ascii="Times New Roman" w:hAnsi="Times New Roman" w:cs="Times New Roman"/>
          <w:b w:val="0"/>
          <w:bCs w:val="0"/>
          <w:sz w:val="28"/>
          <w:szCs w:val="28"/>
        </w:rPr>
      </w:pPr>
    </w:p>
    <w:p w:rsidR="00AA2B9D" w:rsidRPr="00140EEF" w:rsidRDefault="00BF5363" w:rsidP="003A65B0">
      <w:pPr>
        <w:spacing w:after="160"/>
        <w:jc w:val="both"/>
        <w:rPr>
          <w:rStyle w:val="Pogrubienie"/>
          <w:rFonts w:ascii="Times New Roman" w:hAnsi="Times New Roman" w:cs="Times New Roman"/>
          <w:b w:val="0"/>
          <w:bCs w:val="0"/>
          <w:i/>
          <w:color w:val="365F91" w:themeColor="accent1" w:themeShade="BF"/>
          <w:sz w:val="28"/>
          <w:szCs w:val="28"/>
        </w:rPr>
      </w:pPr>
      <w:r>
        <w:rPr>
          <w:rStyle w:val="Pogrubienie"/>
          <w:rFonts w:ascii="Times New Roman" w:hAnsi="Times New Roman"/>
          <w:b w:val="0"/>
          <w:i/>
          <w:color w:val="365F91" w:themeColor="accent1" w:themeShade="BF"/>
          <w:sz w:val="28"/>
        </w:rPr>
        <w:t>P4. Czy organ wykonujący nakaz ma możliwość odroczenia lub odmowy wykonania nakazu?</w:t>
      </w:r>
    </w:p>
    <w:p w:rsidR="00BF5363" w:rsidRPr="0011743E" w:rsidRDefault="00BF5363"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Tak. Jak wspomniano wcześniej, zasadniczo rezultatem musi być wykonanie ENA. Jednakże Trybunał przewidział obecnie, że w pewnych wyjątkowych okolicznościach może to nie mieć miejsca.</w:t>
      </w:r>
    </w:p>
    <w:p w:rsidR="00FF5084" w:rsidRPr="0011743E" w:rsidRDefault="00FF5084" w:rsidP="00140EEF">
      <w:pPr>
        <w:rPr>
          <w:rStyle w:val="Pogrubienie"/>
          <w:rFonts w:ascii="Times New Roman" w:hAnsi="Times New Roman" w:cs="Times New Roman"/>
          <w:b w:val="0"/>
          <w:bCs w:val="0"/>
          <w:sz w:val="28"/>
          <w:szCs w:val="28"/>
        </w:rPr>
      </w:pPr>
    </w:p>
    <w:p w:rsidR="00AA2B9D" w:rsidRPr="00AA2B9D" w:rsidRDefault="00AA2B9D" w:rsidP="003A65B0">
      <w:pPr>
        <w:spacing w:after="160"/>
        <w:jc w:val="both"/>
        <w:rPr>
          <w:rStyle w:val="Pogrubienie"/>
          <w:rFonts w:ascii="Times New Roman" w:hAnsi="Times New Roman" w:cs="Times New Roman"/>
          <w:bCs w:val="0"/>
          <w:color w:val="365F91" w:themeColor="accent1" w:themeShade="BF"/>
          <w:sz w:val="28"/>
          <w:szCs w:val="28"/>
        </w:rPr>
      </w:pPr>
      <w:r>
        <w:rPr>
          <w:rStyle w:val="Pogrubienie"/>
          <w:rFonts w:ascii="Times New Roman" w:hAnsi="Times New Roman"/>
          <w:color w:val="365F91" w:themeColor="accent1" w:themeShade="BF"/>
          <w:sz w:val="28"/>
        </w:rPr>
        <w:t>A. IV. Przypadek Norwegii</w:t>
      </w:r>
    </w:p>
    <w:p w:rsidR="003B4907" w:rsidRPr="007551D4" w:rsidRDefault="00FF5084" w:rsidP="003A65B0">
      <w:pPr>
        <w:spacing w:after="160"/>
        <w:jc w:val="both"/>
        <w:rPr>
          <w:rStyle w:val="Pogrubienie"/>
          <w:rFonts w:ascii="Times New Roman" w:hAnsi="Times New Roman" w:cs="Times New Roman"/>
          <w:b w:val="0"/>
          <w:bCs w:val="0"/>
          <w:sz w:val="28"/>
          <w:szCs w:val="28"/>
        </w:rPr>
      </w:pPr>
      <w:r>
        <w:rPr>
          <w:rStyle w:val="Pogrubienie"/>
          <w:rFonts w:ascii="Times New Roman" w:hAnsi="Times New Roman"/>
          <w:b w:val="0"/>
          <w:sz w:val="28"/>
        </w:rPr>
        <w:t xml:space="preserve">Umowa z 2006 r. między Unią Europejską a Republiką Islandii i Królestwem Norwegii w sprawie procedury przekazywania osób między państwami członkowskimi UE a Islandią i Norwegią weszła w życie w dniu 1 listopada 2019 r. Podobieństwa z europejskim nakazem aresztowania są natychmiast widoczne. Wydawane są jednak </w:t>
      </w:r>
      <w:r>
        <w:rPr>
          <w:rStyle w:val="Pogrubienie"/>
          <w:rFonts w:ascii="Times New Roman" w:hAnsi="Times New Roman"/>
          <w:b w:val="0"/>
          <w:i/>
          <w:sz w:val="28"/>
        </w:rPr>
        <w:t>nakazy aresztowania</w:t>
      </w:r>
      <w:r>
        <w:rPr>
          <w:rStyle w:val="Pogrubienie"/>
          <w:rFonts w:ascii="Times New Roman" w:hAnsi="Times New Roman"/>
          <w:b w:val="0"/>
          <w:sz w:val="28"/>
        </w:rPr>
        <w:t>, a nie ENA do i z Norwegii oraz Islandii. Art. 3 umowy wymaga spełnienia tych samych warunków w odniesieniu do faktów kwalifikujących się do przekazania, co art. 2 ENA FD. Należy pamiętać, że Europejska Konwencja Rady Europy o ekstradycji z 1957 r. nie ma już zastosowania do Norwegii i Islandii (umowa art. 34). Jest prawdopodobne, że Norwegia również zezwoli na wydanie za wszystkie trzy przestępstwa.</w:t>
      </w:r>
    </w:p>
    <w:sectPr w:rsidR="003B4907" w:rsidRPr="007551D4" w:rsidSect="001E23E4">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4C" w:rsidRDefault="00613A4C" w:rsidP="00D353E2">
      <w:pPr>
        <w:spacing w:line="240" w:lineRule="auto"/>
      </w:pPr>
      <w:r>
        <w:separator/>
      </w:r>
    </w:p>
  </w:endnote>
  <w:endnote w:type="continuationSeparator" w:id="0">
    <w:p w:rsidR="00613A4C" w:rsidRDefault="00613A4C"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65841"/>
      <w:docPartObj>
        <w:docPartGallery w:val="Page Numbers (Bottom of Page)"/>
        <w:docPartUnique/>
      </w:docPartObj>
    </w:sdtPr>
    <w:sdtEndPr>
      <w:rPr>
        <w:noProof/>
      </w:rPr>
    </w:sdtEndPr>
    <w:sdtContent>
      <w:p w:rsidR="00390C60" w:rsidRDefault="00390C60">
        <w:pPr>
          <w:pStyle w:val="Stopka"/>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00625005">
          <w:rPr>
            <w:rFonts w:ascii="Times New Roman" w:hAnsi="Times New Roman" w:cs="Times New Roman"/>
            <w:b/>
            <w:noProof/>
          </w:rPr>
          <w:t>3</w:t>
        </w:r>
        <w:r w:rsidRPr="00C87BC5">
          <w:rPr>
            <w:rFonts w:ascii="Times New Roman" w:hAnsi="Times New Roman" w:cs="Times New Roman"/>
            <w:b/>
          </w:rPr>
          <w:fldChar w:fldCharType="end"/>
        </w:r>
      </w:p>
    </w:sdtContent>
  </w:sdt>
  <w:p w:rsidR="00390C60" w:rsidRDefault="00390C60" w:rsidP="00C87BC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4C" w:rsidRDefault="00613A4C" w:rsidP="00D353E2">
      <w:pPr>
        <w:spacing w:line="240" w:lineRule="auto"/>
      </w:pPr>
      <w:r>
        <w:separator/>
      </w:r>
    </w:p>
  </w:footnote>
  <w:footnote w:type="continuationSeparator" w:id="0">
    <w:p w:rsidR="00613A4C" w:rsidRDefault="00613A4C" w:rsidP="00D353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6"/>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5"/>
  </w:num>
  <w:num w:numId="14">
    <w:abstractNumId w:val="4"/>
  </w:num>
  <w:num w:numId="15">
    <w:abstractNumId w:val="9"/>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4CC7"/>
    <w:rsid w:val="00005608"/>
    <w:rsid w:val="0003371B"/>
    <w:rsid w:val="00056AB4"/>
    <w:rsid w:val="0007613E"/>
    <w:rsid w:val="00081900"/>
    <w:rsid w:val="000A14BE"/>
    <w:rsid w:val="000A6A08"/>
    <w:rsid w:val="000B79F4"/>
    <w:rsid w:val="000C482E"/>
    <w:rsid w:val="000E29E6"/>
    <w:rsid w:val="000F504A"/>
    <w:rsid w:val="000F5C94"/>
    <w:rsid w:val="000F6045"/>
    <w:rsid w:val="00107C53"/>
    <w:rsid w:val="00114FD5"/>
    <w:rsid w:val="0011743E"/>
    <w:rsid w:val="00122317"/>
    <w:rsid w:val="00125B21"/>
    <w:rsid w:val="00140EEF"/>
    <w:rsid w:val="00145B34"/>
    <w:rsid w:val="0014702A"/>
    <w:rsid w:val="00147310"/>
    <w:rsid w:val="001540EB"/>
    <w:rsid w:val="001573FD"/>
    <w:rsid w:val="001610C0"/>
    <w:rsid w:val="0018278E"/>
    <w:rsid w:val="0018467C"/>
    <w:rsid w:val="001866D2"/>
    <w:rsid w:val="001E1987"/>
    <w:rsid w:val="001E23E4"/>
    <w:rsid w:val="001E5366"/>
    <w:rsid w:val="001F3093"/>
    <w:rsid w:val="0023168E"/>
    <w:rsid w:val="00270020"/>
    <w:rsid w:val="0027629A"/>
    <w:rsid w:val="00283FBD"/>
    <w:rsid w:val="002902B5"/>
    <w:rsid w:val="00294CB3"/>
    <w:rsid w:val="002A6F08"/>
    <w:rsid w:val="002C03B0"/>
    <w:rsid w:val="002D6644"/>
    <w:rsid w:val="00304030"/>
    <w:rsid w:val="00305B19"/>
    <w:rsid w:val="0032512F"/>
    <w:rsid w:val="00333E6A"/>
    <w:rsid w:val="00390C60"/>
    <w:rsid w:val="00390C90"/>
    <w:rsid w:val="00390CDB"/>
    <w:rsid w:val="003A4C62"/>
    <w:rsid w:val="003A65B0"/>
    <w:rsid w:val="003B4907"/>
    <w:rsid w:val="003E4F77"/>
    <w:rsid w:val="003F4BCA"/>
    <w:rsid w:val="00411AAA"/>
    <w:rsid w:val="00414745"/>
    <w:rsid w:val="00451F24"/>
    <w:rsid w:val="0045727A"/>
    <w:rsid w:val="00461C32"/>
    <w:rsid w:val="00490097"/>
    <w:rsid w:val="004B2893"/>
    <w:rsid w:val="004D5494"/>
    <w:rsid w:val="004D5F0E"/>
    <w:rsid w:val="004F1CD8"/>
    <w:rsid w:val="00502814"/>
    <w:rsid w:val="005117DE"/>
    <w:rsid w:val="00536D01"/>
    <w:rsid w:val="0054396F"/>
    <w:rsid w:val="00553633"/>
    <w:rsid w:val="00556862"/>
    <w:rsid w:val="00587B46"/>
    <w:rsid w:val="005D1164"/>
    <w:rsid w:val="005F0437"/>
    <w:rsid w:val="005F6F4C"/>
    <w:rsid w:val="00613A4C"/>
    <w:rsid w:val="00625005"/>
    <w:rsid w:val="0062521F"/>
    <w:rsid w:val="00636E61"/>
    <w:rsid w:val="00643978"/>
    <w:rsid w:val="00682CB5"/>
    <w:rsid w:val="0069467D"/>
    <w:rsid w:val="006A343D"/>
    <w:rsid w:val="006C0E9C"/>
    <w:rsid w:val="006D2956"/>
    <w:rsid w:val="006E2558"/>
    <w:rsid w:val="006E3406"/>
    <w:rsid w:val="006F280E"/>
    <w:rsid w:val="007019D9"/>
    <w:rsid w:val="00715397"/>
    <w:rsid w:val="00722354"/>
    <w:rsid w:val="00732520"/>
    <w:rsid w:val="00733318"/>
    <w:rsid w:val="007428DD"/>
    <w:rsid w:val="007507F2"/>
    <w:rsid w:val="007530D3"/>
    <w:rsid w:val="007551D4"/>
    <w:rsid w:val="007677A2"/>
    <w:rsid w:val="00783F13"/>
    <w:rsid w:val="00784320"/>
    <w:rsid w:val="00784CC7"/>
    <w:rsid w:val="00794126"/>
    <w:rsid w:val="007A544C"/>
    <w:rsid w:val="007D5CAB"/>
    <w:rsid w:val="007F2FD2"/>
    <w:rsid w:val="007F4950"/>
    <w:rsid w:val="007F7B8D"/>
    <w:rsid w:val="00816309"/>
    <w:rsid w:val="0081766D"/>
    <w:rsid w:val="0083734B"/>
    <w:rsid w:val="008470B0"/>
    <w:rsid w:val="00873D72"/>
    <w:rsid w:val="00883830"/>
    <w:rsid w:val="00885F2D"/>
    <w:rsid w:val="008A7C96"/>
    <w:rsid w:val="008B591A"/>
    <w:rsid w:val="008C521F"/>
    <w:rsid w:val="008D4DDC"/>
    <w:rsid w:val="008D746F"/>
    <w:rsid w:val="008F0863"/>
    <w:rsid w:val="008F51FD"/>
    <w:rsid w:val="00912A48"/>
    <w:rsid w:val="00924ED3"/>
    <w:rsid w:val="00946D23"/>
    <w:rsid w:val="00950B3B"/>
    <w:rsid w:val="0095273E"/>
    <w:rsid w:val="009638AA"/>
    <w:rsid w:val="00977046"/>
    <w:rsid w:val="0098404E"/>
    <w:rsid w:val="009908C8"/>
    <w:rsid w:val="00994DDC"/>
    <w:rsid w:val="009A06A8"/>
    <w:rsid w:val="009C0A52"/>
    <w:rsid w:val="009C192F"/>
    <w:rsid w:val="009E53C0"/>
    <w:rsid w:val="009F6595"/>
    <w:rsid w:val="00A05736"/>
    <w:rsid w:val="00A145A2"/>
    <w:rsid w:val="00A51225"/>
    <w:rsid w:val="00A8722D"/>
    <w:rsid w:val="00A95055"/>
    <w:rsid w:val="00AA0FD7"/>
    <w:rsid w:val="00AA2B9D"/>
    <w:rsid w:val="00AB31D4"/>
    <w:rsid w:val="00AB6C34"/>
    <w:rsid w:val="00AC451B"/>
    <w:rsid w:val="00AD13F1"/>
    <w:rsid w:val="00AD5748"/>
    <w:rsid w:val="00AE481F"/>
    <w:rsid w:val="00AF18F3"/>
    <w:rsid w:val="00AF37BC"/>
    <w:rsid w:val="00B2082C"/>
    <w:rsid w:val="00B22753"/>
    <w:rsid w:val="00B26021"/>
    <w:rsid w:val="00B270D9"/>
    <w:rsid w:val="00B33F0A"/>
    <w:rsid w:val="00B5030B"/>
    <w:rsid w:val="00B63ECE"/>
    <w:rsid w:val="00B76B91"/>
    <w:rsid w:val="00B91CA7"/>
    <w:rsid w:val="00BA529B"/>
    <w:rsid w:val="00BA7F7B"/>
    <w:rsid w:val="00BD0D5F"/>
    <w:rsid w:val="00BF05F3"/>
    <w:rsid w:val="00BF5363"/>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739ED"/>
    <w:rsid w:val="00D90189"/>
    <w:rsid w:val="00D94DD6"/>
    <w:rsid w:val="00DC3042"/>
    <w:rsid w:val="00DD26AA"/>
    <w:rsid w:val="00DD46BD"/>
    <w:rsid w:val="00DE23C9"/>
    <w:rsid w:val="00DE63AB"/>
    <w:rsid w:val="00DF7107"/>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30BF3"/>
    <w:rsid w:val="00F35E5B"/>
    <w:rsid w:val="00F36CF8"/>
    <w:rsid w:val="00F37BB4"/>
    <w:rsid w:val="00F56D92"/>
    <w:rsid w:val="00F8239D"/>
    <w:rsid w:val="00F86B7D"/>
    <w:rsid w:val="00F87865"/>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84CC7"/>
    <w:rPr>
      <w:b/>
      <w:bCs/>
    </w:rPr>
  </w:style>
  <w:style w:type="paragraph" w:styleId="Akapitzlist">
    <w:name w:val="List Paragraph"/>
    <w:basedOn w:val="Normalny"/>
    <w:qFormat/>
    <w:rsid w:val="00784CC7"/>
    <w:pPr>
      <w:spacing w:after="160" w:line="259" w:lineRule="auto"/>
      <w:ind w:left="720"/>
      <w:contextualSpacing/>
    </w:pPr>
    <w:rPr>
      <w:sz w:val="22"/>
      <w:szCs w:val="22"/>
    </w:rPr>
  </w:style>
  <w:style w:type="paragraph" w:styleId="Nagwek">
    <w:name w:val="header"/>
    <w:basedOn w:val="Normalny"/>
    <w:link w:val="NagwekZnak"/>
    <w:uiPriority w:val="99"/>
    <w:unhideWhenUsed/>
    <w:rsid w:val="00D353E2"/>
    <w:pPr>
      <w:tabs>
        <w:tab w:val="center" w:pos="4536"/>
        <w:tab w:val="right" w:pos="9072"/>
      </w:tabs>
      <w:spacing w:line="240" w:lineRule="auto"/>
    </w:pPr>
  </w:style>
  <w:style w:type="character" w:customStyle="1" w:styleId="NagwekZnak">
    <w:name w:val="Nagłówek Znak"/>
    <w:basedOn w:val="Domylnaczcionkaakapitu"/>
    <w:link w:val="Nagwek"/>
    <w:uiPriority w:val="99"/>
    <w:rsid w:val="00D353E2"/>
  </w:style>
  <w:style w:type="paragraph" w:styleId="Stopka">
    <w:name w:val="footer"/>
    <w:basedOn w:val="Normalny"/>
    <w:link w:val="StopkaZnak"/>
    <w:uiPriority w:val="99"/>
    <w:unhideWhenUsed/>
    <w:rsid w:val="00D353E2"/>
    <w:pPr>
      <w:tabs>
        <w:tab w:val="center" w:pos="4536"/>
        <w:tab w:val="right" w:pos="9072"/>
      </w:tabs>
      <w:spacing w:line="240" w:lineRule="auto"/>
    </w:pPr>
  </w:style>
  <w:style w:type="character" w:customStyle="1" w:styleId="StopkaZnak">
    <w:name w:val="Stopka Znak"/>
    <w:basedOn w:val="Domylnaczcionkaakapitu"/>
    <w:link w:val="Stopka"/>
    <w:uiPriority w:val="99"/>
    <w:rsid w:val="00D353E2"/>
  </w:style>
  <w:style w:type="character" w:styleId="Hipercze">
    <w:name w:val="Hyperlink"/>
    <w:basedOn w:val="Domylnaczcionkaakapitu"/>
    <w:uiPriority w:val="99"/>
    <w:unhideWhenUsed/>
    <w:rsid w:val="00C87F56"/>
    <w:rPr>
      <w:color w:val="0000FF" w:themeColor="hyperlink"/>
      <w:u w:val="single"/>
    </w:rPr>
  </w:style>
  <w:style w:type="character" w:customStyle="1" w:styleId="atlastextcursive">
    <w:name w:val="atlastextcursive"/>
    <w:basedOn w:val="Domylnaczcionkaakapitu"/>
    <w:rsid w:val="00C33366"/>
  </w:style>
  <w:style w:type="character" w:customStyle="1" w:styleId="labeltextautdatabig">
    <w:name w:val="labeltextautdatabig"/>
    <w:basedOn w:val="Domylnaczcionkaakapitu"/>
    <w:rsid w:val="00C33366"/>
  </w:style>
  <w:style w:type="character" w:customStyle="1" w:styleId="labeltextautdatasmall3">
    <w:name w:val="labeltextautdatasmall3"/>
    <w:basedOn w:val="Domylnaczcionkaakapitu"/>
    <w:rsid w:val="00C33366"/>
  </w:style>
  <w:style w:type="character" w:customStyle="1" w:styleId="labeltextautdatasmallpc1">
    <w:name w:val="labeltextautdatasmallpc1"/>
    <w:basedOn w:val="Domylnaczcionkaakapitu"/>
    <w:rsid w:val="00C33366"/>
  </w:style>
  <w:style w:type="character" w:customStyle="1" w:styleId="labeltextautdatasmall2">
    <w:name w:val="labeltextautdatasmall2"/>
    <w:basedOn w:val="Domylnaczcionkaakapitu"/>
    <w:rsid w:val="00C33366"/>
  </w:style>
  <w:style w:type="character" w:styleId="UyteHipercze">
    <w:name w:val="FollowedHyperlink"/>
    <w:basedOn w:val="Domylnaczcionkaakapitu"/>
    <w:uiPriority w:val="99"/>
    <w:semiHidden/>
    <w:unhideWhenUsed/>
    <w:rsid w:val="00304030"/>
    <w:rPr>
      <w:color w:val="800080" w:themeColor="followedHyperlink"/>
      <w:u w:val="single"/>
    </w:rPr>
  </w:style>
  <w:style w:type="paragraph" w:styleId="Tekstdymka">
    <w:name w:val="Balloon Text"/>
    <w:basedOn w:val="Normalny"/>
    <w:link w:val="TekstdymkaZnak"/>
    <w:uiPriority w:val="99"/>
    <w:semiHidden/>
    <w:unhideWhenUsed/>
    <w:rsid w:val="003F4BC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BCA"/>
    <w:rPr>
      <w:rFonts w:ascii="Tahoma" w:hAnsi="Tahoma" w:cs="Tahoma"/>
      <w:sz w:val="16"/>
      <w:szCs w:val="16"/>
    </w:rPr>
  </w:style>
  <w:style w:type="paragraph" w:styleId="Tekstprzypisudolnego">
    <w:name w:val="footnote text"/>
    <w:basedOn w:val="Normalny"/>
    <w:link w:val="TekstprzypisudolnegoZnak"/>
    <w:uiPriority w:val="99"/>
    <w:semiHidden/>
    <w:unhideWhenUsed/>
    <w:rsid w:val="00FA38A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38A2"/>
    <w:rPr>
      <w:sz w:val="20"/>
      <w:szCs w:val="20"/>
    </w:rPr>
  </w:style>
  <w:style w:type="character" w:styleId="Odwoanieprzypisudolnego">
    <w:name w:val="footnote reference"/>
    <w:basedOn w:val="Domylnaczcionkaakapitu"/>
    <w:uiPriority w:val="99"/>
    <w:semiHidden/>
    <w:unhideWhenUsed/>
    <w:rsid w:val="00FA38A2"/>
    <w:rPr>
      <w:vertAlign w:val="superscript"/>
    </w:rPr>
  </w:style>
  <w:style w:type="character" w:customStyle="1" w:styleId="fontstyle01">
    <w:name w:val="fontstyle01"/>
    <w:basedOn w:val="Domylnaczcionkaakapitu"/>
    <w:rsid w:val="00C64C91"/>
    <w:rPr>
      <w:rFonts w:ascii="ArialMT" w:hAnsi="ArialMT" w:hint="default"/>
      <w:b w:val="0"/>
      <w:bCs w:val="0"/>
      <w:i w:val="0"/>
      <w:iCs w:val="0"/>
      <w:color w:val="4B4B4B"/>
      <w:sz w:val="16"/>
      <w:szCs w:val="16"/>
    </w:rPr>
  </w:style>
  <w:style w:type="paragraph" w:customStyle="1" w:styleId="Test">
    <w:name w:val="Test!"/>
    <w:basedOn w:val="Normalny"/>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UnresolvedMention">
    <w:name w:val="Unresolved Mention"/>
    <w:basedOn w:val="Domylnaczcionkaakapitu"/>
    <w:uiPriority w:val="99"/>
    <w:semiHidden/>
    <w:unhideWhenUsed/>
    <w:rsid w:val="00D94D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jn-crimjust.europa.eu/ejn/libcategories/EN/14/-1/-1/-1" TargetMode="External"/><Relationship Id="rId18" Type="http://schemas.openxmlformats.org/officeDocument/2006/relationships/hyperlink" Target="http://www.ejn-crimjust.europ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jn-crimjust.europa.eu/ejn/libdocumentproperties/EN/390" TargetMode="External"/><Relationship Id="rId7" Type="http://schemas.openxmlformats.org/officeDocument/2006/relationships/footnotes" Target="footnotes.xml"/><Relationship Id="rId12" Type="http://schemas.openxmlformats.org/officeDocument/2006/relationships/hyperlink" Target="http://curia.europa.eu/juris/liste.jsf?language=en&amp;num=C-241/15" TargetMode="External"/><Relationship Id="rId17" Type="http://schemas.openxmlformats.org/officeDocument/2006/relationships/hyperlink" Target="https://www.ejn-crimjust.europa.eu/ejn/AtlasChooseCountry/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n-crimjust.europa.eu/ejn/libdocumentproperties/EN/3171" TargetMode="External"/><Relationship Id="rId20" Type="http://schemas.openxmlformats.org/officeDocument/2006/relationships/hyperlink" Target="https://www.ejn-crimjust.europa.eu/ejn/AtlasAuthorityData/EN/258/9/901/54/118/2/0/1699/126/1/1/8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ia.europa.eu/juris/liste.jsf?language=en&amp;td=ALL&amp;num=C-489/19%20PP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en&amp;avg=&amp;cid=2272827" TargetMode="External"/><Relationship Id="rId10" Type="http://schemas.openxmlformats.org/officeDocument/2006/relationships/hyperlink" Target="http://curia.europa.eu/juris/liste.jsf?language=en&amp;num=C-452/16%20PPU" TargetMode="External"/><Relationship Id="rId19" Type="http://schemas.openxmlformats.org/officeDocument/2006/relationships/hyperlink" Target="https://www.ejn-crimjust.europa.eu/ejn/libcategories/EN/265/-1/-1/-1" TargetMode="External"/><Relationship Id="rId4" Type="http://schemas.microsoft.com/office/2007/relationships/stylesWithEffects" Target="stylesWithEffects.xml"/><Relationship Id="rId9" Type="http://schemas.openxmlformats.org/officeDocument/2006/relationships/hyperlink" Target="https://eur-lex.europa.eu/collection/eu-law/consleg.html" TargetMode="External"/><Relationship Id="rId14" Type="http://schemas.openxmlformats.org/officeDocument/2006/relationships/hyperlink" Target="http://curia.europa.eu/juris/liste.jsf?language=en&amp;td=ALL&amp;num=C-237/15%20PPU" TargetMode="External"/><Relationship Id="rId22" Type="http://schemas.openxmlformats.org/officeDocument/2006/relationships/hyperlink" Target="http://curia.europa.eu/juris/liste.jsf?num=C-404/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C0FB-504E-4F03-A4BB-E07F08AE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4825</Words>
  <Characters>28950</Characters>
  <Application>Microsoft Office Word</Application>
  <DocSecurity>0</DocSecurity>
  <Lines>241</Lines>
  <Paragraphs>67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www.vivalang.pl</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www.vivalang.pl</dc:creator>
  <cp:lastModifiedBy>Grzegorz Kucharczyk</cp:lastModifiedBy>
  <cp:revision>84</cp:revision>
  <dcterms:created xsi:type="dcterms:W3CDTF">2020-05-26T13:35:00Z</dcterms:created>
  <dcterms:modified xsi:type="dcterms:W3CDTF">2021-03-31T07:06:00Z</dcterms:modified>
</cp:coreProperties>
</file>