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DE873" w14:textId="33668AE3" w:rsidR="00FE35AA" w:rsidRPr="00B074A0" w:rsidRDefault="008037E8" w:rsidP="006A27CE">
      <w:pPr>
        <w:jc w:val="center"/>
        <w:rPr>
          <w:rFonts w:ascii="Times New Roman" w:hAnsi="Times New Roman" w:cs="Times New Roman"/>
          <w:b/>
          <w:bCs/>
          <w:sz w:val="32"/>
          <w:szCs w:val="32"/>
        </w:rPr>
      </w:pPr>
      <w:bookmarkStart w:id="0" w:name="_Hlk32923245"/>
      <w:r>
        <w:rPr>
          <w:rFonts w:ascii="Times New Roman" w:hAnsi="Times New Roman" w:cs="Times New Roman"/>
          <w:b/>
          <w:bCs/>
          <w:sz w:val="32"/>
          <w:szCs w:val="32"/>
        </w:rPr>
        <w:tab/>
      </w:r>
      <w:r>
        <w:rPr>
          <w:rFonts w:ascii="Times New Roman" w:hAnsi="Times New Roman" w:cs="Times New Roman"/>
          <w:b/>
          <w:bCs/>
          <w:sz w:val="32"/>
          <w:szCs w:val="32"/>
        </w:rPr>
        <w:tab/>
      </w:r>
    </w:p>
    <w:p w14:paraId="25333C25" w14:textId="77777777" w:rsidR="00FE35AA" w:rsidRPr="00B074A0" w:rsidRDefault="00FE35AA" w:rsidP="006A27CE">
      <w:pPr>
        <w:jc w:val="center"/>
        <w:rPr>
          <w:rFonts w:ascii="Times New Roman" w:hAnsi="Times New Roman" w:cs="Times New Roman"/>
          <w:b/>
          <w:bCs/>
          <w:sz w:val="32"/>
          <w:szCs w:val="32"/>
          <w:lang w:val="en-GB"/>
        </w:rPr>
      </w:pPr>
    </w:p>
    <w:p w14:paraId="25C3D26A" w14:textId="47F2A557" w:rsidR="002E78DD" w:rsidRPr="00B074A0" w:rsidRDefault="00FE35AA" w:rsidP="006A27CE">
      <w:pPr>
        <w:jc w:val="center"/>
        <w:rPr>
          <w:rFonts w:ascii="Times New Roman" w:hAnsi="Times New Roman" w:cs="Times New Roman"/>
          <w:b/>
          <w:bCs/>
          <w:sz w:val="36"/>
          <w:szCs w:val="36"/>
        </w:rPr>
      </w:pPr>
      <w:r>
        <w:rPr>
          <w:rFonts w:ascii="Times New Roman" w:hAnsi="Times New Roman"/>
          <w:b/>
          <w:sz w:val="36"/>
        </w:rPr>
        <w:t>Europejski nakaz dochodzeniowy (END)</w:t>
      </w:r>
    </w:p>
    <w:p w14:paraId="08888C2E" w14:textId="56A22720" w:rsidR="00CF0D90" w:rsidRPr="00B074A0" w:rsidRDefault="009B49A2" w:rsidP="006A27CE">
      <w:pPr>
        <w:jc w:val="center"/>
        <w:rPr>
          <w:rFonts w:ascii="Times New Roman" w:hAnsi="Times New Roman" w:cs="Times New Roman"/>
          <w:b/>
          <w:bCs/>
          <w:sz w:val="28"/>
          <w:szCs w:val="28"/>
        </w:rPr>
      </w:pPr>
      <w:r>
        <w:rPr>
          <w:rFonts w:ascii="Times New Roman" w:hAnsi="Times New Roman"/>
          <w:b/>
          <w:sz w:val="28"/>
        </w:rPr>
        <w:t>Dyrektywa Parlamentu Europejskiego i Rady 2014/41/UE z dnia 3 kwietnia 2014 r. w sprawie europejskiego nakazu dochodzeniowego w sprawach karnych</w:t>
      </w:r>
    </w:p>
    <w:bookmarkEnd w:id="0"/>
    <w:p w14:paraId="0CE209E4" w14:textId="125B08EF" w:rsidR="002E78DD" w:rsidRPr="00B074A0" w:rsidRDefault="00FE35AA" w:rsidP="006A27CE">
      <w:pPr>
        <w:jc w:val="center"/>
        <w:rPr>
          <w:rFonts w:ascii="Times New Roman" w:hAnsi="Times New Roman" w:cs="Times New Roman"/>
          <w:bCs/>
          <w:i/>
          <w:sz w:val="28"/>
          <w:szCs w:val="28"/>
        </w:rPr>
      </w:pPr>
      <w:r>
        <w:rPr>
          <w:rFonts w:ascii="Times New Roman" w:hAnsi="Times New Roman"/>
          <w:i/>
          <w:sz w:val="28"/>
        </w:rPr>
        <w:t>Zestaw studiów przypadku – przewodnik dla prowadzących szkolenie</w:t>
      </w:r>
    </w:p>
    <w:p w14:paraId="497281BB" w14:textId="286AEE67" w:rsidR="00FE35AA" w:rsidRPr="00B074A0" w:rsidRDefault="00FE35AA" w:rsidP="006A27CE">
      <w:pPr>
        <w:jc w:val="center"/>
        <w:rPr>
          <w:rFonts w:ascii="Times New Roman" w:hAnsi="Times New Roman" w:cs="Times New Roman"/>
          <w:bCs/>
          <w:i/>
          <w:sz w:val="28"/>
          <w:szCs w:val="28"/>
          <w:lang w:val="en-GB"/>
        </w:rPr>
      </w:pPr>
    </w:p>
    <w:p w14:paraId="2948A81B" w14:textId="77777777" w:rsidR="00CE4C95" w:rsidRPr="00B074A0" w:rsidRDefault="00CE4C95" w:rsidP="006A27CE">
      <w:pPr>
        <w:jc w:val="center"/>
        <w:rPr>
          <w:rFonts w:ascii="Times New Roman" w:hAnsi="Times New Roman" w:cs="Times New Roman"/>
          <w:bCs/>
          <w:i/>
          <w:sz w:val="28"/>
          <w:szCs w:val="28"/>
        </w:rPr>
      </w:pPr>
      <w:bookmarkStart w:id="1" w:name="_Hlk54342640"/>
    </w:p>
    <w:p w14:paraId="0CFFB13B" w14:textId="2FAE4325" w:rsidR="00FE35AA" w:rsidRPr="00B074A0" w:rsidRDefault="00FE35AA" w:rsidP="006A27CE">
      <w:pPr>
        <w:spacing w:after="0"/>
        <w:rPr>
          <w:rFonts w:ascii="Times New Roman" w:hAnsi="Times New Roman" w:cs="Times New Roman"/>
          <w:bCs/>
          <w:sz w:val="32"/>
          <w:szCs w:val="28"/>
        </w:rPr>
      </w:pPr>
      <w:bookmarkStart w:id="2" w:name="_Hlk54274199"/>
      <w:r>
        <w:rPr>
          <w:rFonts w:ascii="Times New Roman" w:hAnsi="Times New Roman"/>
          <w:sz w:val="32"/>
        </w:rPr>
        <w:t>Autor:</w:t>
      </w:r>
    </w:p>
    <w:p w14:paraId="4B529EC2" w14:textId="12B46C1C" w:rsidR="00FE35AA" w:rsidRPr="00B074A0" w:rsidRDefault="00FE35AA" w:rsidP="006A27CE">
      <w:pPr>
        <w:spacing w:after="0"/>
        <w:rPr>
          <w:rFonts w:ascii="Times New Roman" w:hAnsi="Times New Roman" w:cs="Times New Roman"/>
          <w:bCs/>
          <w:i/>
          <w:sz w:val="28"/>
          <w:szCs w:val="28"/>
        </w:rPr>
      </w:pPr>
      <w:r>
        <w:rPr>
          <w:rFonts w:ascii="Times New Roman" w:hAnsi="Times New Roman"/>
          <w:i/>
          <w:sz w:val="28"/>
        </w:rPr>
        <w:t xml:space="preserve">Daniel Constantin </w:t>
      </w:r>
      <w:proofErr w:type="spellStart"/>
      <w:r>
        <w:rPr>
          <w:rFonts w:ascii="Times New Roman" w:hAnsi="Times New Roman"/>
          <w:i/>
          <w:sz w:val="28"/>
        </w:rPr>
        <w:t>Motoi</w:t>
      </w:r>
      <w:proofErr w:type="spellEnd"/>
    </w:p>
    <w:p w14:paraId="1B3B1901" w14:textId="77777777" w:rsidR="00CE4C95" w:rsidRPr="00B074A0" w:rsidRDefault="00D714D5" w:rsidP="006A27CE">
      <w:pPr>
        <w:spacing w:after="0"/>
        <w:rPr>
          <w:rFonts w:ascii="Times New Roman" w:hAnsi="Times New Roman" w:cs="Times New Roman"/>
          <w:bCs/>
          <w:i/>
          <w:sz w:val="28"/>
          <w:szCs w:val="28"/>
        </w:rPr>
      </w:pPr>
      <w:r>
        <w:rPr>
          <w:rFonts w:ascii="Times New Roman" w:hAnsi="Times New Roman"/>
          <w:i/>
          <w:sz w:val="28"/>
        </w:rPr>
        <w:t xml:space="preserve">Sędzia, </w:t>
      </w:r>
    </w:p>
    <w:p w14:paraId="1B00A0C1" w14:textId="453AF402" w:rsidR="002D0E67" w:rsidRPr="00B074A0" w:rsidRDefault="00D714D5" w:rsidP="006A27CE">
      <w:pPr>
        <w:spacing w:after="0"/>
        <w:rPr>
          <w:rFonts w:ascii="Times New Roman" w:hAnsi="Times New Roman" w:cs="Times New Roman"/>
          <w:bCs/>
          <w:i/>
          <w:sz w:val="28"/>
          <w:szCs w:val="28"/>
        </w:rPr>
      </w:pPr>
      <w:r>
        <w:rPr>
          <w:rFonts w:ascii="Times New Roman" w:hAnsi="Times New Roman"/>
          <w:i/>
          <w:sz w:val="28"/>
        </w:rPr>
        <w:t>Sąd Pierwszej Instancji, IV okręg, Bukareszt</w:t>
      </w:r>
    </w:p>
    <w:p w14:paraId="4C6C5443" w14:textId="77777777" w:rsidR="00D714D5" w:rsidRPr="00B074A0" w:rsidRDefault="00D714D5" w:rsidP="006A27CE">
      <w:pPr>
        <w:rPr>
          <w:rFonts w:ascii="Times New Roman" w:hAnsi="Times New Roman" w:cs="Times New Roman"/>
          <w:bCs/>
          <w:sz w:val="28"/>
          <w:szCs w:val="28"/>
          <w:lang w:val="en-GB"/>
        </w:rPr>
      </w:pPr>
    </w:p>
    <w:p w14:paraId="1549FC6D"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jc w:val="center"/>
        <w:rPr>
          <w:rStyle w:val="Pogrubienie"/>
          <w:rFonts w:ascii="Times New Roman" w:hAnsi="Times New Roman" w:cs="Times New Roman"/>
          <w:i/>
          <w:color w:val="000000"/>
          <w:sz w:val="32"/>
          <w:szCs w:val="28"/>
        </w:rPr>
      </w:pPr>
      <w:bookmarkStart w:id="3" w:name="_Hlk54347722"/>
      <w:r>
        <w:rPr>
          <w:rStyle w:val="Pogrubienie"/>
          <w:rFonts w:ascii="Times New Roman" w:hAnsi="Times New Roman"/>
          <w:i/>
          <w:color w:val="000000"/>
          <w:sz w:val="32"/>
        </w:rPr>
        <w:t>Spis treści</w:t>
      </w:r>
    </w:p>
    <w:p w14:paraId="52659F6A"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rPr>
          <w:rStyle w:val="Pogrubienie"/>
          <w:rFonts w:ascii="Times New Roman" w:hAnsi="Times New Roman" w:cs="Times New Roman"/>
          <w:color w:val="000000"/>
          <w:sz w:val="28"/>
          <w:szCs w:val="28"/>
          <w:lang w:val="en-GB"/>
        </w:rPr>
      </w:pPr>
    </w:p>
    <w:p w14:paraId="1FA179BB"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A. </w:t>
      </w:r>
      <w:r>
        <w:rPr>
          <w:rStyle w:val="Pogrubienie"/>
          <w:rFonts w:ascii="Times New Roman" w:hAnsi="Times New Roman"/>
          <w:color w:val="000000"/>
          <w:sz w:val="28"/>
        </w:rPr>
        <w:tab/>
        <w:t>Studia przypadku</w:t>
      </w:r>
      <w:r>
        <w:rPr>
          <w:rStyle w:val="Pogrubienie"/>
          <w:rFonts w:ascii="Times New Roman" w:hAnsi="Times New Roman"/>
          <w:color w:val="000000"/>
          <w:sz w:val="28"/>
        </w:rPr>
        <w:tab/>
        <w:t>1</w:t>
      </w:r>
    </w:p>
    <w:p w14:paraId="10C7B4B5" w14:textId="267276F0"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color w:val="000000"/>
          <w:sz w:val="28"/>
        </w:rPr>
        <w:t xml:space="preserve">I. </w:t>
      </w:r>
      <w:r>
        <w:rPr>
          <w:rStyle w:val="Pogrubienie"/>
          <w:rFonts w:ascii="Times New Roman" w:hAnsi="Times New Roman"/>
          <w:color w:val="000000"/>
          <w:sz w:val="28"/>
        </w:rPr>
        <w:tab/>
      </w:r>
      <w:r>
        <w:rPr>
          <w:rStyle w:val="Pogrubienie"/>
          <w:rFonts w:ascii="Times New Roman" w:hAnsi="Times New Roman"/>
          <w:b w:val="0"/>
          <w:color w:val="000000"/>
          <w:sz w:val="28"/>
        </w:rPr>
        <w:t xml:space="preserve">Scenariusz przypadku 1; Pytania </w:t>
      </w:r>
      <w:r w:rsidR="002640EB">
        <w:rPr>
          <w:rStyle w:val="Pogrubienie"/>
          <w:rFonts w:ascii="Times New Roman" w:hAnsi="Times New Roman"/>
          <w:b w:val="0"/>
          <w:color w:val="000000"/>
          <w:sz w:val="28"/>
        </w:rPr>
        <w:tab/>
      </w:r>
      <w:r>
        <w:rPr>
          <w:rStyle w:val="Pogrubienie"/>
          <w:rFonts w:ascii="Times New Roman" w:hAnsi="Times New Roman"/>
          <w:b w:val="0"/>
          <w:color w:val="000000"/>
          <w:sz w:val="28"/>
        </w:rPr>
        <w:t>1</w:t>
      </w:r>
    </w:p>
    <w:p w14:paraId="586C38F4" w14:textId="10499BEC"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 xml:space="preserve">II. </w:t>
      </w:r>
      <w:r>
        <w:rPr>
          <w:rStyle w:val="Pogrubienie"/>
          <w:rFonts w:ascii="Times New Roman" w:hAnsi="Times New Roman"/>
          <w:b w:val="0"/>
          <w:color w:val="000000"/>
          <w:sz w:val="28"/>
        </w:rPr>
        <w:tab/>
        <w:t xml:space="preserve">Ćwiczenia </w:t>
      </w:r>
      <w:r w:rsidR="002640EB">
        <w:rPr>
          <w:rStyle w:val="Pogrubienie"/>
          <w:rFonts w:ascii="Times New Roman" w:hAnsi="Times New Roman"/>
          <w:b w:val="0"/>
          <w:color w:val="000000"/>
          <w:sz w:val="28"/>
        </w:rPr>
        <w:tab/>
      </w:r>
      <w:r>
        <w:rPr>
          <w:rStyle w:val="Pogrubienie"/>
          <w:rFonts w:ascii="Times New Roman" w:hAnsi="Times New Roman"/>
          <w:b w:val="0"/>
          <w:color w:val="000000"/>
          <w:sz w:val="28"/>
        </w:rPr>
        <w:t>2</w:t>
      </w:r>
    </w:p>
    <w:p w14:paraId="4AD1C121" w14:textId="72EF7231"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 xml:space="preserve">III. </w:t>
      </w:r>
      <w:r>
        <w:rPr>
          <w:rStyle w:val="Pogrubienie"/>
          <w:rFonts w:ascii="Times New Roman" w:hAnsi="Times New Roman"/>
          <w:b w:val="0"/>
          <w:color w:val="000000"/>
          <w:sz w:val="28"/>
        </w:rPr>
        <w:tab/>
        <w:t xml:space="preserve">Scenariusz przypadku 2; Pytania </w:t>
      </w:r>
      <w:r w:rsidR="002640EB">
        <w:rPr>
          <w:rStyle w:val="Pogrubienie"/>
          <w:rFonts w:ascii="Times New Roman" w:hAnsi="Times New Roman"/>
          <w:b w:val="0"/>
          <w:color w:val="000000"/>
          <w:sz w:val="28"/>
        </w:rPr>
        <w:tab/>
      </w:r>
      <w:r>
        <w:rPr>
          <w:rStyle w:val="Pogrubienie"/>
          <w:rFonts w:ascii="Times New Roman" w:hAnsi="Times New Roman"/>
          <w:b w:val="0"/>
          <w:color w:val="000000"/>
          <w:sz w:val="28"/>
        </w:rPr>
        <w:t>3</w:t>
      </w:r>
    </w:p>
    <w:p w14:paraId="30EC9C6B"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lang w:val="en-GB"/>
        </w:rPr>
      </w:pPr>
    </w:p>
    <w:p w14:paraId="00397C6F" w14:textId="01E532D6"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B. </w:t>
      </w:r>
      <w:r w:rsidR="002640EB">
        <w:rPr>
          <w:rStyle w:val="Pogrubienie"/>
          <w:rFonts w:ascii="Times New Roman" w:hAnsi="Times New Roman"/>
          <w:color w:val="000000"/>
          <w:sz w:val="28"/>
        </w:rPr>
        <w:tab/>
      </w:r>
      <w:r>
        <w:rPr>
          <w:rStyle w:val="Pogrubienie"/>
          <w:rFonts w:ascii="Times New Roman" w:hAnsi="Times New Roman"/>
          <w:color w:val="000000"/>
          <w:sz w:val="28"/>
        </w:rPr>
        <w:t xml:space="preserve">Dodatkowe uwagi dla prowadzących szkolenie dotyczące przypadków </w:t>
      </w:r>
      <w:r w:rsidR="002640EB">
        <w:rPr>
          <w:rStyle w:val="Pogrubienie"/>
          <w:rFonts w:ascii="Times New Roman" w:hAnsi="Times New Roman"/>
          <w:color w:val="000000"/>
          <w:sz w:val="28"/>
        </w:rPr>
        <w:tab/>
      </w:r>
      <w:r>
        <w:rPr>
          <w:rStyle w:val="Pogrubienie"/>
          <w:rFonts w:ascii="Times New Roman" w:hAnsi="Times New Roman"/>
          <w:color w:val="000000"/>
          <w:sz w:val="28"/>
        </w:rPr>
        <w:t>5</w:t>
      </w:r>
    </w:p>
    <w:p w14:paraId="38674D58"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lang w:val="en-GB"/>
        </w:rPr>
      </w:pPr>
    </w:p>
    <w:p w14:paraId="6E0F0A73" w14:textId="6412400E"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C. </w:t>
      </w:r>
      <w:r w:rsidR="002640EB">
        <w:rPr>
          <w:rStyle w:val="Pogrubienie"/>
          <w:rFonts w:ascii="Times New Roman" w:hAnsi="Times New Roman"/>
          <w:color w:val="000000"/>
          <w:sz w:val="28"/>
        </w:rPr>
        <w:tab/>
      </w:r>
      <w:r>
        <w:rPr>
          <w:rStyle w:val="Pogrubienie"/>
          <w:rFonts w:ascii="Times New Roman" w:hAnsi="Times New Roman"/>
          <w:color w:val="000000"/>
          <w:sz w:val="28"/>
        </w:rPr>
        <w:t xml:space="preserve">Podejście metodologiczne </w:t>
      </w:r>
      <w:r w:rsidR="002640EB">
        <w:rPr>
          <w:rStyle w:val="Pogrubienie"/>
          <w:rFonts w:ascii="Times New Roman" w:hAnsi="Times New Roman"/>
          <w:color w:val="000000"/>
          <w:sz w:val="28"/>
        </w:rPr>
        <w:tab/>
      </w:r>
      <w:r>
        <w:rPr>
          <w:rStyle w:val="Pogrubienie"/>
          <w:rFonts w:ascii="Times New Roman" w:hAnsi="Times New Roman"/>
          <w:color w:val="000000"/>
          <w:sz w:val="28"/>
        </w:rPr>
        <w:t>6</w:t>
      </w:r>
    </w:p>
    <w:p w14:paraId="5210D211" w14:textId="0A8E5121"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color w:val="000000"/>
          <w:sz w:val="28"/>
        </w:rPr>
        <w:t>I.</w:t>
      </w:r>
      <w:r>
        <w:rPr>
          <w:rStyle w:val="Pogrubienie"/>
          <w:rFonts w:ascii="Times New Roman" w:hAnsi="Times New Roman"/>
          <w:color w:val="000000"/>
          <w:sz w:val="28"/>
        </w:rPr>
        <w:tab/>
      </w:r>
      <w:r>
        <w:rPr>
          <w:rStyle w:val="Pogrubienie"/>
          <w:rFonts w:ascii="Times New Roman" w:hAnsi="Times New Roman"/>
          <w:b w:val="0"/>
          <w:color w:val="000000"/>
          <w:sz w:val="28"/>
        </w:rPr>
        <w:t xml:space="preserve">Ogólna idea i podstawowe tematy </w:t>
      </w:r>
      <w:r w:rsidR="002640EB">
        <w:rPr>
          <w:rStyle w:val="Pogrubienie"/>
          <w:rFonts w:ascii="Times New Roman" w:hAnsi="Times New Roman"/>
          <w:b w:val="0"/>
          <w:color w:val="000000"/>
          <w:sz w:val="28"/>
        </w:rPr>
        <w:tab/>
      </w:r>
      <w:r>
        <w:rPr>
          <w:rStyle w:val="Pogrubienie"/>
          <w:rFonts w:ascii="Times New Roman" w:hAnsi="Times New Roman"/>
          <w:b w:val="0"/>
          <w:color w:val="000000"/>
          <w:sz w:val="28"/>
        </w:rPr>
        <w:t>6</w:t>
      </w:r>
    </w:p>
    <w:p w14:paraId="6A57AC6A" w14:textId="10CB08F4"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II.</w:t>
      </w:r>
      <w:r>
        <w:rPr>
          <w:rStyle w:val="Pogrubienie"/>
          <w:rFonts w:ascii="Times New Roman" w:hAnsi="Times New Roman"/>
          <w:b w:val="0"/>
          <w:color w:val="000000"/>
          <w:sz w:val="28"/>
        </w:rPr>
        <w:tab/>
        <w:t xml:space="preserve">Grupy robocze i struktura seminarium </w:t>
      </w:r>
      <w:r w:rsidR="002640EB">
        <w:rPr>
          <w:rStyle w:val="Pogrubienie"/>
          <w:rFonts w:ascii="Times New Roman" w:hAnsi="Times New Roman"/>
          <w:b w:val="0"/>
          <w:color w:val="000000"/>
          <w:sz w:val="28"/>
        </w:rPr>
        <w:tab/>
      </w:r>
      <w:r>
        <w:rPr>
          <w:rStyle w:val="Pogrubienie"/>
          <w:rFonts w:ascii="Times New Roman" w:hAnsi="Times New Roman"/>
          <w:b w:val="0"/>
          <w:color w:val="000000"/>
          <w:sz w:val="28"/>
        </w:rPr>
        <w:t>7</w:t>
      </w:r>
    </w:p>
    <w:p w14:paraId="407E6155" w14:textId="58232153"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III.</w:t>
      </w:r>
      <w:r>
        <w:rPr>
          <w:rStyle w:val="Pogrubienie"/>
          <w:rFonts w:ascii="Times New Roman" w:hAnsi="Times New Roman"/>
          <w:b w:val="0"/>
          <w:color w:val="000000"/>
          <w:sz w:val="28"/>
        </w:rPr>
        <w:tab/>
        <w:t xml:space="preserve">Materiał dodatkowy </w:t>
      </w:r>
      <w:r w:rsidR="002640EB">
        <w:rPr>
          <w:rStyle w:val="Pogrubienie"/>
          <w:rFonts w:ascii="Times New Roman" w:hAnsi="Times New Roman"/>
          <w:b w:val="0"/>
          <w:color w:val="000000"/>
          <w:sz w:val="28"/>
        </w:rPr>
        <w:tab/>
      </w:r>
      <w:r>
        <w:rPr>
          <w:rStyle w:val="Pogrubienie"/>
          <w:rFonts w:ascii="Times New Roman" w:hAnsi="Times New Roman"/>
          <w:b w:val="0"/>
          <w:color w:val="000000"/>
          <w:sz w:val="28"/>
        </w:rPr>
        <w:t>8</w:t>
      </w:r>
    </w:p>
    <w:p w14:paraId="1063C1F3"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lang w:val="en-GB"/>
        </w:rPr>
      </w:pPr>
    </w:p>
    <w:p w14:paraId="68B4C56F" w14:textId="73216AFC" w:rsidR="006A27C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D. </w:t>
      </w:r>
      <w:r w:rsidR="002640EB">
        <w:rPr>
          <w:rStyle w:val="Pogrubienie"/>
          <w:rFonts w:ascii="Times New Roman" w:hAnsi="Times New Roman"/>
          <w:color w:val="000000"/>
          <w:sz w:val="28"/>
        </w:rPr>
        <w:tab/>
      </w:r>
      <w:r>
        <w:rPr>
          <w:rStyle w:val="Pogrubienie"/>
          <w:rFonts w:ascii="Times New Roman" w:hAnsi="Times New Roman"/>
          <w:color w:val="000000"/>
          <w:sz w:val="28"/>
        </w:rPr>
        <w:t xml:space="preserve">Rozwiązania </w:t>
      </w:r>
      <w:r w:rsidR="002640EB">
        <w:rPr>
          <w:rStyle w:val="Pogrubienie"/>
          <w:rFonts w:ascii="Times New Roman" w:hAnsi="Times New Roman"/>
          <w:color w:val="000000"/>
          <w:sz w:val="28"/>
        </w:rPr>
        <w:tab/>
      </w:r>
      <w:r>
        <w:rPr>
          <w:rStyle w:val="Pogrubienie"/>
          <w:rFonts w:ascii="Times New Roman" w:hAnsi="Times New Roman"/>
          <w:color w:val="000000"/>
          <w:sz w:val="28"/>
        </w:rPr>
        <w:t>9</w:t>
      </w:r>
    </w:p>
    <w:p w14:paraId="2979843E" w14:textId="35D3166A" w:rsid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lang w:val="en-GB"/>
        </w:rPr>
      </w:pPr>
    </w:p>
    <w:p w14:paraId="7E0FBCD1" w14:textId="79CAC62B" w:rsidR="00B074A0" w:rsidRP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Załącznik Rozwiązania krok po kroku </w:t>
      </w:r>
      <w:r w:rsidR="002640EB">
        <w:rPr>
          <w:rStyle w:val="Pogrubienie"/>
          <w:rFonts w:ascii="Times New Roman" w:hAnsi="Times New Roman"/>
          <w:color w:val="000000"/>
          <w:sz w:val="28"/>
        </w:rPr>
        <w:tab/>
      </w:r>
      <w:r>
        <w:rPr>
          <w:rStyle w:val="Pogrubienie"/>
          <w:rFonts w:ascii="Times New Roman" w:hAnsi="Times New Roman"/>
          <w:color w:val="000000"/>
          <w:sz w:val="28"/>
        </w:rPr>
        <w:t>23</w:t>
      </w:r>
    </w:p>
    <w:p w14:paraId="64F37B70" w14:textId="77777777" w:rsidR="006A27CE" w:rsidRPr="00B074A0"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en-GB"/>
        </w:rPr>
      </w:pPr>
    </w:p>
    <w:bookmarkEnd w:id="1"/>
    <w:bookmarkEnd w:id="2"/>
    <w:bookmarkEnd w:id="3"/>
    <w:p w14:paraId="72F7C821" w14:textId="009B0901" w:rsidR="00FE35AA" w:rsidRPr="00B074A0" w:rsidRDefault="00FE35AA" w:rsidP="006A27CE">
      <w:pPr>
        <w:rPr>
          <w:rFonts w:ascii="Times New Roman" w:hAnsi="Times New Roman" w:cs="Times New Roman"/>
          <w:bCs/>
          <w:sz w:val="28"/>
          <w:szCs w:val="28"/>
        </w:rPr>
      </w:pPr>
      <w:r>
        <w:br w:type="page"/>
      </w:r>
    </w:p>
    <w:p w14:paraId="37CFD527" w14:textId="158E5347" w:rsidR="00FE35AA" w:rsidRPr="00B074A0" w:rsidRDefault="00FE35AA" w:rsidP="006A27CE">
      <w:pPr>
        <w:pStyle w:val="Test"/>
        <w:shd w:val="clear" w:color="auto" w:fill="DED888"/>
        <w:spacing w:after="160"/>
        <w:jc w:val="center"/>
        <w:rPr>
          <w:rStyle w:val="Pogrubienie"/>
          <w:rFonts w:ascii="Times New Roman" w:hAnsi="Times New Roman"/>
          <w:b/>
          <w:color w:val="2F5496" w:themeColor="accent1" w:themeShade="BF"/>
          <w:sz w:val="32"/>
          <w:szCs w:val="32"/>
        </w:rPr>
      </w:pPr>
      <w:bookmarkStart w:id="4" w:name="_Hlk39595818"/>
      <w:r>
        <w:rPr>
          <w:rStyle w:val="Pogrubienie"/>
          <w:rFonts w:ascii="Times New Roman" w:hAnsi="Times New Roman"/>
          <w:b/>
          <w:color w:val="2F5496" w:themeColor="accent1" w:themeShade="BF"/>
          <w:sz w:val="32"/>
        </w:rPr>
        <w:lastRenderedPageBreak/>
        <w:t>Europejski nakaz dochodzeniowy</w:t>
      </w:r>
    </w:p>
    <w:p w14:paraId="32847B57" w14:textId="77777777" w:rsidR="006377A2" w:rsidRPr="00B074A0" w:rsidRDefault="006377A2" w:rsidP="006A27CE">
      <w:pPr>
        <w:jc w:val="both"/>
        <w:rPr>
          <w:rStyle w:val="Pogrubienie"/>
          <w:rFonts w:ascii="Times New Roman" w:hAnsi="Times New Roman" w:cs="Times New Roman"/>
          <w:color w:val="2F5496" w:themeColor="accent1" w:themeShade="BF"/>
          <w:sz w:val="28"/>
          <w:szCs w:val="28"/>
          <w:lang w:val="en-GB"/>
        </w:rPr>
      </w:pPr>
    </w:p>
    <w:p w14:paraId="4ACD6C00" w14:textId="499D4C49" w:rsidR="00D3089A" w:rsidRPr="00B074A0" w:rsidRDefault="00FE35AA" w:rsidP="006A27CE">
      <w:pPr>
        <w:jc w:val="both"/>
        <w:rPr>
          <w:rFonts w:ascii="Times New Roman" w:hAnsi="Times New Roman" w:cs="Times New Roman"/>
          <w:b/>
          <w:bCs/>
          <w:color w:val="2F5496" w:themeColor="accent1" w:themeShade="BF"/>
          <w:sz w:val="28"/>
          <w:szCs w:val="28"/>
        </w:rPr>
      </w:pPr>
      <w:r>
        <w:rPr>
          <w:rStyle w:val="Pogrubienie"/>
          <w:rFonts w:ascii="Times New Roman" w:hAnsi="Times New Roman"/>
          <w:color w:val="2F5496" w:themeColor="accent1" w:themeShade="BF"/>
          <w:sz w:val="28"/>
        </w:rPr>
        <w:t xml:space="preserve">A. I </w:t>
      </w:r>
      <w:r>
        <w:rPr>
          <w:rFonts w:ascii="Times New Roman" w:hAnsi="Times New Roman"/>
          <w:b/>
          <w:color w:val="2F5496" w:themeColor="accent1" w:themeShade="BF"/>
          <w:sz w:val="28"/>
        </w:rPr>
        <w:t xml:space="preserve">Przypadek </w:t>
      </w:r>
      <w:r>
        <w:rPr>
          <w:rStyle w:val="Pogrubienie"/>
          <w:rFonts w:ascii="Times New Roman" w:hAnsi="Times New Roman"/>
          <w:color w:val="2F5496" w:themeColor="accent1" w:themeShade="BF"/>
          <w:sz w:val="28"/>
        </w:rPr>
        <w:t>scenariusz 1:</w:t>
      </w:r>
    </w:p>
    <w:p w14:paraId="29B879CB" w14:textId="77777777" w:rsidR="00FE6CFC" w:rsidRPr="00B074A0" w:rsidRDefault="004970F8"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bookmarkStart w:id="5" w:name="_Hlk33180685"/>
      <w:r>
        <w:rPr>
          <w:rFonts w:ascii="Times New Roman" w:hAnsi="Times New Roman"/>
          <w:sz w:val="28"/>
        </w:rPr>
        <w:t xml:space="preserve">Aby zebrać dowody w dochodzeniu karnym, rumuński prokurator musi: </w:t>
      </w:r>
    </w:p>
    <w:p w14:paraId="1FEF220C" w14:textId="0A9A8E25"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xml:space="preserve">- przesłuchać w formie wideokonferencji świadka, który obecnie mieszka w Bułgarii, </w:t>
      </w:r>
    </w:p>
    <w:p w14:paraId="145D2A73" w14:textId="040F05C0"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xml:space="preserve">- nakazać przeszukanie domu podejrzanego mieszkającego w Austrii i, </w:t>
      </w:r>
    </w:p>
    <w:p w14:paraId="1C868CDD" w14:textId="1FC12577" w:rsidR="00514741"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uzyskać informacje na temat polskiego konta bankowego tego samego podejrzanego.</w:t>
      </w:r>
    </w:p>
    <w:p w14:paraId="6A9DB1CE" w14:textId="77777777" w:rsidR="00FE6CFC" w:rsidRPr="00B074A0" w:rsidRDefault="00FE6CFC" w:rsidP="006A27CE">
      <w:pPr>
        <w:jc w:val="both"/>
        <w:rPr>
          <w:rFonts w:ascii="Times New Roman" w:hAnsi="Times New Roman" w:cs="Times New Roman"/>
          <w:sz w:val="28"/>
          <w:szCs w:val="28"/>
          <w:lang w:val="en-GB"/>
        </w:rPr>
      </w:pPr>
    </w:p>
    <w:p w14:paraId="08B7BB34" w14:textId="0ADC49A6" w:rsidR="00D423F8" w:rsidRPr="00B074A0" w:rsidRDefault="00D423F8" w:rsidP="006A27CE">
      <w:pPr>
        <w:jc w:val="both"/>
        <w:rPr>
          <w:rFonts w:ascii="Times New Roman" w:hAnsi="Times New Roman" w:cs="Times New Roman"/>
          <w:b/>
          <w:bCs/>
          <w:iCs/>
          <w:color w:val="2F5496" w:themeColor="accent1" w:themeShade="BF"/>
          <w:sz w:val="28"/>
          <w:szCs w:val="28"/>
        </w:rPr>
      </w:pPr>
      <w:r>
        <w:rPr>
          <w:rFonts w:ascii="Times New Roman" w:hAnsi="Times New Roman"/>
          <w:b/>
          <w:color w:val="2F5496" w:themeColor="accent1" w:themeShade="BF"/>
          <w:sz w:val="28"/>
        </w:rPr>
        <w:t>Pytania:</w:t>
      </w:r>
    </w:p>
    <w:p w14:paraId="40021975" w14:textId="4FC5FF06" w:rsidR="00D423F8" w:rsidRPr="00B074A0" w:rsidRDefault="000805AF" w:rsidP="006A27CE">
      <w:pPr>
        <w:pStyle w:val="Akapitzlist"/>
        <w:numPr>
          <w:ilvl w:val="0"/>
          <w:numId w:val="1"/>
        </w:numPr>
        <w:contextualSpacing w:val="0"/>
        <w:jc w:val="both"/>
        <w:rPr>
          <w:rFonts w:ascii="Times New Roman" w:hAnsi="Times New Roman" w:cs="Times New Roman"/>
          <w:sz w:val="28"/>
          <w:szCs w:val="28"/>
        </w:rPr>
      </w:pPr>
      <w:r>
        <w:rPr>
          <w:rFonts w:ascii="Times New Roman" w:hAnsi="Times New Roman"/>
          <w:i/>
          <w:sz w:val="28"/>
        </w:rPr>
        <w:t>Jaki instrument prawny współpracy sądowej jest dostępny dla rumuńskiego prokuratora w celu gromadzenia dowodów z zagranicy</w:t>
      </w:r>
      <w:r>
        <w:rPr>
          <w:rFonts w:ascii="Times New Roman" w:hAnsi="Times New Roman"/>
          <w:sz w:val="28"/>
        </w:rPr>
        <w:t>?</w:t>
      </w:r>
    </w:p>
    <w:p w14:paraId="57062F9B" w14:textId="0B3885DB" w:rsidR="00D423F8" w:rsidRPr="00B074A0" w:rsidRDefault="00D423F8" w:rsidP="006A27CE">
      <w:pPr>
        <w:pStyle w:val="Akapitzlist"/>
        <w:numPr>
          <w:ilvl w:val="0"/>
          <w:numId w:val="1"/>
        </w:numPr>
        <w:contextualSpacing w:val="0"/>
        <w:jc w:val="both"/>
        <w:rPr>
          <w:rFonts w:ascii="Times New Roman" w:hAnsi="Times New Roman" w:cs="Times New Roman"/>
          <w:i/>
          <w:iCs/>
          <w:sz w:val="28"/>
          <w:szCs w:val="28"/>
        </w:rPr>
      </w:pPr>
      <w:bookmarkStart w:id="6" w:name="_Hlk33017891"/>
      <w:r>
        <w:rPr>
          <w:rFonts w:ascii="Times New Roman" w:hAnsi="Times New Roman"/>
          <w:i/>
          <w:sz w:val="28"/>
        </w:rPr>
        <w:t>A jeśli świadek mieszka w Danii lub Irlandii</w:t>
      </w:r>
      <w:r>
        <w:rPr>
          <w:rFonts w:ascii="Times New Roman" w:hAnsi="Times New Roman"/>
          <w:sz w:val="28"/>
        </w:rPr>
        <w:t xml:space="preserve">? </w:t>
      </w:r>
      <w:r>
        <w:rPr>
          <w:rFonts w:ascii="Times New Roman" w:hAnsi="Times New Roman"/>
          <w:i/>
          <w:sz w:val="28"/>
        </w:rPr>
        <w:t xml:space="preserve">Czy ma to jakieś znaczenie dla instrumentu prawnego mającego zastosowanie w sprawie? </w:t>
      </w:r>
    </w:p>
    <w:bookmarkEnd w:id="6"/>
    <w:p w14:paraId="3728EC32" w14:textId="4DE01327" w:rsidR="00D423F8" w:rsidRPr="00B074A0" w:rsidRDefault="00D540DB" w:rsidP="006A27CE">
      <w:pPr>
        <w:pStyle w:val="Akapitzlist"/>
        <w:numPr>
          <w:ilvl w:val="0"/>
          <w:numId w:val="1"/>
        </w:numPr>
        <w:contextualSpacing w:val="0"/>
        <w:jc w:val="both"/>
        <w:rPr>
          <w:rFonts w:ascii="Times New Roman" w:hAnsi="Times New Roman" w:cs="Times New Roman"/>
          <w:i/>
          <w:iCs/>
          <w:sz w:val="28"/>
          <w:szCs w:val="28"/>
        </w:rPr>
      </w:pPr>
      <w:r>
        <w:rPr>
          <w:rFonts w:ascii="Times New Roman" w:hAnsi="Times New Roman"/>
          <w:i/>
          <w:sz w:val="28"/>
        </w:rPr>
        <w:t>Co w przypadku, gdy prokurator chce wezwać świadka w Bułgarii w celu przesłuchania go w Rumunii? Czy dyrektywa 2014/41/UE będzie nadal obowiązywać?</w:t>
      </w:r>
    </w:p>
    <w:p w14:paraId="5E96F22B" w14:textId="6735EFC9" w:rsidR="00607A4B" w:rsidRPr="00B074A0" w:rsidRDefault="0014132C" w:rsidP="006A27CE">
      <w:pPr>
        <w:pStyle w:val="Akapitzlist"/>
        <w:numPr>
          <w:ilvl w:val="0"/>
          <w:numId w:val="1"/>
        </w:numPr>
        <w:spacing w:line="240" w:lineRule="auto"/>
        <w:contextualSpacing w:val="0"/>
        <w:jc w:val="both"/>
        <w:rPr>
          <w:rFonts w:ascii="Times New Roman" w:hAnsi="Times New Roman" w:cs="Times New Roman"/>
          <w:i/>
          <w:iCs/>
          <w:sz w:val="28"/>
          <w:szCs w:val="28"/>
        </w:rPr>
      </w:pPr>
      <w:bookmarkStart w:id="7" w:name="_Hlk33018066"/>
      <w:r>
        <w:rPr>
          <w:rFonts w:ascii="Times New Roman" w:hAnsi="Times New Roman"/>
          <w:i/>
          <w:sz w:val="28"/>
        </w:rPr>
        <w:t>Ile END powinien wydać rumuński prokurator w tej sprawie? Uzasadnij swoją odpowiedź.</w:t>
      </w:r>
      <w:bookmarkEnd w:id="7"/>
    </w:p>
    <w:p w14:paraId="3EB55596" w14:textId="5725E0B9" w:rsidR="00E5457B" w:rsidRPr="00B074A0" w:rsidRDefault="006377A2" w:rsidP="006377A2">
      <w:pPr>
        <w:rPr>
          <w:rFonts w:ascii="Times New Roman" w:hAnsi="Times New Roman" w:cs="Times New Roman"/>
          <w:i/>
          <w:iCs/>
          <w:sz w:val="28"/>
          <w:szCs w:val="28"/>
        </w:rPr>
      </w:pPr>
      <w:r>
        <w:br w:type="page"/>
      </w:r>
    </w:p>
    <w:p w14:paraId="562285EA" w14:textId="7EE5C442" w:rsidR="00E5457B" w:rsidRPr="00B074A0" w:rsidRDefault="00844021" w:rsidP="006A27CE">
      <w:pPr>
        <w:jc w:val="both"/>
        <w:rPr>
          <w:rFonts w:ascii="Times New Roman" w:hAnsi="Times New Roman" w:cs="Times New Roman"/>
          <w:b/>
          <w:bCs/>
          <w:color w:val="2F5496" w:themeColor="accent1" w:themeShade="BF"/>
          <w:sz w:val="28"/>
          <w:szCs w:val="28"/>
        </w:rPr>
      </w:pPr>
      <w:bookmarkStart w:id="8" w:name="_Hlk40640209"/>
      <w:bookmarkStart w:id="9" w:name="_Hlk41219047"/>
      <w:r>
        <w:rPr>
          <w:rFonts w:ascii="Times New Roman" w:hAnsi="Times New Roman"/>
          <w:b/>
          <w:color w:val="2F5496" w:themeColor="accent1" w:themeShade="BF"/>
          <w:sz w:val="28"/>
        </w:rPr>
        <w:lastRenderedPageBreak/>
        <w:t>A. II.</w:t>
      </w:r>
      <w:r w:rsidR="00D7241D">
        <w:rPr>
          <w:rFonts w:ascii="Times New Roman" w:hAnsi="Times New Roman"/>
          <w:b/>
          <w:color w:val="2F5496" w:themeColor="accent1" w:themeShade="BF"/>
          <w:sz w:val="28"/>
        </w:rPr>
        <w:t xml:space="preserve"> </w:t>
      </w:r>
      <w:r>
        <w:rPr>
          <w:rFonts w:ascii="Times New Roman" w:hAnsi="Times New Roman"/>
          <w:b/>
          <w:color w:val="2F5496" w:themeColor="accent1" w:themeShade="BF"/>
          <w:sz w:val="28"/>
        </w:rPr>
        <w:t>Ćwiczenia:</w:t>
      </w:r>
    </w:p>
    <w:p w14:paraId="716BBC31" w14:textId="53A69F56" w:rsidR="00E5457B" w:rsidRPr="00B074A0" w:rsidRDefault="00E5457B" w:rsidP="006A27C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Znajdź następujące właściwe organy wykonujące nakaz dla END (ogólne sprawy karne):</w:t>
      </w:r>
    </w:p>
    <w:p w14:paraId="4D1F8761" w14:textId="197DABF4"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1. Niemiecki właściwy organ wydający nakaz chce przeszukać dom podejrzanego znajdującego się w Brukseli, w Belgii.</w:t>
      </w:r>
    </w:p>
    <w:p w14:paraId="053A6644" w14:textId="37E3CAD6"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Właściwy organ:</w:t>
      </w:r>
    </w:p>
    <w:p w14:paraId="38E95513" w14:textId="20D2AEB0"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Język:</w:t>
      </w:r>
    </w:p>
    <w:p w14:paraId="0702A87F" w14:textId="632B0BD8" w:rsidR="00BC0071" w:rsidRPr="00B074A0" w:rsidRDefault="00BC0071" w:rsidP="006377A2">
      <w:pPr>
        <w:rPr>
          <w:rFonts w:ascii="Times New Roman" w:hAnsi="Times New Roman" w:cs="Times New Roman"/>
          <w:sz w:val="28"/>
          <w:szCs w:val="28"/>
          <w:lang w:val="en-GB"/>
        </w:rPr>
      </w:pPr>
    </w:p>
    <w:p w14:paraId="4D997D83" w14:textId="269330B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2. Francuski właściwy organ wydający nakaz chce przesłuchać w formie wideokonferencji świadka zamieszkałego w Vigo, w Hiszpanii.</w:t>
      </w:r>
    </w:p>
    <w:p w14:paraId="14560A1E" w14:textId="77777777"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Właściwy organ:</w:t>
      </w:r>
    </w:p>
    <w:p w14:paraId="77BFCE30" w14:textId="7B25DB6B"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Język:</w:t>
      </w:r>
    </w:p>
    <w:p w14:paraId="28297BBF" w14:textId="77777777" w:rsidR="00BC0071" w:rsidRPr="00B074A0" w:rsidRDefault="00BC0071" w:rsidP="006A27CE">
      <w:pPr>
        <w:jc w:val="both"/>
        <w:rPr>
          <w:rFonts w:ascii="Times New Roman" w:hAnsi="Times New Roman" w:cs="Times New Roman"/>
          <w:sz w:val="28"/>
          <w:szCs w:val="28"/>
          <w:lang w:val="en-GB"/>
        </w:rPr>
      </w:pPr>
    </w:p>
    <w:p w14:paraId="1470EC4D" w14:textId="064D3F9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3. Właściwy organ wydający nakaz w Hiszpanii chce przesłuchać eksperta mieszkającego w Atenach, w Grecji.</w:t>
      </w:r>
    </w:p>
    <w:p w14:paraId="0F45A90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Właściwy organ:</w:t>
      </w:r>
    </w:p>
    <w:p w14:paraId="5C8C592B" w14:textId="5C5BCF0E"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Język:</w:t>
      </w:r>
    </w:p>
    <w:p w14:paraId="691E90F8" w14:textId="77777777" w:rsidR="005E4A6D" w:rsidRPr="00B074A0" w:rsidRDefault="005E4A6D" w:rsidP="006A27CE">
      <w:pPr>
        <w:jc w:val="both"/>
        <w:rPr>
          <w:rFonts w:ascii="Times New Roman" w:hAnsi="Times New Roman" w:cs="Times New Roman"/>
          <w:sz w:val="28"/>
          <w:szCs w:val="28"/>
          <w:lang w:val="en-GB"/>
        </w:rPr>
      </w:pPr>
    </w:p>
    <w:p w14:paraId="3A8F05C7" w14:textId="54AC5F79"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4. Rumuński właściwy organ wydający nakaz chce przechwycić połączenie telekomunikacyjne podejrzanego znajdującego się we Francji bez pomocy technicznej.</w:t>
      </w:r>
      <w:bookmarkEnd w:id="8"/>
    </w:p>
    <w:p w14:paraId="2BC699B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Właściwy organ:</w:t>
      </w:r>
    </w:p>
    <w:p w14:paraId="73D77594" w14:textId="70EE6C83"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Język:</w:t>
      </w:r>
    </w:p>
    <w:p w14:paraId="5D8DD93D" w14:textId="3D71F33B" w:rsidR="00BC0071" w:rsidRPr="00B074A0" w:rsidRDefault="006377A2" w:rsidP="006377A2">
      <w:pPr>
        <w:rPr>
          <w:rFonts w:ascii="Times New Roman" w:hAnsi="Times New Roman" w:cs="Times New Roman"/>
          <w:sz w:val="28"/>
          <w:szCs w:val="28"/>
        </w:rPr>
      </w:pPr>
      <w:r>
        <w:br w:type="page"/>
      </w:r>
    </w:p>
    <w:bookmarkEnd w:id="9"/>
    <w:p w14:paraId="2EE60012" w14:textId="5C9B021E" w:rsidR="009B49A2" w:rsidRPr="00B074A0" w:rsidRDefault="00094A90" w:rsidP="006A27CE">
      <w:pPr>
        <w:jc w:val="both"/>
        <w:rPr>
          <w:rFonts w:ascii="Times New Roman" w:hAnsi="Times New Roman" w:cs="Times New Roman"/>
          <w:color w:val="2F5496" w:themeColor="accent1" w:themeShade="BF"/>
          <w:sz w:val="28"/>
          <w:szCs w:val="28"/>
        </w:rPr>
      </w:pPr>
      <w:r>
        <w:rPr>
          <w:rFonts w:ascii="Times New Roman" w:hAnsi="Times New Roman"/>
          <w:b/>
          <w:color w:val="2F5496" w:themeColor="accent1" w:themeShade="BF"/>
          <w:sz w:val="28"/>
        </w:rPr>
        <w:lastRenderedPageBreak/>
        <w:t>A. III.</w:t>
      </w:r>
      <w:r w:rsidR="00D7241D">
        <w:rPr>
          <w:rFonts w:ascii="Times New Roman" w:hAnsi="Times New Roman"/>
          <w:b/>
          <w:color w:val="2F5496" w:themeColor="accent1" w:themeShade="BF"/>
          <w:sz w:val="28"/>
        </w:rPr>
        <w:t xml:space="preserve"> </w:t>
      </w:r>
      <w:r>
        <w:rPr>
          <w:rFonts w:ascii="Times New Roman" w:hAnsi="Times New Roman"/>
          <w:b/>
          <w:color w:val="2F5496" w:themeColor="accent1" w:themeShade="BF"/>
          <w:sz w:val="28"/>
        </w:rPr>
        <w:t>Scenariusz przypadku</w:t>
      </w:r>
      <w:r>
        <w:rPr>
          <w:rFonts w:ascii="Times New Roman" w:hAnsi="Times New Roman"/>
          <w:b/>
          <w:i/>
          <w:color w:val="2F5496" w:themeColor="accent1" w:themeShade="BF"/>
          <w:sz w:val="28"/>
        </w:rPr>
        <w:t xml:space="preserve"> </w:t>
      </w:r>
      <w:r>
        <w:rPr>
          <w:rFonts w:ascii="Times New Roman" w:hAnsi="Times New Roman"/>
          <w:b/>
          <w:color w:val="2F5496" w:themeColor="accent1" w:themeShade="BF"/>
          <w:sz w:val="28"/>
        </w:rPr>
        <w:t>2:</w:t>
      </w:r>
    </w:p>
    <w:p w14:paraId="2FEAF8E8" w14:textId="1A9BDCCA" w:rsidR="009F3C84" w:rsidRPr="00B074A0" w:rsidRDefault="009B49A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W marcu 2020 r. w Rumunii wszczęto dochodzenie przeciwko sprawcom A.W. (obywatel Niemiec), J.P. i J.L. (obywatele Rumunii) za rzekome dokonanie dwóch kradzieży z bankomatów znajdujących się w Konstancy, Rumunia (sygn. akt 1200/P/2020). Rumuńskie organy wymiaru sprawiedliwości ustaliły, że w nocy 27.02.2020 r., ok. godz. 02:00 oraz w nocy 09.03.2020 r., ok. godz. 03:20, A.W. (obywatel Niemiec, urodzony w Stuttgarcie, Niemcy, w dniu 06.06.1955 r.), J. P. (obywatel Rumunii, urodzony w dniu 25.03.1977 r.) i J. L. (obywatel Rumunii, urodzony 24.06.1978 r.), używając narzędzi, zamaskowani mężczyźni dokonali dwóch kradzieży z bankomatów znajdujących się w </w:t>
      </w:r>
      <w:proofErr w:type="spellStart"/>
      <w:r>
        <w:rPr>
          <w:rFonts w:ascii="Times New Roman" w:hAnsi="Times New Roman"/>
          <w:sz w:val="28"/>
        </w:rPr>
        <w:t>Bulevardul</w:t>
      </w:r>
      <w:proofErr w:type="spellEnd"/>
      <w:r>
        <w:rPr>
          <w:rFonts w:ascii="Times New Roman" w:hAnsi="Times New Roman"/>
          <w:sz w:val="28"/>
        </w:rPr>
        <w:t xml:space="preserve"> </w:t>
      </w:r>
      <w:proofErr w:type="spellStart"/>
      <w:r>
        <w:rPr>
          <w:rFonts w:ascii="Times New Roman" w:hAnsi="Times New Roman"/>
          <w:sz w:val="28"/>
        </w:rPr>
        <w:t>Republicii</w:t>
      </w:r>
      <w:proofErr w:type="spellEnd"/>
      <w:r>
        <w:rPr>
          <w:rFonts w:ascii="Times New Roman" w:hAnsi="Times New Roman"/>
          <w:sz w:val="28"/>
        </w:rPr>
        <w:t xml:space="preserve">, </w:t>
      </w:r>
      <w:proofErr w:type="spellStart"/>
      <w:r>
        <w:rPr>
          <w:rFonts w:ascii="Times New Roman" w:hAnsi="Times New Roman"/>
          <w:sz w:val="28"/>
        </w:rPr>
        <w:t>Constanta</w:t>
      </w:r>
      <w:proofErr w:type="spellEnd"/>
      <w:r>
        <w:rPr>
          <w:rFonts w:ascii="Times New Roman" w:hAnsi="Times New Roman"/>
          <w:sz w:val="28"/>
        </w:rPr>
        <w:t xml:space="preserve">, Rumunia, kradnąc ok. 478.000 lei RON (ok. 100.000 euro). </w:t>
      </w:r>
    </w:p>
    <w:p w14:paraId="3C013C0E" w14:textId="0EC3EABE" w:rsidR="006A232B" w:rsidRPr="00B074A0" w:rsidRDefault="009F3C84"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J.P. i J.L. zostali zidentyfikowani i złapani przez policję, ale A.W. zdołał uciec w Niemczech w dniu 10.03.2020 r. samochodem osobowym, Stuttgart, Niemcy. Kwota skradzionych pieniędzy nie została jeszcze ustalona przez policję, a śledczy przypuszczają, że mogła ona zostać zabrana przez A.W.</w:t>
      </w:r>
    </w:p>
    <w:p w14:paraId="50C1A880" w14:textId="6AC58DE7" w:rsidR="00B54ECD" w:rsidRPr="00B074A0" w:rsidRDefault="00B54ECD"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J.P. i J.L. zostali oskarżeni o popełnienie dwóch wyżej wymienionych kradzieży i decyzją Sądu Pierwszej Instancji w Konstancy z dnia 11.03.2020 r. zostali tymczasowo aresztowani na okres 30 dni. Przyznali się też do popełnienia przestępstw i chcą porozumieć się z prokuratorem.</w:t>
      </w:r>
    </w:p>
    <w:p w14:paraId="4CDB1F67" w14:textId="1133BAD3" w:rsidR="00E61464" w:rsidRPr="00B074A0" w:rsidRDefault="00CF40C1"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Prokuratura przy Sądzie Pierwszej Instancji w Konstancy, która jest właściwa do prowadzenia śledztwa w sprawie tych przestępstw, ustaliła, że A. W. jest obywatelem niemieckim i mieszka w Stuttgarcie, </w:t>
      </w:r>
      <w:proofErr w:type="spellStart"/>
      <w:r>
        <w:rPr>
          <w:rFonts w:ascii="Times New Roman" w:hAnsi="Times New Roman"/>
          <w:sz w:val="28"/>
        </w:rPr>
        <w:t>Siemensstrasse</w:t>
      </w:r>
      <w:proofErr w:type="spellEnd"/>
      <w:r>
        <w:rPr>
          <w:rFonts w:ascii="Times New Roman" w:hAnsi="Times New Roman"/>
          <w:sz w:val="28"/>
        </w:rPr>
        <w:t>, kod pocztowy 70469, Niemcy.</w:t>
      </w:r>
    </w:p>
    <w:p w14:paraId="08F9DBAE" w14:textId="474856FF" w:rsidR="00890513" w:rsidRPr="00B074A0" w:rsidRDefault="007F4E7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Również Prokuraturze działającej przy Sądzie Pierwszej Instancji w Konstancy udało się ustalić tożsamość świadka T. J., obywatela Austrii, który mieszka obecnie we Wiedniu, Gerhard-</w:t>
      </w:r>
      <w:proofErr w:type="spellStart"/>
      <w:r>
        <w:rPr>
          <w:rFonts w:ascii="Times New Roman" w:hAnsi="Times New Roman"/>
          <w:sz w:val="28"/>
        </w:rPr>
        <w:t>Bronner</w:t>
      </w:r>
      <w:proofErr w:type="spellEnd"/>
      <w:r>
        <w:rPr>
          <w:rFonts w:ascii="Times New Roman" w:hAnsi="Times New Roman"/>
          <w:sz w:val="28"/>
        </w:rPr>
        <w:t xml:space="preserve"> Strasse, kod pocztowy 1100, Austria (świadek przebywał w tym okresie na wakacjach w Rumunii i widział wszystkich trzech niezamaskowanych sprawców w nocy 27.02.2020 r. w pobliżu bankomatu w </w:t>
      </w:r>
      <w:proofErr w:type="spellStart"/>
      <w:r>
        <w:rPr>
          <w:rFonts w:ascii="Times New Roman" w:hAnsi="Times New Roman"/>
          <w:sz w:val="28"/>
        </w:rPr>
        <w:t>Bulevardul</w:t>
      </w:r>
      <w:proofErr w:type="spellEnd"/>
      <w:r>
        <w:rPr>
          <w:rFonts w:ascii="Times New Roman" w:hAnsi="Times New Roman"/>
          <w:sz w:val="28"/>
        </w:rPr>
        <w:t xml:space="preserve"> </w:t>
      </w:r>
      <w:proofErr w:type="spellStart"/>
      <w:r>
        <w:rPr>
          <w:rFonts w:ascii="Times New Roman" w:hAnsi="Times New Roman"/>
          <w:sz w:val="28"/>
        </w:rPr>
        <w:t>Republicii</w:t>
      </w:r>
      <w:proofErr w:type="spellEnd"/>
      <w:r>
        <w:rPr>
          <w:rFonts w:ascii="Times New Roman" w:hAnsi="Times New Roman"/>
          <w:sz w:val="28"/>
        </w:rPr>
        <w:t>, Konstanca, na kilka minut przed dokonaniem kradzieży w pobliżu samochodu z niemieckimi numerami rejestracyjnymi).</w:t>
      </w:r>
    </w:p>
    <w:p w14:paraId="69927ED0" w14:textId="1B0AF68F" w:rsidR="00606182" w:rsidRPr="00B074A0" w:rsidRDefault="007F4E7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Po zebraniu wszystkich dowodów w Rumunii, w dniu 15.03.2020 r. Prokuratura przy Sądzie Pierwszej Instancji w Konstancy zwróciła się do Sądu Pierwszej Instancji w Konstancy o zezwolenie na przeszukanie domu A.W. w Stuttgarcie. Wniosek ten został rozpatrzony pozytywnie tego samego dnia przez właściwego sędziego w drodze decyzji 111/UP/P/15.03.2020.</w:t>
      </w:r>
    </w:p>
    <w:p w14:paraId="75588962" w14:textId="2A38915D" w:rsidR="00094A90" w:rsidRPr="00B074A0" w:rsidRDefault="0060618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Ponadto prokurator prowadzący sprawę chce przesłuchać w formie wideokonferencji T.J. jako świadka w sprawie.</w:t>
      </w:r>
      <w:r w:rsidR="00D7241D">
        <w:rPr>
          <w:rFonts w:ascii="Times New Roman" w:hAnsi="Times New Roman"/>
          <w:sz w:val="28"/>
        </w:rPr>
        <w:t xml:space="preserve"> </w:t>
      </w:r>
      <w:r>
        <w:rPr>
          <w:rFonts w:ascii="Times New Roman" w:hAnsi="Times New Roman"/>
          <w:b/>
          <w:sz w:val="24"/>
        </w:rPr>
        <w:t xml:space="preserve"> </w:t>
      </w:r>
    </w:p>
    <w:p w14:paraId="1A0C6C9A" w14:textId="50DBE0AE" w:rsidR="00094A90" w:rsidRPr="00B074A0" w:rsidRDefault="00A0015D" w:rsidP="002640EB">
      <w:pPr>
        <w:rPr>
          <w:rFonts w:ascii="Times New Roman" w:hAnsi="Times New Roman" w:cs="Times New Roman"/>
          <w:b/>
          <w:bCs/>
          <w:color w:val="2F5496" w:themeColor="accent1" w:themeShade="BF"/>
          <w:sz w:val="28"/>
          <w:szCs w:val="24"/>
        </w:rPr>
      </w:pPr>
      <w:r>
        <w:br w:type="page"/>
      </w:r>
      <w:r w:rsidR="00094A90">
        <w:rPr>
          <w:rFonts w:ascii="Times New Roman" w:hAnsi="Times New Roman"/>
          <w:b/>
          <w:color w:val="2F5496" w:themeColor="accent1" w:themeShade="BF"/>
          <w:sz w:val="28"/>
        </w:rPr>
        <w:lastRenderedPageBreak/>
        <w:t>Pytania:</w:t>
      </w:r>
    </w:p>
    <w:p w14:paraId="539E154A" w14:textId="57AD89F8" w:rsidR="00D42BC8" w:rsidRPr="00B074A0" w:rsidRDefault="006A6577" w:rsidP="006A27CE">
      <w:pPr>
        <w:pStyle w:val="Akapitzlist"/>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Znajdź niemiecki właściwy organ, do którego rumuński organ sądowy musi się zwrócić w sprawie przeszukania domu A.W.</w:t>
      </w:r>
    </w:p>
    <w:p w14:paraId="149055DF" w14:textId="62DF72B7" w:rsidR="005F0E3F" w:rsidRPr="00B074A0" w:rsidRDefault="005F0E3F" w:rsidP="006A27CE">
      <w:pPr>
        <w:pStyle w:val="Akapitzlist"/>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Należy znaleźć właściwy organ austriacki, który pomoże rumuńskiemu organowi sądowemu w przesłuchaniu świadka w formie wideokonferencji.</w:t>
      </w:r>
    </w:p>
    <w:p w14:paraId="242D7CFE" w14:textId="5595CA30" w:rsidR="00635B64" w:rsidRPr="00B074A0" w:rsidRDefault="00635B64" w:rsidP="006A27CE">
      <w:pPr>
        <w:pStyle w:val="Akapitzlist"/>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W jakich językach organ wydający nakaz prześle END do dwóch właściwych organów wykonujących nakaz?</w:t>
      </w:r>
    </w:p>
    <w:p w14:paraId="3F720756" w14:textId="3B40F09E" w:rsidR="005F0E3F" w:rsidRPr="00B074A0" w:rsidRDefault="005F0E3F" w:rsidP="006A27CE">
      <w:pPr>
        <w:pStyle w:val="Akapitzlist"/>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Wypełnij END dotyczący przeszukania domu w Niemczech oraz END dotyczący przesłuchania w formie wideokonferencji w Austrii.</w:t>
      </w:r>
    </w:p>
    <w:p w14:paraId="52203DF0" w14:textId="3E538822" w:rsidR="00094A90" w:rsidRPr="00B074A0" w:rsidRDefault="002D6C12" w:rsidP="006A27CE">
      <w:pPr>
        <w:pStyle w:val="Akapitzlist"/>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Co zrobi właściwy organ wykonujący nakaz po otrzymaniu END od organu wydającego nakaz? Jakie są jego obowiązki?</w:t>
      </w:r>
    </w:p>
    <w:p w14:paraId="24DC9BD9" w14:textId="52147899" w:rsidR="00FD3F9F" w:rsidRPr="00B074A0" w:rsidRDefault="00094A90" w:rsidP="006A27CE">
      <w:pPr>
        <w:rPr>
          <w:rFonts w:ascii="Times New Roman" w:hAnsi="Times New Roman" w:cs="Times New Roman"/>
          <w:i/>
          <w:iCs/>
          <w:sz w:val="28"/>
          <w:szCs w:val="28"/>
        </w:rPr>
      </w:pPr>
      <w:r>
        <w:br w:type="page"/>
      </w:r>
    </w:p>
    <w:p w14:paraId="72435F4B" w14:textId="5609FF95" w:rsidR="00094A90" w:rsidRPr="00B074A0" w:rsidRDefault="00094A90" w:rsidP="006A27CE">
      <w:pPr>
        <w:pStyle w:val="Test"/>
        <w:shd w:val="clear" w:color="auto" w:fill="DED888"/>
        <w:spacing w:after="160"/>
        <w:jc w:val="center"/>
        <w:rPr>
          <w:rStyle w:val="Pogrubienie"/>
          <w:rFonts w:ascii="Times New Roman" w:hAnsi="Times New Roman"/>
          <w:b/>
          <w:color w:val="2F5496" w:themeColor="accent1" w:themeShade="BF"/>
          <w:sz w:val="32"/>
          <w:szCs w:val="32"/>
        </w:rPr>
      </w:pPr>
      <w:r>
        <w:rPr>
          <w:rStyle w:val="Pogrubienie"/>
          <w:rFonts w:ascii="Times New Roman" w:hAnsi="Times New Roman"/>
          <w:b/>
          <w:color w:val="2F5496" w:themeColor="accent1" w:themeShade="BF"/>
          <w:sz w:val="32"/>
        </w:rPr>
        <w:lastRenderedPageBreak/>
        <w:t>Część B. Dodatkowe uwagi dla prowadzących szkolenie dotyczące przypadków</w:t>
      </w:r>
    </w:p>
    <w:p w14:paraId="636F8179" w14:textId="77777777" w:rsidR="00094A90" w:rsidRPr="00B074A0" w:rsidRDefault="00094A90" w:rsidP="006A27CE">
      <w:pPr>
        <w:rPr>
          <w:rStyle w:val="Pogrubienie"/>
          <w:rFonts w:ascii="Times New Roman" w:hAnsi="Times New Roman" w:cs="Times New Roman"/>
          <w:color w:val="2F5496" w:themeColor="accent1" w:themeShade="BF"/>
          <w:sz w:val="28"/>
          <w:szCs w:val="28"/>
          <w:lang w:val="en-GB"/>
        </w:rPr>
      </w:pPr>
    </w:p>
    <w:p w14:paraId="1DABA21B" w14:textId="48CBB88A" w:rsidR="00094A90" w:rsidRPr="00B074A0" w:rsidRDefault="00094A90" w:rsidP="006A27CE">
      <w:pPr>
        <w:rPr>
          <w:rStyle w:val="Pogrubienie"/>
          <w:rFonts w:ascii="Times New Roman" w:hAnsi="Times New Roman" w:cs="Times New Roman"/>
          <w:color w:val="2F5496" w:themeColor="accent1" w:themeShade="BF"/>
          <w:sz w:val="28"/>
          <w:szCs w:val="28"/>
        </w:rPr>
      </w:pPr>
      <w:r>
        <w:rPr>
          <w:rStyle w:val="Pogrubienie"/>
          <w:rFonts w:ascii="Times New Roman" w:hAnsi="Times New Roman"/>
          <w:color w:val="2F5496" w:themeColor="accent1" w:themeShade="BF"/>
          <w:sz w:val="28"/>
        </w:rPr>
        <w:t>A. I. Scenariusz przypadku 1:</w:t>
      </w:r>
    </w:p>
    <w:p w14:paraId="42CABFEE" w14:textId="0EBA9FE6" w:rsidR="00FD3F9F" w:rsidRPr="00B074A0" w:rsidRDefault="006162A1" w:rsidP="006A27CE">
      <w:pPr>
        <w:spacing w:line="240" w:lineRule="auto"/>
        <w:jc w:val="both"/>
        <w:rPr>
          <w:rFonts w:ascii="Times New Roman" w:hAnsi="Times New Roman" w:cs="Times New Roman"/>
          <w:iCs/>
          <w:sz w:val="28"/>
          <w:szCs w:val="28"/>
        </w:rPr>
      </w:pPr>
      <w:r>
        <w:rPr>
          <w:rFonts w:ascii="Times New Roman" w:hAnsi="Times New Roman"/>
          <w:sz w:val="28"/>
        </w:rPr>
        <w:t>Właściwy organ wydający nakaz zostanie zmieniony i zastąpiony przez właściwy organ sądowy z państwa członkowskiego, w którym odbywa się seminarium, z wyjątkiem Danii i Irlandii. Jeżeli jednym z państw członkowskich wykonujących nakaz jest państwo, w którym odbywa się seminarium, państwo to zostanie odpowiednio zastąpione przez Rumunię jako państwo członkowskie wykonujące nakaz.</w:t>
      </w:r>
    </w:p>
    <w:p w14:paraId="17D1B9A5" w14:textId="63CB9F58" w:rsidR="00094A90" w:rsidRPr="00B074A0" w:rsidRDefault="00094A90" w:rsidP="006A27CE">
      <w:pPr>
        <w:spacing w:line="240" w:lineRule="auto"/>
        <w:jc w:val="both"/>
        <w:rPr>
          <w:rFonts w:ascii="Times New Roman" w:hAnsi="Times New Roman" w:cs="Times New Roman"/>
          <w:iCs/>
          <w:sz w:val="28"/>
          <w:szCs w:val="28"/>
          <w:lang w:val="en-GB"/>
        </w:rPr>
      </w:pPr>
    </w:p>
    <w:p w14:paraId="15ACD9D9" w14:textId="75828AB5" w:rsidR="00094A90" w:rsidRPr="00B074A0" w:rsidRDefault="00094A90" w:rsidP="006A27CE">
      <w:pPr>
        <w:spacing w:line="240" w:lineRule="auto"/>
        <w:jc w:val="both"/>
        <w:rPr>
          <w:rFonts w:ascii="Times New Roman" w:hAnsi="Times New Roman" w:cs="Times New Roman"/>
          <w:b/>
          <w:iCs/>
          <w:color w:val="2F5496" w:themeColor="accent1" w:themeShade="BF"/>
          <w:sz w:val="28"/>
          <w:szCs w:val="28"/>
        </w:rPr>
      </w:pPr>
      <w:r>
        <w:rPr>
          <w:rFonts w:ascii="Times New Roman" w:hAnsi="Times New Roman"/>
          <w:b/>
          <w:color w:val="2F5496" w:themeColor="accent1" w:themeShade="BF"/>
          <w:sz w:val="28"/>
        </w:rPr>
        <w:t>A. III. Scenariusz przypadku 2:</w:t>
      </w:r>
    </w:p>
    <w:p w14:paraId="66A6795F" w14:textId="77777777" w:rsidR="00094A90" w:rsidRPr="00B074A0" w:rsidRDefault="00094A90" w:rsidP="006A27CE">
      <w:pPr>
        <w:pStyle w:val="Akapitzlist"/>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Właściwy organ sądowy wydający nakaz zostanie zmieniony i zastąpiony przez właściwy organ sądowy z państwa członkowskiego, w którym odbywa się seminarium, z wyjątkiem Danii i Irlandii. </w:t>
      </w:r>
    </w:p>
    <w:p w14:paraId="1B8B0F1A" w14:textId="77777777" w:rsidR="00094A90" w:rsidRPr="00B074A0" w:rsidRDefault="00094A90" w:rsidP="006A27CE">
      <w:pPr>
        <w:pStyle w:val="Akapitzlist"/>
        <w:numPr>
          <w:ilvl w:val="0"/>
          <w:numId w:val="6"/>
        </w:numPr>
        <w:contextualSpacing w:val="0"/>
        <w:jc w:val="both"/>
        <w:rPr>
          <w:rFonts w:ascii="Times New Roman" w:hAnsi="Times New Roman" w:cs="Times New Roman"/>
          <w:bCs/>
          <w:sz w:val="28"/>
          <w:szCs w:val="24"/>
        </w:rPr>
      </w:pPr>
      <w:r>
        <w:rPr>
          <w:rFonts w:ascii="Times New Roman" w:hAnsi="Times New Roman"/>
          <w:sz w:val="28"/>
        </w:rPr>
        <w:t>W związku z tym szczegóły sprawy zostaną odpowiednio dostosowane, z podaniem szczegółów z kraju, w którym odbywa się seminarium (miejsca popełnienia przestępstw, numer akt sprawy, właściwy krajowy organ sądowy do tymczasowego aresztowania podejrzanych J.P. i J.L. oraz do przeszukania domu zgodnie z prawem krajowym).</w:t>
      </w:r>
    </w:p>
    <w:p w14:paraId="40CF06E7" w14:textId="77777777" w:rsidR="00094A90" w:rsidRPr="00B074A0" w:rsidRDefault="00094A90" w:rsidP="006A27CE">
      <w:pPr>
        <w:pStyle w:val="Akapitzlist"/>
        <w:numPr>
          <w:ilvl w:val="0"/>
          <w:numId w:val="6"/>
        </w:numPr>
        <w:contextualSpacing w:val="0"/>
        <w:jc w:val="both"/>
        <w:rPr>
          <w:rFonts w:ascii="Times New Roman" w:hAnsi="Times New Roman" w:cs="Times New Roman"/>
          <w:bCs/>
          <w:sz w:val="28"/>
          <w:szCs w:val="24"/>
        </w:rPr>
      </w:pPr>
      <w:r>
        <w:rPr>
          <w:rFonts w:ascii="Times New Roman" w:hAnsi="Times New Roman"/>
          <w:sz w:val="28"/>
        </w:rPr>
        <w:t>W przypadku zmiany na inne państwa członkowskie z wyjątkiem Niemiec i Austrii, A.W. pozostanie obywatelem Niemiec, T.J. obywatelem Austrii, natomiast J.P. i J.L. będą obywatelami kraju, w którym odbywa się seminarium.</w:t>
      </w:r>
    </w:p>
    <w:p w14:paraId="61489712" w14:textId="77777777" w:rsidR="00094A90" w:rsidRPr="00B074A0" w:rsidRDefault="00094A90" w:rsidP="006A27CE">
      <w:pPr>
        <w:pStyle w:val="Akapitzlist"/>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W przypadku </w:t>
      </w:r>
      <w:r>
        <w:rPr>
          <w:rFonts w:ascii="Times New Roman" w:hAnsi="Times New Roman"/>
          <w:sz w:val="28"/>
          <w:u w:val="single"/>
        </w:rPr>
        <w:t>Niemiec</w:t>
      </w:r>
      <w:r>
        <w:rPr>
          <w:rFonts w:ascii="Times New Roman" w:hAnsi="Times New Roman"/>
          <w:sz w:val="28"/>
        </w:rPr>
        <w:t xml:space="preserve">, jako organu sądowego wydającego nakaz, A.W. będzie obywatelem rumuńskim, zamieszkałym w Bukareszcie, Regina </w:t>
      </w:r>
      <w:proofErr w:type="spellStart"/>
      <w:r>
        <w:rPr>
          <w:rFonts w:ascii="Times New Roman" w:hAnsi="Times New Roman"/>
          <w:sz w:val="28"/>
        </w:rPr>
        <w:t>Elisabeta</w:t>
      </w:r>
      <w:proofErr w:type="spellEnd"/>
      <w:r>
        <w:rPr>
          <w:rFonts w:ascii="Times New Roman" w:hAnsi="Times New Roman"/>
          <w:sz w:val="28"/>
        </w:rPr>
        <w:t xml:space="preserve"> </w:t>
      </w:r>
      <w:proofErr w:type="spellStart"/>
      <w:r>
        <w:rPr>
          <w:rFonts w:ascii="Times New Roman" w:hAnsi="Times New Roman"/>
          <w:sz w:val="28"/>
        </w:rPr>
        <w:t>Boulevard</w:t>
      </w:r>
      <w:proofErr w:type="spellEnd"/>
      <w:r>
        <w:rPr>
          <w:rFonts w:ascii="Times New Roman" w:hAnsi="Times New Roman"/>
          <w:sz w:val="28"/>
        </w:rPr>
        <w:t xml:space="preserve">, kod pocztowy 050013, Rumunia, a J.P. i J.L. będą obywatelami niemieckimi). </w:t>
      </w:r>
    </w:p>
    <w:p w14:paraId="38D86E7F" w14:textId="77777777" w:rsidR="00094A90" w:rsidRPr="00B074A0" w:rsidRDefault="00094A90" w:rsidP="006A27CE">
      <w:pPr>
        <w:pStyle w:val="Akapitzlist"/>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W przypadku </w:t>
      </w:r>
      <w:r>
        <w:rPr>
          <w:rFonts w:ascii="Times New Roman" w:hAnsi="Times New Roman"/>
          <w:sz w:val="28"/>
          <w:u w:val="single"/>
        </w:rPr>
        <w:t>Austrii</w:t>
      </w:r>
      <w:r>
        <w:rPr>
          <w:rFonts w:ascii="Times New Roman" w:hAnsi="Times New Roman"/>
          <w:sz w:val="28"/>
        </w:rPr>
        <w:t xml:space="preserve">, jako organu wydającego nakaz, A.W. pozostanie taki jak w scenariuszu przypadku (obywatel niemiecki), a J.P. i J.L. będą obywatelami austriackimi. Świadek T.J. będzie obywatelem rumuńskim zamieszkałym w Bukareszcie, </w:t>
      </w:r>
      <w:proofErr w:type="spellStart"/>
      <w:r>
        <w:rPr>
          <w:rFonts w:ascii="Times New Roman" w:hAnsi="Times New Roman"/>
          <w:sz w:val="28"/>
        </w:rPr>
        <w:t>Unirii</w:t>
      </w:r>
      <w:proofErr w:type="spellEnd"/>
      <w:r>
        <w:rPr>
          <w:rFonts w:ascii="Times New Roman" w:hAnsi="Times New Roman"/>
          <w:sz w:val="28"/>
        </w:rPr>
        <w:t xml:space="preserve"> </w:t>
      </w:r>
      <w:proofErr w:type="spellStart"/>
      <w:r>
        <w:rPr>
          <w:rFonts w:ascii="Times New Roman" w:hAnsi="Times New Roman"/>
          <w:sz w:val="28"/>
        </w:rPr>
        <w:t>Boulevard</w:t>
      </w:r>
      <w:proofErr w:type="spellEnd"/>
      <w:r>
        <w:rPr>
          <w:rFonts w:ascii="Times New Roman" w:hAnsi="Times New Roman"/>
          <w:sz w:val="28"/>
        </w:rPr>
        <w:t>, kod pocztowy 040090, Rumunia.</w:t>
      </w:r>
    </w:p>
    <w:p w14:paraId="6213D99F" w14:textId="77777777" w:rsidR="00094A90" w:rsidRPr="00B074A0" w:rsidRDefault="00094A90" w:rsidP="006A27CE">
      <w:pPr>
        <w:pStyle w:val="Akapitzlist"/>
        <w:numPr>
          <w:ilvl w:val="0"/>
          <w:numId w:val="6"/>
        </w:numPr>
        <w:contextualSpacing w:val="0"/>
        <w:jc w:val="both"/>
        <w:rPr>
          <w:rFonts w:ascii="Times New Roman" w:hAnsi="Times New Roman" w:cs="Times New Roman"/>
          <w:bCs/>
          <w:sz w:val="28"/>
          <w:szCs w:val="24"/>
        </w:rPr>
      </w:pPr>
      <w:r>
        <w:rPr>
          <w:rFonts w:ascii="Times New Roman" w:hAnsi="Times New Roman"/>
          <w:sz w:val="28"/>
        </w:rPr>
        <w:lastRenderedPageBreak/>
        <w:t>W związku z tym organy wymienione w pytaniach 1, 2 i 4 zostaną odpowiednio zastąpione.</w:t>
      </w:r>
    </w:p>
    <w:p w14:paraId="2C10336C" w14:textId="77777777" w:rsidR="00094A90" w:rsidRPr="00B074A0" w:rsidRDefault="00094A90" w:rsidP="006A27CE">
      <w:pPr>
        <w:spacing w:line="240" w:lineRule="auto"/>
        <w:jc w:val="both"/>
        <w:rPr>
          <w:rFonts w:ascii="Times New Roman" w:hAnsi="Times New Roman" w:cs="Times New Roman"/>
          <w:iCs/>
          <w:sz w:val="28"/>
          <w:szCs w:val="28"/>
          <w:lang w:val="en-GB"/>
        </w:rPr>
      </w:pPr>
    </w:p>
    <w:bookmarkEnd w:id="4"/>
    <w:bookmarkEnd w:id="5"/>
    <w:p w14:paraId="1192019F" w14:textId="12300000" w:rsidR="00606182" w:rsidRPr="00B074A0" w:rsidRDefault="00094A90" w:rsidP="006A27CE">
      <w:pPr>
        <w:pStyle w:val="Test"/>
        <w:shd w:val="clear" w:color="auto" w:fill="DED888"/>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t>Część C. Podejście metodologiczne</w:t>
      </w:r>
    </w:p>
    <w:p w14:paraId="0745FFFA" w14:textId="77777777" w:rsidR="00271E8A" w:rsidRPr="00B074A0" w:rsidRDefault="00271E8A" w:rsidP="006A27CE">
      <w:pPr>
        <w:spacing w:line="240" w:lineRule="auto"/>
        <w:jc w:val="both"/>
        <w:rPr>
          <w:rFonts w:ascii="Times New Roman" w:hAnsi="Times New Roman" w:cs="Times New Roman"/>
          <w:sz w:val="28"/>
          <w:szCs w:val="28"/>
          <w:lang w:val="en-GB"/>
        </w:rPr>
      </w:pPr>
    </w:p>
    <w:p w14:paraId="106F9D8E" w14:textId="6E81B15A" w:rsidR="00271E8A" w:rsidRPr="00B074A0" w:rsidRDefault="00271E8A" w:rsidP="006A27CE">
      <w:pPr>
        <w:pStyle w:val="Akapitzlist"/>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Idea ogólna i główne tematy</w:t>
      </w:r>
    </w:p>
    <w:p w14:paraId="348F3A76" w14:textId="37057A8D" w:rsidR="00906A0B"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Ideą tego materiału szkoleniowego jest zapoznanie pracowników sądów z państw członkowskich z instrumentami prawnymi w zakresie współpracy sądowej dostępnymi na szczeblu europejskim w celu gromadzenia dowodów z zagranicy. </w:t>
      </w:r>
    </w:p>
    <w:p w14:paraId="7A9E53B4" w14:textId="683B51EE" w:rsidR="00BF084C"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Bardzo często pracownicy sądów napotykają trudności przy próbie określenia, a następnie zastosowania odpowiedniego instrumentu prawnego w ramach współpracy sądowej.</w:t>
      </w:r>
    </w:p>
    <w:p w14:paraId="2A3A96F6" w14:textId="1026AE9D" w:rsidR="002C3B49"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Po określeniu instrumentu prawnego, który ma zastosowanie, pracownicy sądu zajmują się zadaniami administracyjnymi, począwszy od wypełnienia formularza wymaganego na mocy instrumentu prawnego, poprzez wskazanie właściwego organu, do którego należy przesłać formularz, tłumaczenie formularza, aż po wnioskowanie o dodatkowe informacje dotyczące współpracy sądowej lub ich przesyłanie.</w:t>
      </w:r>
    </w:p>
    <w:p w14:paraId="3EED0FDF" w14:textId="0A839AAF" w:rsidR="00DB5DB3" w:rsidRPr="00B074A0" w:rsidRDefault="00B00321" w:rsidP="006A27CE">
      <w:pPr>
        <w:jc w:val="both"/>
        <w:rPr>
          <w:rFonts w:ascii="Times New Roman" w:hAnsi="Times New Roman" w:cs="Times New Roman"/>
          <w:sz w:val="28"/>
          <w:szCs w:val="28"/>
        </w:rPr>
      </w:pPr>
      <w:r>
        <w:rPr>
          <w:rFonts w:ascii="Times New Roman" w:hAnsi="Times New Roman"/>
          <w:sz w:val="28"/>
        </w:rPr>
        <w:t xml:space="preserve">Z tych powodów w ramach seminariów zostaną omówione następujące główne aspekty: </w:t>
      </w:r>
    </w:p>
    <w:p w14:paraId="306F212C" w14:textId="772258AF"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1.</w:t>
      </w:r>
      <w:r w:rsidR="00D7241D">
        <w:rPr>
          <w:rFonts w:ascii="Times New Roman" w:hAnsi="Times New Roman"/>
          <w:sz w:val="28"/>
        </w:rPr>
        <w:t xml:space="preserve"> </w:t>
      </w:r>
      <w:r>
        <w:rPr>
          <w:rFonts w:ascii="Times New Roman" w:hAnsi="Times New Roman"/>
          <w:sz w:val="28"/>
        </w:rPr>
        <w:t xml:space="preserve">Zakres stosowania dyrektywy Parlamentu Europejskiego i Rady 2014/41/UE z dnia 3 kwietnia 2014 r. w sprawie europejskiego nakazu dochodzeniowego w sprawach karnych. </w:t>
      </w:r>
    </w:p>
    <w:p w14:paraId="02DD4624" w14:textId="53F29D87"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2.</w:t>
      </w:r>
      <w:r w:rsidR="00D7241D">
        <w:rPr>
          <w:rFonts w:ascii="Times New Roman" w:hAnsi="Times New Roman"/>
          <w:sz w:val="28"/>
        </w:rPr>
        <w:t xml:space="preserve"> </w:t>
      </w:r>
      <w:r>
        <w:rPr>
          <w:rFonts w:ascii="Times New Roman" w:hAnsi="Times New Roman"/>
          <w:sz w:val="28"/>
        </w:rPr>
        <w:t xml:space="preserve">Zapoznanie się z ogólną strukturą dyrektywy 2014/41/UE. </w:t>
      </w:r>
    </w:p>
    <w:p w14:paraId="79102BD7" w14:textId="0A493080"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3.</w:t>
      </w:r>
      <w:r w:rsidR="00D7241D">
        <w:rPr>
          <w:rFonts w:ascii="Times New Roman" w:hAnsi="Times New Roman"/>
          <w:sz w:val="28"/>
        </w:rPr>
        <w:t xml:space="preserve"> </w:t>
      </w:r>
      <w:r>
        <w:rPr>
          <w:rFonts w:ascii="Times New Roman" w:hAnsi="Times New Roman"/>
          <w:sz w:val="28"/>
        </w:rPr>
        <w:t xml:space="preserve">Relacje między dyrektywą 2014/41/UE a innymi instrumentami prawnymi w zakresie współpracy sądowej dostępnymi na poziomie europejskim w celu gromadzenia dowodów z zagranicy. </w:t>
      </w:r>
    </w:p>
    <w:p w14:paraId="0E495283" w14:textId="1DBA6DFE" w:rsidR="00FA3CB2" w:rsidRPr="00B074A0" w:rsidRDefault="00FA3CB2" w:rsidP="006A27CE">
      <w:pPr>
        <w:spacing w:line="240" w:lineRule="auto"/>
        <w:jc w:val="both"/>
        <w:rPr>
          <w:rFonts w:ascii="Times New Roman" w:hAnsi="Times New Roman" w:cs="Times New Roman"/>
          <w:sz w:val="28"/>
          <w:szCs w:val="28"/>
        </w:rPr>
      </w:pPr>
      <w:r>
        <w:rPr>
          <w:rFonts w:ascii="Times New Roman" w:hAnsi="Times New Roman"/>
          <w:sz w:val="28"/>
        </w:rPr>
        <w:t>4.</w:t>
      </w:r>
      <w:r w:rsidR="00D7241D">
        <w:rPr>
          <w:rFonts w:ascii="Times New Roman" w:hAnsi="Times New Roman"/>
          <w:sz w:val="28"/>
        </w:rPr>
        <w:t xml:space="preserve"> </w:t>
      </w:r>
      <w:r>
        <w:rPr>
          <w:rFonts w:ascii="Times New Roman" w:hAnsi="Times New Roman"/>
          <w:sz w:val="28"/>
        </w:rPr>
        <w:t>Zapoznanie się z treścią END i uzyskanie wiedzy na temat wypełniania END.</w:t>
      </w:r>
    </w:p>
    <w:p w14:paraId="173694DC" w14:textId="684FDF5C" w:rsidR="008C7D83" w:rsidRPr="00B074A0" w:rsidRDefault="008C7D83" w:rsidP="006A27CE">
      <w:pPr>
        <w:spacing w:line="240" w:lineRule="auto"/>
        <w:jc w:val="both"/>
        <w:rPr>
          <w:rFonts w:ascii="Times New Roman" w:hAnsi="Times New Roman" w:cs="Times New Roman"/>
          <w:sz w:val="28"/>
          <w:szCs w:val="28"/>
        </w:rPr>
      </w:pPr>
      <w:r>
        <w:rPr>
          <w:rFonts w:ascii="Times New Roman" w:hAnsi="Times New Roman"/>
          <w:sz w:val="28"/>
        </w:rPr>
        <w:t>5. Uświadamianie uczestników o dalszym rozwoju sytuacji na poziomie europejskim w odniesieniu do dyrektywy 2014/41/UE (dostępność wytycznych, wspólnych notatek, raportów, w szczególności na stronie internetowej EJN).</w:t>
      </w:r>
    </w:p>
    <w:p w14:paraId="16DF1742" w14:textId="56C0513E" w:rsidR="00BF084C" w:rsidRPr="00B074A0" w:rsidRDefault="008C7D83" w:rsidP="006A27CE">
      <w:pPr>
        <w:spacing w:line="240" w:lineRule="auto"/>
        <w:jc w:val="both"/>
        <w:rPr>
          <w:rFonts w:ascii="Times New Roman" w:hAnsi="Times New Roman" w:cs="Times New Roman"/>
          <w:sz w:val="28"/>
          <w:szCs w:val="28"/>
        </w:rPr>
      </w:pPr>
      <w:r>
        <w:rPr>
          <w:rFonts w:ascii="Times New Roman" w:hAnsi="Times New Roman"/>
          <w:sz w:val="28"/>
        </w:rPr>
        <w:t xml:space="preserve">6. Szczegóły administracyjne: Jak powinien postąpić organ wydający nakaz w danej sytuacji? Gdzie organ wydający nakaz może znaleźć elektroniczną wersję formularzy przewidzianych w dyrektywie? Jaki język należy zastosować? Gdzie </w:t>
      </w:r>
      <w:r>
        <w:rPr>
          <w:rFonts w:ascii="Times New Roman" w:hAnsi="Times New Roman"/>
          <w:sz w:val="28"/>
        </w:rPr>
        <w:lastRenderedPageBreak/>
        <w:t>organ wydający nakaz może znaleźć właściwy organ z państwa członkowskiego wykonującego nakaz, do którego należy skierować wniosek?</w:t>
      </w:r>
      <w:r w:rsidR="00D7241D">
        <w:rPr>
          <w:rFonts w:ascii="Times New Roman" w:hAnsi="Times New Roman"/>
          <w:sz w:val="28"/>
        </w:rPr>
        <w:t xml:space="preserve"> </w:t>
      </w:r>
    </w:p>
    <w:p w14:paraId="7363F020" w14:textId="338B900F" w:rsidR="00D90A7E" w:rsidRPr="00B074A0" w:rsidRDefault="00D90A7E" w:rsidP="006A27CE">
      <w:pPr>
        <w:rPr>
          <w:rFonts w:ascii="Times New Roman" w:hAnsi="Times New Roman" w:cs="Times New Roman"/>
          <w:sz w:val="28"/>
          <w:szCs w:val="28"/>
        </w:rPr>
      </w:pPr>
    </w:p>
    <w:p w14:paraId="24FBF9F3" w14:textId="5923DDDE" w:rsidR="00271E8A" w:rsidRPr="00B074A0" w:rsidRDefault="00271E8A" w:rsidP="006A27CE">
      <w:pPr>
        <w:pStyle w:val="Akapitzlist"/>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Grupy robocze i struktura seminarium</w:t>
      </w:r>
    </w:p>
    <w:p w14:paraId="0BAB2823" w14:textId="4A737015" w:rsidR="000B1031" w:rsidRPr="00B074A0" w:rsidRDefault="000B1031" w:rsidP="00BA38D7">
      <w:pPr>
        <w:spacing w:line="240" w:lineRule="auto"/>
        <w:jc w:val="both"/>
        <w:rPr>
          <w:rFonts w:ascii="Times New Roman" w:hAnsi="Times New Roman" w:cs="Times New Roman"/>
          <w:sz w:val="28"/>
          <w:szCs w:val="28"/>
        </w:rPr>
      </w:pPr>
      <w:r>
        <w:rPr>
          <w:rFonts w:ascii="Times New Roman" w:hAnsi="Times New Roman"/>
          <w:sz w:val="28"/>
        </w:rPr>
        <w:t xml:space="preserve">Seminarium rozpocznie się od krótkiej </w:t>
      </w:r>
      <w:r>
        <w:rPr>
          <w:rFonts w:ascii="Times New Roman" w:hAnsi="Times New Roman"/>
          <w:b/>
          <w:i/>
          <w:sz w:val="28"/>
        </w:rPr>
        <w:t>prezentacji</w:t>
      </w:r>
      <w:r>
        <w:rPr>
          <w:rFonts w:ascii="Times New Roman" w:hAnsi="Times New Roman"/>
          <w:sz w:val="28"/>
        </w:rPr>
        <w:t xml:space="preserve"> (Power point) podkreślającej istotne cechy dyrektywy 2014/41/UE dotyczącej END – relacja z innymi instrumentami prawnymi (w szczególności instrumentami wzajemnej pomocy prawnej dotyczącymi gromadzenia dowodów), definicje, zakres, przekazywanie END, uznawanie i wykonywanie, podstawy odmowy, środki alternatywne, terminy, środki odwoławcze, odroczenie, obowiązek informowania, relacja z innymi instrumentami prawnymi</w:t>
      </w:r>
      <w:r>
        <w:rPr>
          <w:rFonts w:ascii="Times New Roman" w:hAnsi="Times New Roman"/>
          <w:b/>
          <w:sz w:val="28"/>
        </w:rPr>
        <w:t xml:space="preserve"> (ok. 20 min</w:t>
      </w:r>
      <w:r>
        <w:rPr>
          <w:rFonts w:ascii="Times New Roman" w:hAnsi="Times New Roman"/>
          <w:sz w:val="28"/>
        </w:rPr>
        <w:t xml:space="preserve">). </w:t>
      </w:r>
    </w:p>
    <w:p w14:paraId="2C96AC81" w14:textId="45109A06" w:rsidR="000B1031" w:rsidRPr="00BA38D7" w:rsidRDefault="00BA38D7" w:rsidP="00BA38D7">
      <w:pPr>
        <w:spacing w:line="240" w:lineRule="auto"/>
        <w:jc w:val="both"/>
        <w:rPr>
          <w:rFonts w:ascii="Times New Roman" w:hAnsi="Times New Roman" w:cs="Times New Roman"/>
          <w:sz w:val="28"/>
          <w:szCs w:val="28"/>
        </w:rPr>
      </w:pPr>
      <w:r>
        <w:rPr>
          <w:rFonts w:ascii="Times New Roman" w:hAnsi="Times New Roman"/>
          <w:sz w:val="28"/>
        </w:rPr>
        <w:t xml:space="preserve">Podczas prezentacji prowadzący zapoznaje uczestników z dokumentami: </w:t>
      </w:r>
      <w:hyperlink r:id="rId9" w:history="1">
        <w:r>
          <w:rPr>
            <w:rStyle w:val="Hipercze"/>
            <w:rFonts w:ascii="Times New Roman" w:hAnsi="Times New Roman"/>
            <w:i/>
            <w:sz w:val="28"/>
          </w:rPr>
          <w:t>Właściwe organy, akceptowane języki, sprawy pilne i zakres stosowania dyrektywy w sprawie END (aktualizacja 7 sierpnia 2019 r.)</w:t>
        </w:r>
      </w:hyperlink>
      <w:r>
        <w:rPr>
          <w:rFonts w:ascii="Times New Roman" w:hAnsi="Times New Roman"/>
          <w:sz w:val="28"/>
        </w:rPr>
        <w:t xml:space="preserve"> – oraz </w:t>
      </w:r>
      <w:hyperlink r:id="rId10" w:history="1">
        <w:r>
          <w:rPr>
            <w:rStyle w:val="Hipercze"/>
            <w:rFonts w:ascii="Times New Roman" w:hAnsi="Times New Roman"/>
            <w:i/>
            <w:sz w:val="28"/>
          </w:rPr>
          <w:t xml:space="preserve">Wytyczne dotyczące formularzy europejskiego nakazu dochodzeniowego </w:t>
        </w:r>
      </w:hyperlink>
      <w:r w:rsidR="00D7241D">
        <w:t xml:space="preserve"> </w:t>
      </w:r>
      <w:r>
        <w:rPr>
          <w:rFonts w:ascii="Times New Roman" w:hAnsi="Times New Roman"/>
          <w:sz w:val="28"/>
        </w:rPr>
        <w:t xml:space="preserve">– </w:t>
      </w:r>
      <w:r>
        <w:rPr>
          <w:rFonts w:ascii="Times New Roman" w:hAnsi="Times New Roman"/>
          <w:b/>
          <w:sz w:val="28"/>
        </w:rPr>
        <w:t>oba dostępne na stronie internetowej EJN</w:t>
      </w:r>
      <w:r>
        <w:rPr>
          <w:rFonts w:ascii="Times New Roman" w:hAnsi="Times New Roman"/>
          <w:sz w:val="28"/>
        </w:rPr>
        <w:t>.</w:t>
      </w:r>
    </w:p>
    <w:p w14:paraId="01AAB45A" w14:textId="15AD7B60" w:rsidR="004A74F4" w:rsidRPr="00B074A0" w:rsidRDefault="00AC03D8" w:rsidP="006A27CE">
      <w:pPr>
        <w:spacing w:line="240" w:lineRule="auto"/>
        <w:jc w:val="both"/>
        <w:rPr>
          <w:rFonts w:ascii="Times New Roman" w:hAnsi="Times New Roman" w:cs="Times New Roman"/>
          <w:sz w:val="28"/>
          <w:szCs w:val="28"/>
        </w:rPr>
      </w:pPr>
      <w:r>
        <w:rPr>
          <w:rFonts w:ascii="Times New Roman" w:hAnsi="Times New Roman"/>
          <w:b/>
          <w:i/>
          <w:sz w:val="28"/>
        </w:rPr>
        <w:t>Scenariusz przypadku nr 1</w:t>
      </w:r>
      <w:r>
        <w:rPr>
          <w:rFonts w:ascii="Times New Roman" w:hAnsi="Times New Roman"/>
          <w:sz w:val="28"/>
        </w:rPr>
        <w:t xml:space="preserve"> to możliwość zastosowania dyrektywy Parlamentu Europejskiego i Rady 2014/41/UE z dnia 3 kwietnia 2014 r. w sprawie europejskiego nakazu dochodzeniowego w sprawach karnych jako instrumentu gromadzenia dowodów z zagranicy oraz jej relacji z innymi instrumentami prawnymi współpracy sądowej dostępnymi na poziomie europejskim.</w:t>
      </w:r>
    </w:p>
    <w:p w14:paraId="12B8CB62" w14:textId="1C2C599C" w:rsidR="00F37D51" w:rsidRPr="00B074A0" w:rsidRDefault="00F37D51" w:rsidP="006A27CE">
      <w:pPr>
        <w:spacing w:line="240" w:lineRule="auto"/>
        <w:jc w:val="both"/>
        <w:rPr>
          <w:rFonts w:ascii="Times New Roman" w:hAnsi="Times New Roman" w:cs="Times New Roman"/>
          <w:sz w:val="28"/>
          <w:szCs w:val="28"/>
        </w:rPr>
      </w:pPr>
      <w:r>
        <w:rPr>
          <w:rFonts w:ascii="Times New Roman" w:hAnsi="Times New Roman"/>
          <w:sz w:val="28"/>
        </w:rPr>
        <w:t>Do rozwiązania praktycznych przypadków potrzebne będzie 4-6 laptopów z dostępem do Internetu.</w:t>
      </w:r>
    </w:p>
    <w:p w14:paraId="3401E796" w14:textId="5326231A" w:rsidR="000C1A5E"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Uczestnicy zostaną podzieleni na małe grupy po 5-8 osób i będą rozwiązywać pytania korzystając ze strony internetowej EJN oraz strony Biura Traktatowego Rady Europy.</w:t>
      </w:r>
    </w:p>
    <w:p w14:paraId="0932685C" w14:textId="7D381EB1" w:rsidR="004A74F4"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Prowadzący szkolenie pomoże uczestnikom zlokalizować każdy instrument prawny mający zastosowanie w danym przypadku, korzystając ze strony internetowej EJN i strony Biura Traktatowego Rady Europy.</w:t>
      </w:r>
    </w:p>
    <w:p w14:paraId="2CE480B0" w14:textId="2EED446D" w:rsidR="004474C0" w:rsidRPr="00B074A0" w:rsidRDefault="00434BF2" w:rsidP="006A27CE">
      <w:pPr>
        <w:spacing w:line="240" w:lineRule="auto"/>
        <w:jc w:val="both"/>
        <w:rPr>
          <w:rFonts w:ascii="Times New Roman" w:hAnsi="Times New Roman" w:cs="Times New Roman"/>
          <w:sz w:val="28"/>
          <w:szCs w:val="28"/>
        </w:rPr>
      </w:pPr>
      <w:r>
        <w:rPr>
          <w:rFonts w:ascii="Times New Roman" w:hAnsi="Times New Roman"/>
          <w:sz w:val="28"/>
          <w:u w:val="single"/>
        </w:rPr>
        <w:t xml:space="preserve">Rozwiązanie scenariusza </w:t>
      </w:r>
      <w:r w:rsidR="006D0F70">
        <w:rPr>
          <w:rFonts w:ascii="Times New Roman" w:hAnsi="Times New Roman"/>
          <w:sz w:val="28"/>
          <w:u w:val="single"/>
        </w:rPr>
        <w:t xml:space="preserve">przypadku </w:t>
      </w:r>
      <w:r>
        <w:rPr>
          <w:rFonts w:ascii="Times New Roman" w:hAnsi="Times New Roman"/>
          <w:sz w:val="28"/>
          <w:u w:val="single"/>
        </w:rPr>
        <w:t>1</w:t>
      </w:r>
      <w:r>
        <w:rPr>
          <w:rFonts w:ascii="Times New Roman" w:hAnsi="Times New Roman"/>
          <w:sz w:val="28"/>
        </w:rPr>
        <w:t xml:space="preserve"> powinno zająć </w:t>
      </w:r>
      <w:r>
        <w:rPr>
          <w:rFonts w:ascii="Times New Roman" w:hAnsi="Times New Roman"/>
          <w:b/>
          <w:sz w:val="28"/>
        </w:rPr>
        <w:t>ok. 20 minut</w:t>
      </w:r>
      <w:r>
        <w:rPr>
          <w:rFonts w:ascii="Times New Roman" w:hAnsi="Times New Roman"/>
          <w:sz w:val="28"/>
        </w:rPr>
        <w:t>.</w:t>
      </w:r>
    </w:p>
    <w:p w14:paraId="29C90B21" w14:textId="5B5E3A74" w:rsidR="00E5457B" w:rsidRPr="00B074A0" w:rsidRDefault="00E5457B" w:rsidP="006A27CE">
      <w:pPr>
        <w:spacing w:line="240" w:lineRule="auto"/>
        <w:jc w:val="both"/>
        <w:rPr>
          <w:rFonts w:ascii="Times New Roman" w:hAnsi="Times New Roman" w:cs="Times New Roman"/>
          <w:sz w:val="28"/>
          <w:szCs w:val="28"/>
        </w:rPr>
      </w:pPr>
      <w:r>
        <w:rPr>
          <w:rFonts w:ascii="Times New Roman" w:hAnsi="Times New Roman"/>
          <w:sz w:val="28"/>
          <w:u w:val="single"/>
        </w:rPr>
        <w:t>Rozwiązywanie</w:t>
      </w:r>
      <w:r>
        <w:rPr>
          <w:rFonts w:ascii="Times New Roman" w:hAnsi="Times New Roman"/>
          <w:b/>
          <w:sz w:val="28"/>
          <w:u w:val="single"/>
        </w:rPr>
        <w:t xml:space="preserve"> ćwiczeń</w:t>
      </w:r>
      <w:r w:rsidR="00D7241D">
        <w:rPr>
          <w:rFonts w:ascii="Times New Roman" w:hAnsi="Times New Roman"/>
          <w:sz w:val="28"/>
          <w:u w:val="single"/>
        </w:rPr>
        <w:t xml:space="preserve"> </w:t>
      </w:r>
      <w:r>
        <w:rPr>
          <w:rFonts w:ascii="Times New Roman" w:hAnsi="Times New Roman"/>
          <w:sz w:val="28"/>
        </w:rPr>
        <w:t xml:space="preserve">z punktu II powinno zająć </w:t>
      </w:r>
      <w:r>
        <w:rPr>
          <w:rFonts w:ascii="Times New Roman" w:hAnsi="Times New Roman"/>
          <w:b/>
          <w:sz w:val="28"/>
        </w:rPr>
        <w:t>ok. 15 minut</w:t>
      </w:r>
      <w:r>
        <w:rPr>
          <w:rFonts w:ascii="Times New Roman" w:hAnsi="Times New Roman"/>
          <w:sz w:val="28"/>
        </w:rPr>
        <w:t>, ponieważ mają one pomóc uczestnikom w zrozumieniu mechanizmu znajdowania właściwego organu wykonującego nakaz z innego państwa członkowskiego, który wykona END.</w:t>
      </w:r>
    </w:p>
    <w:p w14:paraId="798112E0" w14:textId="7BB42181" w:rsidR="005C2660" w:rsidRPr="00B074A0" w:rsidRDefault="00D7241D" w:rsidP="006A27CE">
      <w:pPr>
        <w:spacing w:line="240" w:lineRule="auto"/>
        <w:jc w:val="both"/>
        <w:rPr>
          <w:rFonts w:ascii="Times New Roman" w:hAnsi="Times New Roman" w:cs="Times New Roman"/>
          <w:sz w:val="28"/>
          <w:szCs w:val="28"/>
        </w:rPr>
      </w:pPr>
      <w:r>
        <w:rPr>
          <w:rFonts w:ascii="Times New Roman" w:hAnsi="Times New Roman"/>
          <w:sz w:val="28"/>
        </w:rPr>
        <w:t xml:space="preserve">W celu rozwiązania </w:t>
      </w:r>
      <w:bookmarkStart w:id="10" w:name="_GoBack"/>
      <w:r>
        <w:rPr>
          <w:rFonts w:ascii="Times New Roman" w:hAnsi="Times New Roman"/>
          <w:b/>
          <w:i/>
          <w:sz w:val="28"/>
        </w:rPr>
        <w:t>scenariusz</w:t>
      </w:r>
      <w:bookmarkEnd w:id="10"/>
      <w:r>
        <w:rPr>
          <w:rFonts w:ascii="Times New Roman" w:hAnsi="Times New Roman"/>
          <w:b/>
          <w:i/>
          <w:sz w:val="28"/>
        </w:rPr>
        <w:t>a przypadku 2</w:t>
      </w:r>
      <w:r>
        <w:rPr>
          <w:rFonts w:ascii="Times New Roman" w:hAnsi="Times New Roman"/>
          <w:sz w:val="28"/>
        </w:rPr>
        <w:t xml:space="preserve"> uczestnicy zostaną podzieleni na 4-6 grup po max. 5-8 uczestników każda, a każda grupa musi mieć dostęp do laptopa podłączonego do Internetu oraz </w:t>
      </w:r>
      <w:hyperlink r:id="rId11" w:history="1">
        <w:r>
          <w:rPr>
            <w:rStyle w:val="Hipercze"/>
            <w:rFonts w:ascii="Times New Roman" w:hAnsi="Times New Roman"/>
            <w:sz w:val="28"/>
          </w:rPr>
          <w:t>do formularza END w formacie .</w:t>
        </w:r>
        <w:proofErr w:type="spellStart"/>
        <w:r>
          <w:rPr>
            <w:rStyle w:val="Hipercze"/>
            <w:rFonts w:ascii="Times New Roman" w:hAnsi="Times New Roman"/>
            <w:sz w:val="28"/>
          </w:rPr>
          <w:t>doc</w:t>
        </w:r>
        <w:proofErr w:type="spellEnd"/>
      </w:hyperlink>
      <w:r>
        <w:rPr>
          <w:rStyle w:val="Hipercze"/>
          <w:rFonts w:ascii="Times New Roman" w:hAnsi="Times New Roman"/>
          <w:sz w:val="28"/>
        </w:rPr>
        <w:t xml:space="preserve"> </w:t>
      </w:r>
      <w:r>
        <w:rPr>
          <w:rFonts w:ascii="Times New Roman" w:hAnsi="Times New Roman"/>
          <w:sz w:val="28"/>
        </w:rPr>
        <w:lastRenderedPageBreak/>
        <w:t xml:space="preserve">dostępnej na stronie EJN (w miarę możliwości grupy powinny mieć zbliżony poziom wiedzy). </w:t>
      </w:r>
    </w:p>
    <w:p w14:paraId="2926F228" w14:textId="09721AF6" w:rsidR="0014132C" w:rsidRPr="00B074A0" w:rsidRDefault="00635B64" w:rsidP="006A27CE">
      <w:pPr>
        <w:spacing w:line="240" w:lineRule="auto"/>
        <w:jc w:val="both"/>
        <w:rPr>
          <w:rFonts w:ascii="Times New Roman" w:hAnsi="Times New Roman" w:cs="Times New Roman"/>
          <w:sz w:val="28"/>
          <w:szCs w:val="28"/>
        </w:rPr>
      </w:pPr>
      <w:r>
        <w:rPr>
          <w:rFonts w:ascii="Times New Roman" w:hAnsi="Times New Roman"/>
          <w:sz w:val="28"/>
        </w:rPr>
        <w:t>Po rozwiązaniu pytań 1-3, część grup (2-3 grupy) wypełni END zgodnie z wymogami pytania 4 (wypełni END dotyczące przeszukania domu), a pozostałe grupy (2-3 grupy) wypełnią END zgodnie z wymogami pytania 4 (wypełnią END dotyczące przesłuchania w formie wideokonferencji).</w:t>
      </w:r>
    </w:p>
    <w:p w14:paraId="44143D86" w14:textId="359F0324" w:rsidR="00D90A7E" w:rsidRPr="00B074A0" w:rsidRDefault="00D90A7E" w:rsidP="006A27CE">
      <w:pPr>
        <w:spacing w:line="240" w:lineRule="auto"/>
        <w:jc w:val="both"/>
        <w:rPr>
          <w:rFonts w:ascii="Times New Roman" w:hAnsi="Times New Roman" w:cs="Times New Roman"/>
          <w:sz w:val="28"/>
          <w:szCs w:val="28"/>
        </w:rPr>
      </w:pPr>
      <w:r>
        <w:rPr>
          <w:rFonts w:ascii="Times New Roman" w:hAnsi="Times New Roman"/>
          <w:sz w:val="28"/>
        </w:rPr>
        <w:t>Uczestnicy wypełniają END w formacie .</w:t>
      </w:r>
      <w:proofErr w:type="spellStart"/>
      <w:r>
        <w:rPr>
          <w:rFonts w:ascii="Times New Roman" w:hAnsi="Times New Roman"/>
          <w:sz w:val="28"/>
        </w:rPr>
        <w:t>doc</w:t>
      </w:r>
      <w:proofErr w:type="spellEnd"/>
      <w:r>
        <w:rPr>
          <w:rFonts w:ascii="Times New Roman" w:hAnsi="Times New Roman"/>
          <w:sz w:val="28"/>
        </w:rPr>
        <w:t xml:space="preserve">, zapisują je na komputerze, drukują i wysyłają do grupy, która wypełniła inny END </w:t>
      </w:r>
      <w:r>
        <w:rPr>
          <w:rFonts w:ascii="Times New Roman" w:hAnsi="Times New Roman"/>
          <w:sz w:val="28"/>
          <w:u w:val="single"/>
        </w:rPr>
        <w:t>(grupa wypełniająca END dotyczący przeszukania domu wysyła go do grupy, która wypełniła END dotyczący wideokonferencji i odwrotnie</w:t>
      </w:r>
      <w:r>
        <w:rPr>
          <w:rFonts w:ascii="Times New Roman" w:hAnsi="Times New Roman"/>
          <w:sz w:val="28"/>
        </w:rPr>
        <w:t>).</w:t>
      </w:r>
    </w:p>
    <w:p w14:paraId="15E0E2ED" w14:textId="6023A06A" w:rsidR="00D376F2" w:rsidRPr="00B074A0" w:rsidRDefault="00D376F2" w:rsidP="006A27CE">
      <w:pPr>
        <w:spacing w:line="240" w:lineRule="auto"/>
        <w:jc w:val="both"/>
        <w:rPr>
          <w:rFonts w:ascii="Times New Roman" w:hAnsi="Times New Roman" w:cs="Times New Roman"/>
          <w:sz w:val="28"/>
          <w:szCs w:val="28"/>
        </w:rPr>
      </w:pPr>
      <w:r>
        <w:rPr>
          <w:rFonts w:ascii="Times New Roman" w:hAnsi="Times New Roman"/>
          <w:sz w:val="28"/>
        </w:rPr>
        <w:t xml:space="preserve">Po wymianie formularzy każda z grup wyznaczy swojego przedstawiciela, który przedstawi ustalenia grupy, czy otrzymany END spełnia wymagania </w:t>
      </w:r>
      <w:r>
        <w:rPr>
          <w:rFonts w:ascii="Times New Roman" w:hAnsi="Times New Roman"/>
          <w:b/>
          <w:sz w:val="28"/>
        </w:rPr>
        <w:t>(ok. 10 min. na dyskusję</w:t>
      </w:r>
      <w:r>
        <w:rPr>
          <w:rFonts w:ascii="Times New Roman" w:hAnsi="Times New Roman"/>
          <w:sz w:val="28"/>
        </w:rPr>
        <w:t>).</w:t>
      </w:r>
    </w:p>
    <w:p w14:paraId="35154EA9" w14:textId="68E50072" w:rsidR="004474C0" w:rsidRPr="00B074A0" w:rsidRDefault="00A639EB" w:rsidP="006A27CE">
      <w:pPr>
        <w:spacing w:line="240" w:lineRule="auto"/>
        <w:jc w:val="both"/>
        <w:rPr>
          <w:rFonts w:ascii="Times New Roman" w:hAnsi="Times New Roman" w:cs="Times New Roman"/>
          <w:sz w:val="28"/>
          <w:szCs w:val="28"/>
        </w:rPr>
      </w:pPr>
      <w:r>
        <w:rPr>
          <w:rFonts w:ascii="Times New Roman" w:hAnsi="Times New Roman"/>
          <w:sz w:val="28"/>
        </w:rPr>
        <w:t xml:space="preserve">Rozwiązanie scenariusza nr 2 (łącznie z wypełnieniem END) powinno zająć </w:t>
      </w:r>
      <w:r>
        <w:rPr>
          <w:rFonts w:ascii="Times New Roman" w:hAnsi="Times New Roman"/>
          <w:b/>
          <w:sz w:val="28"/>
        </w:rPr>
        <w:t>ok. 2 godzin</w:t>
      </w:r>
      <w:r>
        <w:rPr>
          <w:rFonts w:ascii="Times New Roman" w:hAnsi="Times New Roman"/>
          <w:sz w:val="28"/>
        </w:rPr>
        <w:t>.</w:t>
      </w:r>
    </w:p>
    <w:p w14:paraId="4AD1C510" w14:textId="587B8A44" w:rsidR="00926F8F" w:rsidRPr="00B074A0" w:rsidRDefault="00926F8F" w:rsidP="006A27CE">
      <w:pPr>
        <w:spacing w:line="240" w:lineRule="auto"/>
        <w:jc w:val="both"/>
        <w:rPr>
          <w:rFonts w:ascii="Times New Roman" w:hAnsi="Times New Roman" w:cs="Times New Roman"/>
          <w:sz w:val="28"/>
          <w:szCs w:val="28"/>
        </w:rPr>
      </w:pPr>
      <w:r>
        <w:rPr>
          <w:rFonts w:ascii="Times New Roman" w:hAnsi="Times New Roman"/>
          <w:sz w:val="28"/>
        </w:rPr>
        <w:t xml:space="preserve">Wszelkie pozostałe pytania powinny być przedyskutowane na koniec na forum (przez </w:t>
      </w:r>
      <w:r>
        <w:rPr>
          <w:rFonts w:ascii="Times New Roman" w:hAnsi="Times New Roman"/>
          <w:b/>
          <w:sz w:val="28"/>
        </w:rPr>
        <w:t>ok. 5-10 minut</w:t>
      </w:r>
      <w:r>
        <w:rPr>
          <w:rFonts w:ascii="Times New Roman" w:hAnsi="Times New Roman"/>
          <w:sz w:val="28"/>
        </w:rPr>
        <w:t>).</w:t>
      </w:r>
    </w:p>
    <w:p w14:paraId="5E0CBF98" w14:textId="77777777" w:rsidR="00143774" w:rsidRPr="00B074A0" w:rsidRDefault="00143774" w:rsidP="006A27CE">
      <w:pPr>
        <w:spacing w:line="240" w:lineRule="auto"/>
        <w:jc w:val="both"/>
        <w:rPr>
          <w:rFonts w:ascii="Times New Roman" w:hAnsi="Times New Roman" w:cs="Times New Roman"/>
          <w:sz w:val="28"/>
          <w:szCs w:val="28"/>
          <w:lang w:val="en-GB"/>
        </w:rPr>
      </w:pPr>
    </w:p>
    <w:p w14:paraId="71B09CF1" w14:textId="3E17152C" w:rsidR="00271E8A" w:rsidRPr="00B074A0" w:rsidRDefault="00271E8A" w:rsidP="006A27CE">
      <w:pPr>
        <w:pStyle w:val="Akapitzlist"/>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Materiały dodatkowe</w:t>
      </w:r>
    </w:p>
    <w:p w14:paraId="06B3B95E" w14:textId="56136A05" w:rsidR="005C2660" w:rsidRPr="00B074A0" w:rsidRDefault="00531E4A" w:rsidP="006A27CE">
      <w:pPr>
        <w:jc w:val="both"/>
        <w:rPr>
          <w:rFonts w:ascii="Times New Roman" w:hAnsi="Times New Roman" w:cs="Times New Roman"/>
          <w:sz w:val="28"/>
          <w:szCs w:val="28"/>
        </w:rPr>
      </w:pPr>
      <w:r>
        <w:rPr>
          <w:rFonts w:ascii="Times New Roman" w:hAnsi="Times New Roman"/>
          <w:sz w:val="28"/>
        </w:rPr>
        <w:t>Wszyscy uczestnicy otrzymają kopię dyrektywy Parlamentu Europejskiego i Rady 2014/41/UE z dnia 3 kwietnia 2014 r. w sprawie europejskiego nakazu dochodzeniowego w sprawach karnych oraz formularz END. Uczestnicy przyniosą lub będą mieli dostęp do przepisów krajowych wdrażających dyrektywę 2014/41/UE. Ponadto każda z grup będzie miała wydrukowaną wersję END w formacie .doc.</w:t>
      </w:r>
    </w:p>
    <w:p w14:paraId="4A8AE16E" w14:textId="28C0DC06" w:rsidR="00271E8A" w:rsidRPr="00B074A0" w:rsidRDefault="005C2660" w:rsidP="006A27CE">
      <w:pPr>
        <w:rPr>
          <w:rFonts w:ascii="Times New Roman" w:hAnsi="Times New Roman" w:cs="Times New Roman"/>
          <w:sz w:val="28"/>
          <w:szCs w:val="28"/>
        </w:rPr>
      </w:pPr>
      <w:r>
        <w:br w:type="page"/>
      </w:r>
    </w:p>
    <w:p w14:paraId="0E63C4C4" w14:textId="659EC154" w:rsidR="00FE258B" w:rsidRPr="00B074A0" w:rsidRDefault="005C2660" w:rsidP="006A27CE">
      <w:pPr>
        <w:pStyle w:val="Test"/>
        <w:shd w:val="clear" w:color="auto" w:fill="DED888"/>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lastRenderedPageBreak/>
        <w:t>Część D. Rozwiązania</w:t>
      </w:r>
    </w:p>
    <w:p w14:paraId="3DABF315" w14:textId="23018B89" w:rsidR="00606182" w:rsidRPr="00B074A0" w:rsidRDefault="00606182" w:rsidP="006A27CE">
      <w:pPr>
        <w:spacing w:line="240" w:lineRule="auto"/>
        <w:jc w:val="both"/>
        <w:rPr>
          <w:rFonts w:ascii="Times New Roman" w:hAnsi="Times New Roman" w:cs="Times New Roman"/>
          <w:b/>
          <w:bCs/>
          <w:sz w:val="28"/>
          <w:szCs w:val="28"/>
          <w:lang w:val="en-GB"/>
        </w:rPr>
      </w:pPr>
    </w:p>
    <w:p w14:paraId="0D52DD51" w14:textId="21E3B668" w:rsidR="00FE258B" w:rsidRPr="00B074A0" w:rsidRDefault="005C2660" w:rsidP="006A27CE">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Scenariusz przypadku 1</w:t>
      </w:r>
    </w:p>
    <w:p w14:paraId="0FCD4831" w14:textId="48F93543" w:rsidR="00FE258B" w:rsidRPr="00B074A0" w:rsidRDefault="00FE258B" w:rsidP="006A27CE">
      <w:pPr>
        <w:spacing w:line="240" w:lineRule="auto"/>
        <w:jc w:val="both"/>
        <w:rPr>
          <w:rFonts w:ascii="Times New Roman" w:hAnsi="Times New Roman" w:cs="Times New Roman"/>
          <w:b/>
          <w:bCs/>
          <w:sz w:val="28"/>
          <w:szCs w:val="28"/>
          <w:lang w:val="en-GB"/>
        </w:rPr>
      </w:pPr>
    </w:p>
    <w:p w14:paraId="5D021085" w14:textId="1938CBFF" w:rsidR="0074138D" w:rsidRPr="00B074A0" w:rsidRDefault="003757ED" w:rsidP="006A27CE">
      <w:pPr>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 xml:space="preserve">P1: </w:t>
      </w:r>
      <w:r>
        <w:rPr>
          <w:rFonts w:ascii="Times New Roman" w:hAnsi="Times New Roman"/>
          <w:i/>
          <w:color w:val="2F5496" w:themeColor="accent1" w:themeShade="BF"/>
          <w:sz w:val="28"/>
        </w:rPr>
        <w:t>Jaki instrument prawny współpracy sądowej jest dostępny dla rumuńskiego prokuratora w celu gromadzenia dowodów z zagranicy</w:t>
      </w:r>
      <w:r>
        <w:rPr>
          <w:rFonts w:ascii="Times New Roman" w:hAnsi="Times New Roman"/>
          <w:color w:val="2F5496" w:themeColor="accent1" w:themeShade="BF"/>
          <w:sz w:val="28"/>
        </w:rPr>
        <w:t>?</w:t>
      </w:r>
    </w:p>
    <w:p w14:paraId="4CCA5F03" w14:textId="5675290B"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 xml:space="preserve">W naszym przypadku instrumentem prawnym mającym zastosowanie jest </w:t>
      </w:r>
      <w:bookmarkStart w:id="11" w:name="_Hlk33110149"/>
      <w:bookmarkStart w:id="12" w:name="_Hlk33091143"/>
      <w:r>
        <w:rPr>
          <w:rFonts w:ascii="Times New Roman" w:hAnsi="Times New Roman"/>
          <w:i/>
          <w:sz w:val="28"/>
        </w:rPr>
        <w:t>Dyrektywa Parlamentu Europejskiego i Rady 2014/41/UE z dnia 3 kwietnia 2014 r. w sprawie europejskiego nakazu dochodzeniowego w sprawach karnych</w:t>
      </w:r>
      <w:r w:rsidR="00BA1EDF" w:rsidRPr="00B074A0">
        <w:rPr>
          <w:rStyle w:val="Odwoanieprzypisudolnego"/>
          <w:rFonts w:ascii="Times New Roman" w:hAnsi="Times New Roman" w:cs="Times New Roman"/>
          <w:i/>
          <w:iCs/>
          <w:sz w:val="28"/>
          <w:szCs w:val="28"/>
          <w:lang w:val="en-GB"/>
        </w:rPr>
        <w:footnoteReference w:id="1"/>
      </w:r>
      <w:bookmarkEnd w:id="11"/>
      <w:r>
        <w:rPr>
          <w:rFonts w:ascii="Times New Roman" w:hAnsi="Times New Roman"/>
          <w:i/>
          <w:sz w:val="28"/>
        </w:rPr>
        <w:t xml:space="preserve"> (dalej dyrektywa w sprawie END)</w:t>
      </w:r>
      <w:bookmarkEnd w:id="12"/>
      <w:r>
        <w:rPr>
          <w:rFonts w:ascii="Times New Roman" w:hAnsi="Times New Roman"/>
          <w:sz w:val="28"/>
        </w:rPr>
        <w:t>, której termin transpozycji upłynął 22 maja 2017 roku.</w:t>
      </w:r>
    </w:p>
    <w:p w14:paraId="09568D0E" w14:textId="31A0BBB9"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Zgodnie z art. 1 ust. 1 wyżej wymienionej dyrektywy europejski nakaz dochodzeniowy (END) to orzeczenie sądowe, które zostało wydane lub zatwierdzone przez organ sądowy państwa członkowskiego („państwo wydające nakaz”), aby w innym państwie członkowskim („państwo wykonujące nakaz”) przeprowadzić jedną lub kilka konkretnych czynności dochodzeniowych w celu uzyskania materiału dowodowego zgodnie z niniejszą dyrektywą.</w:t>
      </w:r>
    </w:p>
    <w:p w14:paraId="6F3D0C3E" w14:textId="4341DE32"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 xml:space="preserve">Aby mieć pewność, że ten instrument współpracy sądowej ma pełne zastosowanie w odniesieniu do trzech pozostałych krajów uczestniczących we współpracy sądowej, prokurator rumuński sprawdzi </w:t>
      </w:r>
      <w:r>
        <w:rPr>
          <w:rFonts w:ascii="Times New Roman" w:hAnsi="Times New Roman"/>
          <w:i/>
          <w:sz w:val="28"/>
        </w:rPr>
        <w:t>stan wdrożenia</w:t>
      </w:r>
      <w:r>
        <w:rPr>
          <w:rFonts w:ascii="Times New Roman" w:hAnsi="Times New Roman"/>
          <w:sz w:val="28"/>
        </w:rPr>
        <w:t xml:space="preserve"> dyrektywy w sprawie END przez państwa członkowskie, dostępny w europejskiej sieci sądowej (zwanej dalej EJN).</w:t>
      </w:r>
    </w:p>
    <w:p w14:paraId="6BDDBA61" w14:textId="0677C672" w:rsidR="00996993" w:rsidRPr="00B8587F" w:rsidRDefault="00F00EA7" w:rsidP="006A27CE">
      <w:pPr>
        <w:spacing w:line="240" w:lineRule="auto"/>
        <w:jc w:val="both"/>
        <w:rPr>
          <w:rFonts w:ascii="Times New Roman" w:hAnsi="Times New Roman" w:cs="Times New Roman"/>
          <w:sz w:val="28"/>
          <w:szCs w:val="28"/>
        </w:rPr>
      </w:pPr>
      <w:r>
        <w:rPr>
          <w:rFonts w:ascii="Times New Roman" w:hAnsi="Times New Roman"/>
          <w:sz w:val="28"/>
        </w:rPr>
        <w:t xml:space="preserve">Stan wdrożenia dyrektywy w sprawie END można znaleźć na stronie internetowej EJN – </w:t>
      </w:r>
      <w:hyperlink r:id="rId12" w:history="1">
        <w:r>
          <w:rPr>
            <w:rStyle w:val="Hipercze"/>
            <w:rFonts w:ascii="Times New Roman" w:hAnsi="Times New Roman"/>
            <w:sz w:val="28"/>
          </w:rPr>
          <w:t>www.ejn-crimjust.europa.eu</w:t>
        </w:r>
      </w:hyperlink>
      <w:r>
        <w:rPr>
          <w:rFonts w:ascii="Times New Roman" w:hAnsi="Times New Roman"/>
          <w:sz w:val="28"/>
        </w:rPr>
        <w:t xml:space="preserve"> w sekcji </w:t>
      </w:r>
      <w:hyperlink r:id="rId13" w:history="1">
        <w:r>
          <w:rPr>
            <w:rStyle w:val="Hipercze"/>
            <w:rFonts w:ascii="Times New Roman" w:hAnsi="Times New Roman"/>
            <w:sz w:val="28"/>
          </w:rPr>
          <w:t>Instrumenty prawne UE w zakresie współpracy sądowej</w:t>
        </w:r>
      </w:hyperlink>
      <w:r>
        <w:rPr>
          <w:rFonts w:ascii="Times New Roman" w:hAnsi="Times New Roman"/>
          <w:i/>
          <w:sz w:val="28"/>
        </w:rPr>
        <w:t>.</w:t>
      </w:r>
      <w:r>
        <w:rPr>
          <w:rFonts w:ascii="Times New Roman" w:hAnsi="Times New Roman"/>
          <w:sz w:val="28"/>
        </w:rPr>
        <w:t xml:space="preserve"> W dalszej części tabeli znajduje się sekcja </w:t>
      </w:r>
      <w:hyperlink r:id="rId14" w:history="1">
        <w:r>
          <w:rPr>
            <w:rStyle w:val="Hipercze"/>
            <w:rFonts w:ascii="Times New Roman" w:hAnsi="Times New Roman"/>
            <w:i/>
            <w:sz w:val="28"/>
          </w:rPr>
          <w:t>Stan wdrożenia dyrektywy</w:t>
        </w:r>
      </w:hyperlink>
      <w:r>
        <w:rPr>
          <w:rFonts w:ascii="Times New Roman" w:hAnsi="Times New Roman"/>
          <w:sz w:val="28"/>
        </w:rPr>
        <w:t xml:space="preserve"> gdzie możemy sprawdzić, czy interesujący nas kraj dokonał transpozycji dyrektywy w sprawie END.</w:t>
      </w:r>
      <w:r w:rsidR="00D7241D">
        <w:rPr>
          <w:rFonts w:ascii="Times New Roman" w:hAnsi="Times New Roman"/>
          <w:sz w:val="28"/>
        </w:rPr>
        <w:t xml:space="preserve"> </w:t>
      </w:r>
      <w:r>
        <w:rPr>
          <w:rFonts w:ascii="Times New Roman" w:hAnsi="Times New Roman"/>
          <w:sz w:val="28"/>
        </w:rPr>
        <w:t xml:space="preserve"> </w:t>
      </w:r>
    </w:p>
    <w:p w14:paraId="76038AEA" w14:textId="3486DD9F" w:rsidR="00507A84" w:rsidRPr="00B074A0" w:rsidRDefault="00E4356B" w:rsidP="006A27CE">
      <w:pPr>
        <w:spacing w:line="240" w:lineRule="auto"/>
        <w:jc w:val="both"/>
        <w:rPr>
          <w:rFonts w:ascii="Times New Roman" w:hAnsi="Times New Roman" w:cs="Times New Roman"/>
          <w:sz w:val="28"/>
          <w:szCs w:val="28"/>
        </w:rPr>
      </w:pPr>
      <w:r>
        <w:rPr>
          <w:rFonts w:ascii="Times New Roman" w:hAnsi="Times New Roman"/>
          <w:sz w:val="28"/>
        </w:rPr>
        <w:t>Rumunia, Austria, Polska i Bułgaria dokonały transpozycji dyrektywy w sprawie END, co oznacza, że w naszej sprawie organ sądowy wykorzysta ten instrument prawny w celu uzyskania dowodów.</w:t>
      </w:r>
    </w:p>
    <w:p w14:paraId="3DA5797B" w14:textId="7D6A5B5D" w:rsidR="003835C2" w:rsidRPr="00B074A0" w:rsidRDefault="00E90F4D" w:rsidP="00287E92">
      <w:pPr>
        <w:spacing w:line="240" w:lineRule="auto"/>
        <w:jc w:val="both"/>
        <w:rPr>
          <w:rFonts w:ascii="Times New Roman" w:hAnsi="Times New Roman" w:cs="Times New Roman"/>
          <w:sz w:val="28"/>
          <w:szCs w:val="28"/>
        </w:rPr>
      </w:pPr>
      <w:r>
        <w:rPr>
          <w:rFonts w:ascii="Times New Roman" w:hAnsi="Times New Roman"/>
          <w:sz w:val="28"/>
        </w:rPr>
        <w:t xml:space="preserve">Może pojawić się pytanie, dlaczego nie zastosować w tym przypadku innego sądowego instrumentu prawnego </w:t>
      </w:r>
      <w:r>
        <w:rPr>
          <w:rFonts w:ascii="Times New Roman" w:hAnsi="Times New Roman"/>
          <w:i/>
          <w:sz w:val="28"/>
        </w:rPr>
        <w:t xml:space="preserve">(np. </w:t>
      </w:r>
      <w:hyperlink r:id="rId15" w:history="1">
        <w:r>
          <w:rPr>
            <w:rStyle w:val="Hipercze"/>
            <w:rFonts w:ascii="Times New Roman" w:hAnsi="Times New Roman"/>
            <w:sz w:val="28"/>
          </w:rPr>
          <w:t xml:space="preserve">Konwencja z dnia 29 maja 2000 r. o </w:t>
        </w:r>
        <w:r>
          <w:rPr>
            <w:rStyle w:val="Hipercze"/>
            <w:rFonts w:ascii="Times New Roman" w:hAnsi="Times New Roman"/>
            <w:sz w:val="28"/>
          </w:rPr>
          <w:lastRenderedPageBreak/>
          <w:t>wzajemnej pomocy w sprawach karnych pomiędzy państwami członkowskimi UE</w:t>
        </w:r>
        <w:r w:rsidR="007C270D" w:rsidRPr="00B074A0">
          <w:rPr>
            <w:rStyle w:val="Odwoanieprzypisudolnego"/>
            <w:rFonts w:ascii="Times New Roman" w:hAnsi="Times New Roman" w:cs="Times New Roman"/>
            <w:iCs/>
            <w:color w:val="0563C1" w:themeColor="hyperlink"/>
            <w:sz w:val="28"/>
            <w:szCs w:val="28"/>
            <w:u w:val="single"/>
            <w:lang w:val="en-GB"/>
          </w:rPr>
          <w:footnoteReference w:id="2"/>
        </w:r>
      </w:hyperlink>
      <w:r>
        <w:rPr>
          <w:rFonts w:ascii="Times New Roman" w:hAnsi="Times New Roman"/>
          <w:sz w:val="28"/>
        </w:rPr>
        <w:t>).</w:t>
      </w:r>
    </w:p>
    <w:p w14:paraId="550DB5DF" w14:textId="0C2258A8" w:rsidR="00B8587F" w:rsidRDefault="00B8587F">
      <w:pPr>
        <w:rPr>
          <w:rFonts w:ascii="Times New Roman" w:hAnsi="Times New Roman" w:cs="Times New Roman"/>
          <w:sz w:val="28"/>
          <w:szCs w:val="28"/>
        </w:rPr>
      </w:pPr>
    </w:p>
    <w:p w14:paraId="1F63465C" w14:textId="1ED19902" w:rsidR="003509D4" w:rsidRPr="00B074A0" w:rsidRDefault="003509D4" w:rsidP="006A27CE">
      <w:pPr>
        <w:spacing w:line="240" w:lineRule="auto"/>
        <w:jc w:val="both"/>
        <w:rPr>
          <w:rFonts w:ascii="Times New Roman" w:hAnsi="Times New Roman" w:cs="Times New Roman"/>
          <w:sz w:val="28"/>
          <w:szCs w:val="28"/>
        </w:rPr>
      </w:pPr>
      <w:r>
        <w:rPr>
          <w:rFonts w:ascii="Times New Roman" w:hAnsi="Times New Roman"/>
          <w:sz w:val="28"/>
        </w:rPr>
        <w:t xml:space="preserve">W tym względzie należy zauważyć, że zgodnie z art. 34 ust. 1 dyrektywy w sprawie END przewidziano, że </w:t>
      </w:r>
      <w:r>
        <w:rPr>
          <w:rFonts w:ascii="Times New Roman" w:hAnsi="Times New Roman"/>
          <w:i/>
          <w:sz w:val="28"/>
        </w:rPr>
        <w:t>dyrektywa ta zastępuje od dnia 22 maja 2017</w:t>
      </w:r>
      <w:r>
        <w:rPr>
          <w:rFonts w:ascii="Times New Roman" w:hAnsi="Times New Roman"/>
          <w:sz w:val="28"/>
        </w:rPr>
        <w:t>r.</w:t>
      </w:r>
      <w:r w:rsidR="00D7241D">
        <w:rPr>
          <w:rFonts w:ascii="Times New Roman" w:hAnsi="Times New Roman"/>
          <w:sz w:val="28"/>
        </w:rPr>
        <w:t xml:space="preserve"> </w:t>
      </w:r>
      <w:r>
        <w:rPr>
          <w:rFonts w:ascii="Times New Roman" w:hAnsi="Times New Roman"/>
          <w:b/>
          <w:i/>
          <w:sz w:val="28"/>
        </w:rPr>
        <w:t>odpowiednie postanowienia</w:t>
      </w:r>
      <w:r>
        <w:rPr>
          <w:rFonts w:ascii="Times New Roman" w:hAnsi="Times New Roman"/>
          <w:i/>
          <w:sz w:val="28"/>
        </w:rPr>
        <w:t xml:space="preserve"> </w:t>
      </w:r>
      <w:r>
        <w:rPr>
          <w:rFonts w:ascii="Times New Roman" w:hAnsi="Times New Roman"/>
          <w:sz w:val="28"/>
        </w:rPr>
        <w:t xml:space="preserve">następujących konwencji mających zastosowanie między państwami członkowskimi związanymi niniejszą dyrektywą: </w:t>
      </w:r>
    </w:p>
    <w:p w14:paraId="3E8F0965" w14:textId="15C9445D"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a) Europejska konwencja o pomocy prawnej w sprawach karnych Rady Europy z dnia 20 kwietnia 1959 r., jak również jej dwa protokoły dodatkowe, oraz umowy dwustronne zawarte zgodnie z jej art. 26</w:t>
      </w:r>
      <w:r>
        <w:rPr>
          <w:rFonts w:ascii="Times New Roman" w:hAnsi="Times New Roman"/>
          <w:sz w:val="28"/>
        </w:rPr>
        <w:t>,</w:t>
      </w:r>
      <w:r>
        <w:rPr>
          <w:rFonts w:ascii="Times New Roman" w:hAnsi="Times New Roman"/>
          <w:i/>
          <w:sz w:val="28"/>
        </w:rPr>
        <w:t xml:space="preserve"> </w:t>
      </w:r>
    </w:p>
    <w:p w14:paraId="10683698" w14:textId="56FF6DB3"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 xml:space="preserve">b) Konwencja wykonawcza do Układu z </w:t>
      </w:r>
      <w:proofErr w:type="spellStart"/>
      <w:r>
        <w:rPr>
          <w:rFonts w:ascii="Times New Roman" w:hAnsi="Times New Roman"/>
          <w:i/>
          <w:sz w:val="28"/>
        </w:rPr>
        <w:t>Schengen</w:t>
      </w:r>
      <w:proofErr w:type="spellEnd"/>
      <w:r>
        <w:rPr>
          <w:rFonts w:ascii="Times New Roman" w:hAnsi="Times New Roman"/>
          <w:i/>
          <w:sz w:val="28"/>
        </w:rPr>
        <w:t xml:space="preserve">, </w:t>
      </w:r>
    </w:p>
    <w:p w14:paraId="6E140658" w14:textId="709FAAF9"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c) Konwencja o wzajemnej pomocy w sprawach karnych pomiędzy państwami członkowskimi UE oraz jej protokół.</w:t>
      </w:r>
    </w:p>
    <w:p w14:paraId="3094BA6F" w14:textId="3C9DCF01" w:rsidR="00507A84" w:rsidRPr="00B074A0" w:rsidRDefault="00AE0910" w:rsidP="006A27CE">
      <w:pPr>
        <w:spacing w:line="240" w:lineRule="auto"/>
        <w:jc w:val="both"/>
        <w:rPr>
          <w:rFonts w:ascii="Times New Roman" w:hAnsi="Times New Roman" w:cs="Times New Roman"/>
          <w:sz w:val="28"/>
          <w:szCs w:val="28"/>
        </w:rPr>
      </w:pPr>
      <w:r>
        <w:rPr>
          <w:rFonts w:ascii="Times New Roman" w:hAnsi="Times New Roman"/>
          <w:sz w:val="28"/>
        </w:rPr>
        <w:t xml:space="preserve">Zatem jako państwa członkowskie zaangażowane we współpracę sądową będą one stosować dyrektywę w sprawie END ze szkodą dla innych dostępnych instrumentów prawnych dotyczących gromadzenia materiału dowodowego. </w:t>
      </w:r>
    </w:p>
    <w:p w14:paraId="386EFFDA" w14:textId="63869B74" w:rsidR="00AE0910" w:rsidRPr="00B074A0" w:rsidRDefault="00920479" w:rsidP="006A27CE">
      <w:pPr>
        <w:spacing w:line="240" w:lineRule="auto"/>
        <w:jc w:val="both"/>
        <w:rPr>
          <w:rFonts w:ascii="Times New Roman" w:hAnsi="Times New Roman" w:cs="Times New Roman"/>
          <w:sz w:val="28"/>
          <w:szCs w:val="28"/>
        </w:rPr>
      </w:pPr>
      <w:r>
        <w:rPr>
          <w:rFonts w:ascii="Times New Roman" w:hAnsi="Times New Roman"/>
          <w:sz w:val="28"/>
        </w:rPr>
        <w:t xml:space="preserve">Brzmienie dyrektywy w sprawie END zostało </w:t>
      </w:r>
      <w:r>
        <w:rPr>
          <w:rFonts w:ascii="Times New Roman" w:hAnsi="Times New Roman"/>
          <w:i/>
          <w:sz w:val="28"/>
        </w:rPr>
        <w:t>zastąpione innym</w:t>
      </w:r>
      <w:r>
        <w:rPr>
          <w:rFonts w:ascii="Times New Roman" w:hAnsi="Times New Roman"/>
          <w:sz w:val="28"/>
        </w:rPr>
        <w:t>, aby podkreślić, że państwo członkowskie UE ma obowiązek stosowania przepisów Unii Europejskiej w tej konkretnej dziedzinie, nie pozostawiając zainteresowanym państwom członkowskim możliwości interpretacji i alternatyw.</w:t>
      </w:r>
    </w:p>
    <w:p w14:paraId="0CE6CC2D" w14:textId="1CAFEA44" w:rsidR="00AE0910" w:rsidRPr="00B074A0" w:rsidRDefault="00507A84" w:rsidP="006A27CE">
      <w:pPr>
        <w:spacing w:line="240" w:lineRule="auto"/>
        <w:jc w:val="both"/>
        <w:rPr>
          <w:rFonts w:ascii="Times New Roman" w:hAnsi="Times New Roman" w:cs="Times New Roman"/>
          <w:i/>
          <w:iCs/>
          <w:sz w:val="28"/>
          <w:szCs w:val="28"/>
        </w:rPr>
      </w:pPr>
      <w:r>
        <w:rPr>
          <w:rFonts w:ascii="Times New Roman" w:hAnsi="Times New Roman"/>
          <w:sz w:val="28"/>
        </w:rPr>
        <w:t xml:space="preserve">Ponadto art. 34 ust. 3 dyrektywy w sprawie END stanowi, że </w:t>
      </w:r>
      <w:r>
        <w:rPr>
          <w:rFonts w:ascii="Times New Roman" w:hAnsi="Times New Roman"/>
          <w:i/>
          <w:sz w:val="28"/>
        </w:rPr>
        <w:t>oprócz niniejszej dyrektywy państwa członkowskie mogą zawierać lub nadal stosować po dniu 22 maja 2017 r. dwustronne lub wielostronne umowy lub porozumienia z innymi państwami członkowskimi</w:t>
      </w:r>
      <w:r>
        <w:rPr>
          <w:rFonts w:ascii="Times New Roman" w:hAnsi="Times New Roman"/>
          <w:sz w:val="28"/>
        </w:rPr>
        <w:t xml:space="preserve"> </w:t>
      </w:r>
      <w:r>
        <w:rPr>
          <w:rFonts w:ascii="Times New Roman" w:hAnsi="Times New Roman"/>
          <w:i/>
          <w:sz w:val="28"/>
        </w:rPr>
        <w:t>tylko w takim zakresie, w jakim umożliwiają one dalsze wzmocnienie celów niniejszej dyrektywy i przyczyniają się do uproszczenia lub dalszego ułatwienia procedur gromadzenia materiału dowodowego oraz pod warunkiem, że przestrzegany jest poziom gwarancji</w:t>
      </w:r>
      <w:r w:rsidR="002640EB">
        <w:rPr>
          <w:rFonts w:ascii="Times New Roman" w:hAnsi="Times New Roman"/>
          <w:i/>
          <w:sz w:val="28"/>
        </w:rPr>
        <w:t xml:space="preserve"> </w:t>
      </w:r>
      <w:r>
        <w:rPr>
          <w:rFonts w:ascii="Times New Roman" w:hAnsi="Times New Roman"/>
          <w:sz w:val="28"/>
        </w:rPr>
        <w:t>określony w niniejszej dyrektywie.</w:t>
      </w:r>
    </w:p>
    <w:p w14:paraId="548F34DC" w14:textId="54FDEEE7" w:rsidR="00E4356B" w:rsidRPr="00B074A0" w:rsidRDefault="001A572D" w:rsidP="00287E92">
      <w:pPr>
        <w:spacing w:line="240" w:lineRule="auto"/>
        <w:jc w:val="both"/>
        <w:rPr>
          <w:rFonts w:ascii="Times New Roman" w:hAnsi="Times New Roman" w:cs="Times New Roman"/>
          <w:sz w:val="28"/>
          <w:szCs w:val="28"/>
        </w:rPr>
      </w:pPr>
      <w:r>
        <w:rPr>
          <w:rFonts w:ascii="Times New Roman" w:hAnsi="Times New Roman"/>
          <w:sz w:val="28"/>
        </w:rPr>
        <w:t xml:space="preserve">Oczywiście zawieranie lub dalsze stosowanie dwustronnych lub wielostronnych umów lub porozumień z innymi państwami członkowskimi po 22 maja 2017 r. należy postrzegać wyłącznie w ścisłym związku z odpowiednimi przepisami dyrektywy w sprawie END, które mogą być </w:t>
      </w:r>
      <w:r>
        <w:rPr>
          <w:rFonts w:ascii="Times New Roman" w:hAnsi="Times New Roman"/>
          <w:i/>
          <w:sz w:val="28"/>
        </w:rPr>
        <w:t>dalej rozwijane</w:t>
      </w:r>
      <w:r>
        <w:rPr>
          <w:rFonts w:ascii="Times New Roman" w:hAnsi="Times New Roman"/>
          <w:sz w:val="28"/>
        </w:rPr>
        <w:t xml:space="preserve"> przez państwa członkowskie w ramach różnych umów lub porozumień, a nie w związku z konwencjami wymienionymi w art. 34 ust. 1 dyrektywy w sprawie END, które są odkładane na bok i nie mogą być stosowane w obszarze objętym dyrektywą, np. jeżeli państwa członkowskie uznają, że przepisy konwencji są lepsze, </w:t>
      </w:r>
      <w:r>
        <w:rPr>
          <w:rFonts w:ascii="Times New Roman" w:hAnsi="Times New Roman"/>
          <w:sz w:val="28"/>
        </w:rPr>
        <w:lastRenderedPageBreak/>
        <w:t>szybsze lub po prostu stanowią tradycję między zainteresowanymi państwami członkowskimi.</w:t>
      </w:r>
    </w:p>
    <w:p w14:paraId="4AFC87EB" w14:textId="23BB0640" w:rsidR="00B8587F" w:rsidRDefault="00B8587F">
      <w:pPr>
        <w:rPr>
          <w:rFonts w:ascii="Times New Roman" w:hAnsi="Times New Roman" w:cs="Times New Roman"/>
          <w:b/>
          <w:bCs/>
          <w:i/>
          <w:iCs/>
          <w:color w:val="2F5496" w:themeColor="accent1" w:themeShade="BF"/>
          <w:sz w:val="28"/>
          <w:szCs w:val="28"/>
        </w:rPr>
      </w:pPr>
    </w:p>
    <w:p w14:paraId="6F206B00" w14:textId="0A07094D" w:rsidR="0074138D" w:rsidRPr="00B074A0" w:rsidRDefault="00DC6A70" w:rsidP="006A27CE">
      <w:pPr>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P2: </w:t>
      </w:r>
      <w:r>
        <w:rPr>
          <w:rFonts w:ascii="Times New Roman" w:hAnsi="Times New Roman"/>
          <w:i/>
          <w:color w:val="2F5496" w:themeColor="accent1" w:themeShade="BF"/>
          <w:sz w:val="28"/>
        </w:rPr>
        <w:t>A jeśli świadek mieszka w Danii lub Irlandii</w:t>
      </w:r>
      <w:r>
        <w:rPr>
          <w:rFonts w:ascii="Times New Roman" w:hAnsi="Times New Roman"/>
          <w:color w:val="2F5496" w:themeColor="accent1" w:themeShade="BF"/>
          <w:sz w:val="28"/>
        </w:rPr>
        <w:t xml:space="preserve">? </w:t>
      </w:r>
      <w:r>
        <w:rPr>
          <w:rFonts w:ascii="Times New Roman" w:hAnsi="Times New Roman"/>
          <w:i/>
          <w:color w:val="2F5496" w:themeColor="accent1" w:themeShade="BF"/>
          <w:sz w:val="28"/>
        </w:rPr>
        <w:t xml:space="preserve">Czy ma to jakieś znaczenie dla instrumentu prawnego mającego zastosowanie w sprawie? </w:t>
      </w:r>
    </w:p>
    <w:p w14:paraId="47DE12B8" w14:textId="5567721C" w:rsidR="008C6563" w:rsidRPr="00B074A0" w:rsidRDefault="00DC6A70" w:rsidP="006A27CE">
      <w:pPr>
        <w:spacing w:line="240" w:lineRule="auto"/>
        <w:jc w:val="both"/>
        <w:rPr>
          <w:rFonts w:ascii="Times New Roman" w:hAnsi="Times New Roman" w:cs="Times New Roman"/>
          <w:i/>
          <w:iCs/>
          <w:sz w:val="28"/>
          <w:szCs w:val="28"/>
        </w:rPr>
      </w:pPr>
      <w:r>
        <w:rPr>
          <w:rFonts w:ascii="Times New Roman" w:hAnsi="Times New Roman"/>
          <w:sz w:val="28"/>
        </w:rPr>
        <w:t xml:space="preserve">Jeżeli chodzi o Danię, w </w:t>
      </w:r>
      <w:r>
        <w:rPr>
          <w:rFonts w:ascii="Times New Roman" w:hAnsi="Times New Roman"/>
          <w:i/>
          <w:sz w:val="28"/>
        </w:rPr>
        <w:t>motywie (45)</w:t>
      </w:r>
      <w:r>
        <w:rPr>
          <w:rFonts w:ascii="Times New Roman" w:hAnsi="Times New Roman"/>
          <w:sz w:val="28"/>
        </w:rPr>
        <w:t xml:space="preserve"> dyrektywy w sprawie END przewidziano, że zgodnie z </w:t>
      </w:r>
      <w:r>
        <w:rPr>
          <w:rFonts w:ascii="Times New Roman" w:hAnsi="Times New Roman"/>
          <w:i/>
          <w:sz w:val="28"/>
        </w:rPr>
        <w:t xml:space="preserve">art. 1 i 2 Protokołu nr 22 w sprawie stanowiska Danii, załączonego do TUE i TFUE, Dania </w:t>
      </w:r>
      <w:r>
        <w:rPr>
          <w:rFonts w:ascii="Times New Roman" w:hAnsi="Times New Roman"/>
          <w:b/>
          <w:i/>
          <w:sz w:val="28"/>
        </w:rPr>
        <w:t xml:space="preserve">nie uczestniczy </w:t>
      </w:r>
      <w:r>
        <w:rPr>
          <w:rFonts w:ascii="Times New Roman" w:hAnsi="Times New Roman"/>
          <w:i/>
          <w:sz w:val="28"/>
        </w:rPr>
        <w:t>w przyjęciu niniejszej dyrektywy, nie jest nią</w:t>
      </w:r>
      <w:r>
        <w:rPr>
          <w:rFonts w:ascii="Times New Roman" w:hAnsi="Times New Roman"/>
          <w:b/>
          <w:i/>
          <w:sz w:val="28"/>
        </w:rPr>
        <w:t xml:space="preserve"> związana </w:t>
      </w:r>
      <w:r>
        <w:rPr>
          <w:rFonts w:ascii="Times New Roman" w:hAnsi="Times New Roman"/>
          <w:sz w:val="28"/>
        </w:rPr>
        <w:t>ani jej nie stosuje.</w:t>
      </w:r>
    </w:p>
    <w:p w14:paraId="78330C69" w14:textId="6940D223" w:rsidR="00D51541" w:rsidRPr="00B074A0" w:rsidRDefault="00D51541" w:rsidP="006A27CE">
      <w:pPr>
        <w:spacing w:line="240" w:lineRule="auto"/>
        <w:jc w:val="both"/>
        <w:rPr>
          <w:rFonts w:ascii="Times New Roman" w:hAnsi="Times New Roman" w:cs="Times New Roman"/>
          <w:i/>
          <w:iCs/>
          <w:sz w:val="28"/>
          <w:szCs w:val="28"/>
        </w:rPr>
      </w:pPr>
      <w:r>
        <w:rPr>
          <w:rFonts w:ascii="Times New Roman" w:hAnsi="Times New Roman"/>
          <w:sz w:val="28"/>
        </w:rPr>
        <w:t xml:space="preserve">Ponadto w odniesieniu do </w:t>
      </w:r>
      <w:r>
        <w:rPr>
          <w:rFonts w:ascii="Times New Roman" w:hAnsi="Times New Roman"/>
          <w:b/>
          <w:sz w:val="28"/>
        </w:rPr>
        <w:t>Irlandii</w:t>
      </w:r>
      <w:r>
        <w:rPr>
          <w:rFonts w:ascii="Times New Roman" w:hAnsi="Times New Roman"/>
          <w:sz w:val="28"/>
        </w:rPr>
        <w:t>,</w:t>
      </w:r>
      <w:r>
        <w:rPr>
          <w:rFonts w:ascii="Times New Roman" w:hAnsi="Times New Roman"/>
          <w:i/>
          <w:sz w:val="28"/>
        </w:rPr>
        <w:t xml:space="preserve"> </w:t>
      </w:r>
      <w:r>
        <w:rPr>
          <w:rFonts w:ascii="Times New Roman" w:hAnsi="Times New Roman"/>
          <w:sz w:val="28"/>
        </w:rPr>
        <w:t xml:space="preserve">w </w:t>
      </w:r>
      <w:r>
        <w:rPr>
          <w:rFonts w:ascii="Times New Roman" w:hAnsi="Times New Roman"/>
          <w:i/>
          <w:sz w:val="28"/>
        </w:rPr>
        <w:t>motywie (44)</w:t>
      </w:r>
      <w:r>
        <w:rPr>
          <w:rFonts w:ascii="Times New Roman" w:hAnsi="Times New Roman"/>
          <w:sz w:val="28"/>
        </w:rPr>
        <w:t xml:space="preserve"> dyrektywy w sprawie END przewidziano, że zgodnie z </w:t>
      </w:r>
      <w:r>
        <w:rPr>
          <w:rFonts w:ascii="Times New Roman" w:hAnsi="Times New Roman"/>
          <w:i/>
          <w:sz w:val="28"/>
        </w:rPr>
        <w:t xml:space="preserve">art. 1 i 2 oraz art. 4a ust. 1 Protokołu nr 21 w sprawie stanowiska Zjednoczonego Królestwa i Irlandii w odniesieniu do przestrzeni wolności, bezpieczeństwa i sprawiedliwości, załączonego do TUE i TFUE, oraz bez uszczerbku dla art. 4 tego protokołu, </w:t>
      </w:r>
      <w:r>
        <w:rPr>
          <w:rFonts w:ascii="Times New Roman" w:hAnsi="Times New Roman"/>
          <w:b/>
          <w:i/>
          <w:sz w:val="28"/>
        </w:rPr>
        <w:t xml:space="preserve">Irlandia nie uczestniczy </w:t>
      </w:r>
      <w:r>
        <w:rPr>
          <w:rFonts w:ascii="Times New Roman" w:hAnsi="Times New Roman"/>
          <w:sz w:val="28"/>
        </w:rPr>
        <w:t xml:space="preserve">w </w:t>
      </w:r>
      <w:r>
        <w:rPr>
          <w:rFonts w:ascii="Times New Roman" w:hAnsi="Times New Roman"/>
          <w:i/>
          <w:sz w:val="28"/>
        </w:rPr>
        <w:t>przyjęciu niniejszej dyrektywy, nie jest nią</w:t>
      </w:r>
      <w:r>
        <w:rPr>
          <w:rFonts w:ascii="Times New Roman" w:hAnsi="Times New Roman"/>
          <w:b/>
          <w:i/>
          <w:sz w:val="28"/>
        </w:rPr>
        <w:t xml:space="preserve"> związana </w:t>
      </w:r>
      <w:r>
        <w:rPr>
          <w:rFonts w:ascii="Times New Roman" w:hAnsi="Times New Roman"/>
          <w:sz w:val="28"/>
        </w:rPr>
        <w:t>ani jej nie stosuje.</w:t>
      </w:r>
    </w:p>
    <w:p w14:paraId="346D4946" w14:textId="2A450873" w:rsidR="001C1B53" w:rsidRPr="00B074A0" w:rsidRDefault="00D51541" w:rsidP="006A27CE">
      <w:pPr>
        <w:spacing w:line="240" w:lineRule="auto"/>
        <w:jc w:val="both"/>
        <w:rPr>
          <w:rFonts w:ascii="Times New Roman" w:hAnsi="Times New Roman" w:cs="Times New Roman"/>
          <w:sz w:val="28"/>
          <w:szCs w:val="28"/>
        </w:rPr>
      </w:pPr>
      <w:r>
        <w:rPr>
          <w:rFonts w:ascii="Times New Roman" w:hAnsi="Times New Roman"/>
          <w:sz w:val="28"/>
        </w:rPr>
        <w:t xml:space="preserve">Oznacza to, że dyrektywa Parlamentu Europejskiego i Rady 2014/41/UE z dnia 3 kwietnia 2014 r. w sprawie europejskiego nakazu dochodzeniowego w sprawach karnych </w:t>
      </w:r>
      <w:r>
        <w:rPr>
          <w:rFonts w:ascii="Times New Roman" w:hAnsi="Times New Roman"/>
          <w:sz w:val="28"/>
          <w:u w:val="single"/>
        </w:rPr>
        <w:t>nie ma zastosowania do Danii i Irlandii</w:t>
      </w:r>
      <w:r>
        <w:rPr>
          <w:rFonts w:ascii="Times New Roman" w:hAnsi="Times New Roman"/>
          <w:sz w:val="28"/>
        </w:rPr>
        <w:t>, a właściwy organ wnioskujących państw członkowskich musi szukać innych</w:t>
      </w:r>
      <w:r>
        <w:rPr>
          <w:rFonts w:ascii="Times New Roman" w:hAnsi="Times New Roman"/>
          <w:i/>
          <w:sz w:val="28"/>
        </w:rPr>
        <w:t xml:space="preserve"> instrumentów prawnych dotyczących współpracy w sprawach karnych</w:t>
      </w:r>
      <w:r>
        <w:rPr>
          <w:rFonts w:ascii="Times New Roman" w:hAnsi="Times New Roman"/>
          <w:sz w:val="28"/>
        </w:rPr>
        <w:t xml:space="preserve"> w celu zgromadzenia wnioskowanego materiału dowodowego.</w:t>
      </w:r>
    </w:p>
    <w:p w14:paraId="4581DE07" w14:textId="77777777" w:rsidR="0002091E" w:rsidRPr="00B074A0" w:rsidRDefault="00D51541" w:rsidP="006A27CE">
      <w:pPr>
        <w:spacing w:line="240" w:lineRule="auto"/>
        <w:jc w:val="both"/>
        <w:rPr>
          <w:rFonts w:ascii="Times New Roman" w:hAnsi="Times New Roman" w:cs="Times New Roman"/>
          <w:sz w:val="28"/>
          <w:szCs w:val="28"/>
        </w:rPr>
      </w:pPr>
      <w:r>
        <w:rPr>
          <w:rFonts w:ascii="Times New Roman" w:hAnsi="Times New Roman"/>
          <w:sz w:val="28"/>
        </w:rPr>
        <w:t xml:space="preserve">W naszym konkretnym przypadku, </w:t>
      </w:r>
      <w:bookmarkStart w:id="13" w:name="_Hlk32934663"/>
      <w:bookmarkStart w:id="14" w:name="_Hlk50906871"/>
      <w:r>
        <w:rPr>
          <w:rFonts w:ascii="Times New Roman" w:hAnsi="Times New Roman"/>
          <w:b/>
          <w:sz w:val="28"/>
        </w:rPr>
        <w:t>Dania</w:t>
      </w:r>
      <w:r>
        <w:rPr>
          <w:rFonts w:ascii="Times New Roman" w:hAnsi="Times New Roman"/>
          <w:sz w:val="28"/>
        </w:rPr>
        <w:t xml:space="preserve"> i </w:t>
      </w:r>
      <w:r>
        <w:rPr>
          <w:rFonts w:ascii="Times New Roman" w:hAnsi="Times New Roman"/>
          <w:b/>
          <w:sz w:val="28"/>
        </w:rPr>
        <w:t>Rumunia</w:t>
      </w:r>
      <w:r>
        <w:rPr>
          <w:rFonts w:ascii="Times New Roman" w:hAnsi="Times New Roman"/>
          <w:sz w:val="28"/>
        </w:rPr>
        <w:t xml:space="preserve"> są stronami </w:t>
      </w:r>
      <w:hyperlink r:id="rId16" w:history="1">
        <w:r>
          <w:rPr>
            <w:rStyle w:val="Hipercze"/>
            <w:rFonts w:ascii="Times New Roman" w:hAnsi="Times New Roman"/>
            <w:sz w:val="28"/>
          </w:rPr>
          <w:t>Konwencji z dnia 29 maja 2000 r. o wzajemnej pomocy w sprawach karnych pomiędzy państwami członkowskimi UE</w:t>
        </w:r>
      </w:hyperlink>
      <w:r>
        <w:rPr>
          <w:rStyle w:val="Hipercze"/>
          <w:rFonts w:ascii="Times New Roman" w:hAnsi="Times New Roman"/>
          <w:sz w:val="28"/>
          <w:u w:val="none"/>
        </w:rPr>
        <w:t xml:space="preserve"> </w:t>
      </w:r>
      <w:r>
        <w:rPr>
          <w:rFonts w:ascii="Times New Roman" w:hAnsi="Times New Roman"/>
          <w:sz w:val="28"/>
        </w:rPr>
        <w:t xml:space="preserve">i ratyfikowały ją, co oznacza, że konwencja ma pełne zastosowanie (przesłuchanie w formie wideokonferencji jest przewidziane w art. 10 konwencji z 2000 r.). </w:t>
      </w:r>
      <w:bookmarkEnd w:id="13"/>
    </w:p>
    <w:bookmarkEnd w:id="14"/>
    <w:p w14:paraId="2006CB25" w14:textId="3F55653B" w:rsidR="00D51541" w:rsidRPr="00B074A0" w:rsidRDefault="003E0BC8" w:rsidP="006A27CE">
      <w:pPr>
        <w:spacing w:line="240" w:lineRule="auto"/>
        <w:jc w:val="both"/>
        <w:rPr>
          <w:rFonts w:ascii="Times New Roman" w:hAnsi="Times New Roman" w:cs="Times New Roman"/>
          <w:sz w:val="28"/>
          <w:szCs w:val="28"/>
        </w:rPr>
      </w:pPr>
      <w:r>
        <w:rPr>
          <w:rFonts w:ascii="Times New Roman" w:hAnsi="Times New Roman"/>
          <w:sz w:val="28"/>
        </w:rPr>
        <w:t>Należy pamiętać, że wszystkie postanowienia konwencji z 2000 r. będą miały zastosowanie między dwoma zaangażowanymi państwami</w:t>
      </w:r>
      <w:r>
        <w:rPr>
          <w:rFonts w:ascii="Times New Roman" w:hAnsi="Times New Roman"/>
          <w:i/>
          <w:sz w:val="28"/>
        </w:rPr>
        <w:t xml:space="preserve"> (np.</w:t>
      </w:r>
      <w:r>
        <w:rPr>
          <w:rFonts w:ascii="Times New Roman" w:hAnsi="Times New Roman"/>
          <w:sz w:val="28"/>
        </w:rPr>
        <w:t xml:space="preserve"> </w:t>
      </w:r>
      <w:r>
        <w:rPr>
          <w:rFonts w:ascii="Times New Roman" w:hAnsi="Times New Roman"/>
          <w:i/>
          <w:iCs/>
          <w:sz w:val="28"/>
        </w:rPr>
        <w:t>konwencja nie przewiduje konieczności stosowania urzędowego formularza, nie przewiduje terminów wykonania wniosku</w:t>
      </w:r>
      <w:r>
        <w:rPr>
          <w:rFonts w:ascii="Times New Roman" w:hAnsi="Times New Roman"/>
          <w:sz w:val="28"/>
        </w:rPr>
        <w:t>).</w:t>
      </w:r>
    </w:p>
    <w:p w14:paraId="731A1931" w14:textId="35513855" w:rsidR="00C474AE" w:rsidRPr="00B074A0" w:rsidRDefault="006A3BEC" w:rsidP="006A27CE">
      <w:pPr>
        <w:jc w:val="both"/>
        <w:rPr>
          <w:rFonts w:ascii="Times New Roman" w:hAnsi="Times New Roman" w:cs="Times New Roman"/>
          <w:sz w:val="28"/>
          <w:szCs w:val="28"/>
        </w:rPr>
      </w:pPr>
      <w:r>
        <w:rPr>
          <w:rFonts w:ascii="Times New Roman" w:hAnsi="Times New Roman"/>
          <w:sz w:val="28"/>
        </w:rPr>
        <w:t xml:space="preserve">Pełna tabela szczegółów ratyfikacji Konwencji z dnia 29 maja 2000 r. o wzajemnej pomocy w sprawach karnych pomiędzy państwami członkowskimi UE jest dostępna </w:t>
      </w:r>
      <w:hyperlink r:id="rId17" w:history="1">
        <w:r>
          <w:rPr>
            <w:rStyle w:val="Hipercze"/>
            <w:rFonts w:ascii="Times New Roman" w:hAnsi="Times New Roman"/>
            <w:sz w:val="28"/>
          </w:rPr>
          <w:t>na stronie internetowej EJN:</w:t>
        </w:r>
      </w:hyperlink>
    </w:p>
    <w:p w14:paraId="361B238E" w14:textId="1E3E4CB0" w:rsidR="00F03FB0" w:rsidRPr="00C250CC" w:rsidRDefault="00F03FB0" w:rsidP="006A27CE">
      <w:pPr>
        <w:spacing w:line="240" w:lineRule="auto"/>
        <w:jc w:val="both"/>
        <w:rPr>
          <w:rFonts w:ascii="Times New Roman" w:hAnsi="Times New Roman" w:cs="Times New Roman"/>
          <w:color w:val="FF0000"/>
          <w:sz w:val="28"/>
          <w:szCs w:val="28"/>
        </w:rPr>
      </w:pPr>
      <w:r>
        <w:rPr>
          <w:rFonts w:ascii="Times New Roman" w:hAnsi="Times New Roman"/>
          <w:b/>
          <w:sz w:val="28"/>
        </w:rPr>
        <w:t>Irlandia</w:t>
      </w:r>
      <w:r>
        <w:rPr>
          <w:rFonts w:ascii="Times New Roman" w:hAnsi="Times New Roman"/>
          <w:sz w:val="28"/>
        </w:rPr>
        <w:t xml:space="preserve"> i </w:t>
      </w:r>
      <w:r>
        <w:rPr>
          <w:rFonts w:ascii="Times New Roman" w:hAnsi="Times New Roman"/>
          <w:b/>
          <w:sz w:val="28"/>
        </w:rPr>
        <w:t xml:space="preserve">Rumunia </w:t>
      </w:r>
      <w:r>
        <w:rPr>
          <w:rFonts w:ascii="Times New Roman" w:hAnsi="Times New Roman"/>
          <w:sz w:val="28"/>
        </w:rPr>
        <w:t xml:space="preserve">są również stronami </w:t>
      </w:r>
      <w:hyperlink r:id="rId18" w:history="1">
        <w:r>
          <w:rPr>
            <w:rStyle w:val="Hipercze"/>
            <w:rFonts w:ascii="Times New Roman" w:hAnsi="Times New Roman"/>
            <w:sz w:val="28"/>
          </w:rPr>
          <w:t>Konwencji z dnia 29 maja 2000 r. o wzajemnej pomocy w sprawach karnych pomiędzy państwami członkowskimi UE</w:t>
        </w:r>
      </w:hyperlink>
      <w:r>
        <w:rPr>
          <w:rStyle w:val="Hipercze"/>
          <w:rFonts w:ascii="Times New Roman" w:hAnsi="Times New Roman"/>
          <w:sz w:val="28"/>
          <w:u w:val="none"/>
        </w:rPr>
        <w:t xml:space="preserve"> </w:t>
      </w:r>
      <w:r>
        <w:rPr>
          <w:rFonts w:ascii="Times New Roman" w:hAnsi="Times New Roman"/>
          <w:sz w:val="28"/>
        </w:rPr>
        <w:t xml:space="preserve">i ratyfikowały ją, co oznacza, że konwencja jest w pełni stosowana (przesłuchanie w formie wideokonferencji jest przewidziane w art. 10 </w:t>
      </w:r>
      <w:r>
        <w:rPr>
          <w:rFonts w:ascii="Times New Roman" w:hAnsi="Times New Roman"/>
          <w:sz w:val="28"/>
        </w:rPr>
        <w:lastRenderedPageBreak/>
        <w:t xml:space="preserve">konwencji z 2000 r.). Konwencja z 2000 r. wchodzi w życie w Irlandii z dniem </w:t>
      </w:r>
      <w:r>
        <w:rPr>
          <w:rFonts w:ascii="Times New Roman" w:hAnsi="Times New Roman"/>
          <w:color w:val="FF0000"/>
          <w:sz w:val="28"/>
        </w:rPr>
        <w:t xml:space="preserve">23.08.2020 </w:t>
      </w:r>
      <w:r>
        <w:rPr>
          <w:rFonts w:ascii="Times New Roman" w:hAnsi="Times New Roman"/>
          <w:sz w:val="28"/>
        </w:rPr>
        <w:t>r.</w:t>
      </w:r>
      <w:r>
        <w:rPr>
          <w:rFonts w:ascii="Times New Roman" w:hAnsi="Times New Roman"/>
          <w:color w:val="FF0000"/>
          <w:sz w:val="28"/>
        </w:rPr>
        <w:t xml:space="preserve"> </w:t>
      </w:r>
    </w:p>
    <w:p w14:paraId="7027C148" w14:textId="77777777" w:rsidR="002640EB" w:rsidRDefault="002640EB" w:rsidP="002640EB">
      <w:pPr>
        <w:rPr>
          <w:rFonts w:ascii="Times New Roman" w:hAnsi="Times New Roman"/>
          <w:b/>
          <w:i/>
          <w:color w:val="2F5496" w:themeColor="accent1" w:themeShade="BF"/>
          <w:sz w:val="28"/>
        </w:rPr>
      </w:pPr>
    </w:p>
    <w:p w14:paraId="44E0A224" w14:textId="5F8E4631" w:rsidR="0074138D" w:rsidRPr="00B074A0" w:rsidRDefault="0053012D" w:rsidP="002640EB">
      <w:pPr>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P3:</w:t>
      </w:r>
      <w:r>
        <w:rPr>
          <w:rFonts w:ascii="Times New Roman" w:hAnsi="Times New Roman"/>
          <w:i/>
          <w:color w:val="2F5496" w:themeColor="accent1" w:themeShade="BF"/>
          <w:sz w:val="28"/>
        </w:rPr>
        <w:t xml:space="preserve"> Co w przypadku, gdy prokurator chce wezwać świadka w Bułgarii w celu przesłuchania go w Rumunii? Czy dyrektywa 2014/41/UE będzie nadal obowiązywać?</w:t>
      </w:r>
    </w:p>
    <w:p w14:paraId="508DCE69" w14:textId="21E885AD"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Zgodnie z </w:t>
      </w:r>
      <w:r>
        <w:rPr>
          <w:rFonts w:ascii="Times New Roman" w:hAnsi="Times New Roman"/>
          <w:b/>
          <w:sz w:val="28"/>
        </w:rPr>
        <w:t>art. 1 ust. 1 dyrektywy w sprawie</w:t>
      </w:r>
      <w:r>
        <w:rPr>
          <w:rFonts w:ascii="Times New Roman" w:hAnsi="Times New Roman"/>
          <w:sz w:val="28"/>
        </w:rPr>
        <w:t xml:space="preserve"> </w:t>
      </w:r>
      <w:r>
        <w:rPr>
          <w:rFonts w:ascii="Times New Roman" w:hAnsi="Times New Roman"/>
          <w:i/>
          <w:sz w:val="28"/>
        </w:rPr>
        <w:t xml:space="preserve">europejskiego nakazu dochodzeniowego (END) to orzeczenie sądowe, które organ sądowy państwa członkowskiego („państwo wydające nakaz”) wydał lub zatwierdził, aby w innym państwie członkowskim („państwo wykonujące nakaz”) przeprowadzono jedną lub kilka konkretnych czynności dochodzeniowych w </w:t>
      </w:r>
      <w:r>
        <w:rPr>
          <w:rFonts w:ascii="Times New Roman" w:hAnsi="Times New Roman"/>
          <w:b/>
          <w:i/>
          <w:sz w:val="28"/>
        </w:rPr>
        <w:t>celu uzyskania materiału dowodowego</w:t>
      </w:r>
      <w:r>
        <w:rPr>
          <w:rFonts w:ascii="Times New Roman" w:hAnsi="Times New Roman"/>
          <w:i/>
          <w:sz w:val="28"/>
        </w:rPr>
        <w:t xml:space="preserve"> </w:t>
      </w:r>
      <w:r>
        <w:rPr>
          <w:rFonts w:ascii="Times New Roman" w:hAnsi="Times New Roman"/>
          <w:sz w:val="28"/>
        </w:rPr>
        <w:t>zgodnie z niniejszą dyrektywą.</w:t>
      </w:r>
    </w:p>
    <w:p w14:paraId="7BF7A521" w14:textId="75481291" w:rsidR="00493822" w:rsidRPr="00B074A0" w:rsidRDefault="002640EB" w:rsidP="006A27CE">
      <w:pPr>
        <w:spacing w:line="240" w:lineRule="auto"/>
        <w:jc w:val="both"/>
        <w:rPr>
          <w:rFonts w:ascii="Times New Roman" w:hAnsi="Times New Roman" w:cs="Times New Roman"/>
          <w:i/>
          <w:iCs/>
          <w:sz w:val="28"/>
          <w:szCs w:val="28"/>
        </w:rPr>
      </w:pPr>
      <w:r>
        <w:rPr>
          <w:rFonts w:ascii="Times New Roman" w:hAnsi="Times New Roman"/>
          <w:sz w:val="28"/>
        </w:rPr>
        <w:t>A</w:t>
      </w:r>
      <w:r w:rsidR="00493822">
        <w:rPr>
          <w:rFonts w:ascii="Times New Roman" w:hAnsi="Times New Roman"/>
          <w:sz w:val="28"/>
        </w:rPr>
        <w:t xml:space="preserve">rt. 3 stanowi, że </w:t>
      </w:r>
      <w:r w:rsidR="00493822">
        <w:rPr>
          <w:rFonts w:ascii="Times New Roman" w:hAnsi="Times New Roman"/>
          <w:b/>
          <w:bCs/>
          <w:i/>
          <w:sz w:val="28"/>
        </w:rPr>
        <w:t xml:space="preserve">END </w:t>
      </w:r>
      <w:r w:rsidR="00493822">
        <w:rPr>
          <w:rFonts w:ascii="Times New Roman" w:hAnsi="Times New Roman"/>
          <w:b/>
          <w:i/>
          <w:sz w:val="28"/>
        </w:rPr>
        <w:t>obejmuje wszelkie czynności dochodzeniowe</w:t>
      </w:r>
      <w:r w:rsidR="00D7241D">
        <w:rPr>
          <w:rFonts w:ascii="Times New Roman" w:hAnsi="Times New Roman"/>
          <w:i/>
          <w:sz w:val="28"/>
        </w:rPr>
        <w:t xml:space="preserve"> </w:t>
      </w:r>
      <w:r w:rsidR="00493822">
        <w:rPr>
          <w:rFonts w:ascii="Times New Roman" w:hAnsi="Times New Roman"/>
          <w:sz w:val="28"/>
        </w:rPr>
        <w:t xml:space="preserve">z wyjątkiem utworzenia wspólnego zespołu dochodzeniowo-śledczego i gromadzenia materiału </w:t>
      </w:r>
      <w:r w:rsidR="00493822">
        <w:rPr>
          <w:rFonts w:ascii="Times New Roman" w:hAnsi="Times New Roman"/>
          <w:i/>
          <w:sz w:val="28"/>
        </w:rPr>
        <w:t>dowodowego w ramach takiego zespołu, jak przewidziano w art. 13 Konwencji o wzajemnej pomocy w sprawach karnych pomiędzy państwami członkowskimi UE (1 ) („konwencji”) oraz w decyzji ramowej Rady 2002/465/</w:t>
      </w:r>
      <w:proofErr w:type="spellStart"/>
      <w:r w:rsidR="00493822">
        <w:rPr>
          <w:rFonts w:ascii="Times New Roman" w:hAnsi="Times New Roman"/>
          <w:i/>
          <w:sz w:val="28"/>
        </w:rPr>
        <w:t>WSiSW</w:t>
      </w:r>
      <w:proofErr w:type="spellEnd"/>
      <w:r w:rsidR="00493822">
        <w:rPr>
          <w:rFonts w:ascii="Times New Roman" w:hAnsi="Times New Roman"/>
          <w:i/>
          <w:sz w:val="28"/>
        </w:rPr>
        <w:t xml:space="preserve"> (2), nie tylko do celów stosowania odpowiednio art. 13 ust. 8 konwencji i art. 1 ust. 8 decyzji ramowej</w:t>
      </w:r>
    </w:p>
    <w:p w14:paraId="7B2C58A6" w14:textId="64D1BE99"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Jak widać, aby dyrektywa w sprawie END miała zastosowanie, organ sądowy musi wystąpić o wykonanie czynności dochodzeniowej w </w:t>
      </w:r>
      <w:r>
        <w:rPr>
          <w:rFonts w:ascii="Times New Roman" w:hAnsi="Times New Roman"/>
          <w:b/>
          <w:sz w:val="28"/>
        </w:rPr>
        <w:t>celu zgromadzenia materiału dowodowego</w:t>
      </w:r>
      <w:r>
        <w:rPr>
          <w:rFonts w:ascii="Times New Roman" w:hAnsi="Times New Roman"/>
          <w:sz w:val="28"/>
        </w:rPr>
        <w:t xml:space="preserve"> w innym zainteresowanym państwie członkowskim. </w:t>
      </w:r>
    </w:p>
    <w:p w14:paraId="0D2CFAB8" w14:textId="6EDF7CC6" w:rsidR="00FE258B" w:rsidRPr="00B074A0" w:rsidRDefault="00493822" w:rsidP="006A27CE">
      <w:pPr>
        <w:spacing w:line="240" w:lineRule="auto"/>
        <w:jc w:val="both"/>
        <w:rPr>
          <w:rFonts w:ascii="Times New Roman" w:hAnsi="Times New Roman" w:cs="Times New Roman"/>
          <w:b/>
          <w:bCs/>
          <w:i/>
          <w:iCs/>
          <w:sz w:val="28"/>
          <w:szCs w:val="28"/>
        </w:rPr>
      </w:pPr>
      <w:r>
        <w:rPr>
          <w:rFonts w:ascii="Times New Roman" w:hAnsi="Times New Roman"/>
          <w:sz w:val="28"/>
        </w:rPr>
        <w:t xml:space="preserve">Oczywiście, zgodnie z </w:t>
      </w:r>
      <w:r>
        <w:rPr>
          <w:rFonts w:ascii="Times New Roman" w:hAnsi="Times New Roman"/>
          <w:b/>
          <w:sz w:val="28"/>
        </w:rPr>
        <w:t xml:space="preserve">art. 1 ust. 2 dyrektywy w sprawie END, </w:t>
      </w:r>
      <w:r>
        <w:rPr>
          <w:rFonts w:ascii="Times New Roman" w:hAnsi="Times New Roman"/>
          <w:sz w:val="28"/>
        </w:rPr>
        <w:t xml:space="preserve">END </w:t>
      </w:r>
      <w:r>
        <w:rPr>
          <w:rFonts w:ascii="Times New Roman" w:hAnsi="Times New Roman"/>
          <w:i/>
          <w:sz w:val="28"/>
        </w:rPr>
        <w:t>można wydać także po to, by uzyskać materiał dowodowy</w:t>
      </w:r>
      <w:r>
        <w:rPr>
          <w:rFonts w:ascii="Times New Roman" w:hAnsi="Times New Roman"/>
          <w:sz w:val="28"/>
        </w:rPr>
        <w:t>, który jest</w:t>
      </w:r>
      <w:r>
        <w:rPr>
          <w:rFonts w:ascii="Times New Roman" w:hAnsi="Times New Roman"/>
          <w:i/>
          <w:sz w:val="28"/>
        </w:rPr>
        <w:t xml:space="preserve"> </w:t>
      </w:r>
      <w:r>
        <w:rPr>
          <w:rFonts w:ascii="Times New Roman" w:hAnsi="Times New Roman"/>
          <w:b/>
          <w:i/>
          <w:sz w:val="28"/>
        </w:rPr>
        <w:t>już w posiadaniu właściwych organów państwa wykonującego nakaz.</w:t>
      </w:r>
    </w:p>
    <w:p w14:paraId="0EC2A362" w14:textId="446B77F5" w:rsidR="00473A58" w:rsidRPr="00B074A0" w:rsidRDefault="00473A58" w:rsidP="006A27CE">
      <w:pPr>
        <w:spacing w:line="240" w:lineRule="auto"/>
        <w:jc w:val="both"/>
        <w:rPr>
          <w:rFonts w:ascii="Times New Roman" w:hAnsi="Times New Roman" w:cs="Times New Roman"/>
          <w:sz w:val="28"/>
          <w:szCs w:val="28"/>
        </w:rPr>
      </w:pPr>
      <w:r>
        <w:rPr>
          <w:rFonts w:ascii="Times New Roman" w:hAnsi="Times New Roman"/>
          <w:sz w:val="28"/>
        </w:rPr>
        <w:t xml:space="preserve">W przypadku </w:t>
      </w:r>
      <w:r>
        <w:rPr>
          <w:rFonts w:ascii="Times New Roman" w:hAnsi="Times New Roman"/>
          <w:sz w:val="28"/>
          <w:u w:val="single"/>
        </w:rPr>
        <w:t>przesyłania lub doręczania dokumentów procesowych</w:t>
      </w:r>
      <w:r>
        <w:rPr>
          <w:rFonts w:ascii="Times New Roman" w:hAnsi="Times New Roman"/>
          <w:sz w:val="28"/>
        </w:rPr>
        <w:t xml:space="preserve"> z wnioskującego państwa członkowskiego do państwa członkowskiego rozpatrującego wniosek dyrektywa w sprawie END </w:t>
      </w:r>
      <w:r>
        <w:rPr>
          <w:rFonts w:ascii="Times New Roman" w:hAnsi="Times New Roman"/>
          <w:i/>
          <w:sz w:val="28"/>
          <w:u w:val="single"/>
        </w:rPr>
        <w:t>nie będzie miała zastosowania</w:t>
      </w:r>
      <w:r>
        <w:rPr>
          <w:rFonts w:ascii="Times New Roman" w:hAnsi="Times New Roman"/>
          <w:sz w:val="28"/>
        </w:rPr>
        <w:t>, ponieważ nie wchodzi ona w zakres END, o którym mowa w art. 3 dyrektywy.</w:t>
      </w:r>
    </w:p>
    <w:p w14:paraId="69E5B86F" w14:textId="793427C0" w:rsidR="00BC5DD7" w:rsidRPr="00B074A0" w:rsidRDefault="00BC5DD7" w:rsidP="006A27CE">
      <w:pPr>
        <w:spacing w:line="240" w:lineRule="auto"/>
        <w:jc w:val="both"/>
        <w:rPr>
          <w:rFonts w:ascii="Times New Roman" w:hAnsi="Times New Roman" w:cs="Times New Roman"/>
          <w:sz w:val="28"/>
          <w:szCs w:val="28"/>
        </w:rPr>
      </w:pPr>
      <w:r>
        <w:rPr>
          <w:rFonts w:ascii="Times New Roman" w:hAnsi="Times New Roman"/>
          <w:sz w:val="28"/>
        </w:rPr>
        <w:t xml:space="preserve">Należy w szczególności wspomnieć o przesyłaniu dokumentów procesowych w </w:t>
      </w:r>
      <w:r>
        <w:rPr>
          <w:rFonts w:ascii="Times New Roman" w:hAnsi="Times New Roman"/>
          <w:b/>
          <w:sz w:val="28"/>
        </w:rPr>
        <w:t>ramach wnioskowanej czynności dochodzeniowej</w:t>
      </w:r>
      <w:r>
        <w:rPr>
          <w:rFonts w:ascii="Times New Roman" w:hAnsi="Times New Roman"/>
          <w:sz w:val="28"/>
        </w:rPr>
        <w:t>, jeżeli można je uwzględnić w END zgodnie z art. 9 ust. 2 dyrektywy 2014/41/UE</w:t>
      </w:r>
      <w:r>
        <w:rPr>
          <w:rFonts w:ascii="Times New Roman" w:hAnsi="Times New Roman"/>
          <w:i/>
          <w:sz w:val="28"/>
        </w:rPr>
        <w:t xml:space="preserve"> (np. przed dokonaniem przeszukania domu osoba, której dotyczy czynność dochodzeniowa, musi podpisać dokument, w którym określone są jej prawa)</w:t>
      </w:r>
      <w:r>
        <w:rPr>
          <w:rFonts w:ascii="Times New Roman" w:hAnsi="Times New Roman"/>
          <w:sz w:val="28"/>
        </w:rPr>
        <w:t>.</w:t>
      </w:r>
      <w:r>
        <w:rPr>
          <w:rFonts w:ascii="Times New Roman" w:hAnsi="Times New Roman"/>
          <w:i/>
          <w:sz w:val="28"/>
        </w:rPr>
        <w:t xml:space="preserve"> </w:t>
      </w:r>
    </w:p>
    <w:p w14:paraId="460FBB42" w14:textId="00B48A73" w:rsidR="00473A58" w:rsidRPr="00B074A0" w:rsidRDefault="00473A58" w:rsidP="006A27CE">
      <w:pPr>
        <w:spacing w:line="240" w:lineRule="auto"/>
        <w:jc w:val="both"/>
        <w:rPr>
          <w:rFonts w:ascii="Times New Roman" w:hAnsi="Times New Roman" w:cs="Times New Roman"/>
          <w:sz w:val="28"/>
          <w:szCs w:val="28"/>
        </w:rPr>
      </w:pPr>
      <w:r>
        <w:rPr>
          <w:rFonts w:ascii="Times New Roman" w:hAnsi="Times New Roman"/>
          <w:sz w:val="28"/>
        </w:rPr>
        <w:t xml:space="preserve">W naszym przypadku Bułgaria i Rumunia należą do </w:t>
      </w:r>
      <w:hyperlink r:id="rId19" w:history="1">
        <w:r>
          <w:rPr>
            <w:rStyle w:val="Hipercze"/>
            <w:rFonts w:ascii="Times New Roman" w:hAnsi="Times New Roman"/>
            <w:i/>
            <w:sz w:val="28"/>
          </w:rPr>
          <w:t>Konwencji z 29 maja 2000 r. o wzajemnej pomocy w sprawach karnych pomiędzy państwami członkowskimi UE</w:t>
        </w:r>
      </w:hyperlink>
      <w:r>
        <w:rPr>
          <w:rFonts w:ascii="Times New Roman" w:hAnsi="Times New Roman"/>
          <w:sz w:val="28"/>
        </w:rPr>
        <w:t xml:space="preserve"> i ratyfikowały ją, co oznacza, że konwencja ta ma pełne </w:t>
      </w:r>
      <w:r>
        <w:rPr>
          <w:rFonts w:ascii="Times New Roman" w:hAnsi="Times New Roman"/>
          <w:sz w:val="28"/>
        </w:rPr>
        <w:lastRenderedPageBreak/>
        <w:t>zastosowanie (przesyłanie i doręczanie dokumentów procesowych jest przewidziane w art. 5 konwencji z 2000 r.).</w:t>
      </w:r>
    </w:p>
    <w:p w14:paraId="29301A3F" w14:textId="53FD539B" w:rsidR="00AA4E0E" w:rsidRPr="00B074A0" w:rsidRDefault="00AA4E0E" w:rsidP="006A27CE">
      <w:pPr>
        <w:spacing w:line="240" w:lineRule="auto"/>
        <w:jc w:val="both"/>
        <w:rPr>
          <w:rFonts w:ascii="Times New Roman" w:hAnsi="Times New Roman" w:cs="Times New Roman"/>
          <w:sz w:val="28"/>
          <w:szCs w:val="28"/>
        </w:rPr>
      </w:pPr>
      <w:r>
        <w:rPr>
          <w:rFonts w:ascii="Times New Roman" w:hAnsi="Times New Roman"/>
          <w:sz w:val="28"/>
        </w:rPr>
        <w:t>W tym miejscu należy przypomnieć, że dyrektywa w sprawie END nie ma zastosowania również w następujących sytuacjach (niektóre z nich są wprost wymienione w dyrektywie 2014/41/UE, a inne wynikają z wykładni zakresowej, o której mowa w art. 3 tejże dyrektywy):</w:t>
      </w:r>
    </w:p>
    <w:p w14:paraId="58D4C298" w14:textId="40ACD4BC" w:rsidR="00AA4E0E" w:rsidRPr="00B074A0" w:rsidRDefault="00AA4E0E" w:rsidP="006A27CE">
      <w:pPr>
        <w:pStyle w:val="Akapitzlist"/>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Utworzenie wspólnego zespołu śledczego i gromadzenie dowodów w ramach takiego zespołu (art. 3 dyrektywy 2014/41/UE), w którym to przypadku zastosowanie będą miały przepisy z art. 13 Konwencji o wzajemnej pomocy w sprawach karnych pomiędzy państwami członkowskimi UE oraz z decyzji ramowej Rady 2002/465/</w:t>
      </w:r>
      <w:proofErr w:type="spellStart"/>
      <w:r>
        <w:rPr>
          <w:rFonts w:ascii="Times New Roman" w:hAnsi="Times New Roman"/>
          <w:i/>
          <w:sz w:val="28"/>
        </w:rPr>
        <w:t>WSiSW</w:t>
      </w:r>
      <w:proofErr w:type="spellEnd"/>
      <w:r w:rsidR="00D43010" w:rsidRPr="00B074A0">
        <w:rPr>
          <w:rStyle w:val="Odwoanieprzypisudolnego"/>
          <w:rFonts w:ascii="Times New Roman" w:hAnsi="Times New Roman" w:cs="Times New Roman"/>
          <w:i/>
          <w:iCs/>
          <w:sz w:val="28"/>
          <w:szCs w:val="28"/>
          <w:lang w:val="en-GB"/>
        </w:rPr>
        <w:footnoteReference w:id="3"/>
      </w:r>
      <w:r>
        <w:rPr>
          <w:rFonts w:ascii="Times New Roman" w:hAnsi="Times New Roman"/>
          <w:i/>
          <w:sz w:val="28"/>
        </w:rPr>
        <w:t>,</w:t>
      </w:r>
    </w:p>
    <w:p w14:paraId="16F45D49" w14:textId="2B07DEAC" w:rsidR="00A0139C" w:rsidRPr="00B074A0" w:rsidRDefault="00AA4E0E" w:rsidP="006A27CE">
      <w:pPr>
        <w:pStyle w:val="Akapitzlist"/>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Spontaniczna wymiana informacji (art. 7 konwencji z 2000 r.),</w:t>
      </w:r>
    </w:p>
    <w:p w14:paraId="2E75902A" w14:textId="3508706B" w:rsidR="00A0139C" w:rsidRPr="00B074A0" w:rsidRDefault="00AA4E0E" w:rsidP="006A27CE">
      <w:pPr>
        <w:pStyle w:val="Akapitzlist"/>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Zamrożenie mienia w celu późniejszej konfiskaty (decyzja ramowa 2003/577/</w:t>
      </w:r>
      <w:proofErr w:type="spellStart"/>
      <w:r>
        <w:rPr>
          <w:rFonts w:ascii="Times New Roman" w:hAnsi="Times New Roman"/>
          <w:i/>
          <w:sz w:val="28"/>
        </w:rPr>
        <w:t>WSiSW</w:t>
      </w:r>
      <w:proofErr w:type="spellEnd"/>
      <w:r>
        <w:rPr>
          <w:rFonts w:ascii="Times New Roman" w:hAnsi="Times New Roman"/>
          <w:i/>
          <w:sz w:val="28"/>
        </w:rPr>
        <w:t xml:space="preserve"> w sprawie wykonywania w Unii Europejskiej postanowień o zabezpieczeniu mienia lub środków dowodowych</w:t>
      </w:r>
      <w:r w:rsidR="00BD730A" w:rsidRPr="00B074A0">
        <w:rPr>
          <w:rStyle w:val="Odwoanieprzypisudolnego"/>
          <w:rFonts w:ascii="Times New Roman" w:hAnsi="Times New Roman" w:cs="Times New Roman"/>
          <w:i/>
          <w:iCs/>
          <w:sz w:val="28"/>
          <w:szCs w:val="28"/>
          <w:lang w:val="en-GB"/>
        </w:rPr>
        <w:footnoteReference w:id="4"/>
      </w:r>
      <w:r>
        <w:rPr>
          <w:rFonts w:ascii="Times New Roman" w:hAnsi="Times New Roman"/>
          <w:i/>
          <w:sz w:val="28"/>
        </w:rPr>
        <w:t>; oraz, od 19.12.2020 r., rozporządzenie 2018/1805 w sprawie wzajemnego uznawania postanowień o zabezpieczeniu i nakazów konfiskaty</w:t>
      </w:r>
      <w:r w:rsidR="00883F75" w:rsidRPr="00B074A0">
        <w:rPr>
          <w:rStyle w:val="Odwoanieprzypisudolnego"/>
          <w:rFonts w:ascii="Times New Roman" w:hAnsi="Times New Roman" w:cs="Times New Roman"/>
          <w:i/>
          <w:iCs/>
          <w:sz w:val="28"/>
          <w:szCs w:val="28"/>
          <w:lang w:val="en-GB"/>
        </w:rPr>
        <w:footnoteReference w:id="5"/>
      </w:r>
      <w:r>
        <w:rPr>
          <w:rFonts w:ascii="Times New Roman" w:hAnsi="Times New Roman"/>
          <w:i/>
          <w:sz w:val="28"/>
        </w:rPr>
        <w:t>),</w:t>
      </w:r>
    </w:p>
    <w:p w14:paraId="79CEDF18" w14:textId="67F631DE" w:rsidR="00A0139C" w:rsidRPr="00B074A0" w:rsidRDefault="00AA4E0E" w:rsidP="006A27CE">
      <w:pPr>
        <w:pStyle w:val="Akapitzlist"/>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Restytucja: zwrot przedmiotu ofierze (art. 8 Konwencji z 2000 r.),</w:t>
      </w:r>
    </w:p>
    <w:p w14:paraId="4768D4D9" w14:textId="58016C2F" w:rsidR="00FC183E" w:rsidRPr="00B074A0" w:rsidRDefault="00AA4E0E" w:rsidP="006A27CE">
      <w:pPr>
        <w:pStyle w:val="Akapitzlist"/>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Gromadzenie wyciągów z rejestru skazanych/ECRIS,</w:t>
      </w:r>
    </w:p>
    <w:p w14:paraId="57A79AD2" w14:textId="5EAA5E7C" w:rsidR="00FC183E" w:rsidRPr="00B074A0" w:rsidRDefault="00FC183E" w:rsidP="006A27CE">
      <w:pPr>
        <w:spacing w:line="240" w:lineRule="auto"/>
        <w:jc w:val="both"/>
        <w:rPr>
          <w:rFonts w:ascii="Times New Roman" w:hAnsi="Times New Roman" w:cs="Times New Roman"/>
          <w:sz w:val="28"/>
          <w:szCs w:val="28"/>
          <w:lang w:val="en-GB"/>
        </w:rPr>
      </w:pPr>
    </w:p>
    <w:p w14:paraId="7EDD48E4" w14:textId="21AA6447" w:rsidR="0014132C" w:rsidRPr="00B074A0" w:rsidRDefault="004C514A" w:rsidP="003835C2">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P4:</w:t>
      </w:r>
      <w:r>
        <w:rPr>
          <w:rFonts w:ascii="Times New Roman" w:hAnsi="Times New Roman"/>
          <w:i/>
          <w:color w:val="2F5496" w:themeColor="accent1" w:themeShade="BF"/>
          <w:sz w:val="28"/>
        </w:rPr>
        <w:t xml:space="preserve"> Ile END powinien wydać rumuński prokurator w tej sprawie? Uzasadnij swoją odpowiedź.</w:t>
      </w:r>
    </w:p>
    <w:p w14:paraId="0A424360" w14:textId="581E4E01"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Dyrektywa w sprawie END nie zawiera wyraźnych wskazówek co do tego, jak powinien postąpić organ wydający nakaz w tego rodzaju sytuacjach, w których wymagana jest pomoc w gromadzeniu materiału dowodowego od różnych organów wykonujących. Dotyczy to w szczególności sytuacji, gdy </w:t>
      </w:r>
      <w:r>
        <w:rPr>
          <w:rFonts w:ascii="Times New Roman" w:hAnsi="Times New Roman"/>
          <w:sz w:val="28"/>
          <w:u w:val="single"/>
        </w:rPr>
        <w:t>zaangażowane są</w:t>
      </w:r>
      <w:r>
        <w:rPr>
          <w:rFonts w:ascii="Times New Roman" w:hAnsi="Times New Roman"/>
          <w:sz w:val="28"/>
        </w:rPr>
        <w:t xml:space="preserve"> organy wykonawcze </w:t>
      </w:r>
      <w:r>
        <w:rPr>
          <w:rFonts w:ascii="Times New Roman" w:hAnsi="Times New Roman"/>
          <w:sz w:val="28"/>
          <w:u w:val="single"/>
        </w:rPr>
        <w:t>z różnych państw członkowskich</w:t>
      </w:r>
      <w:r>
        <w:rPr>
          <w:rFonts w:ascii="Times New Roman" w:hAnsi="Times New Roman"/>
          <w:sz w:val="28"/>
        </w:rPr>
        <w:t>.</w:t>
      </w:r>
    </w:p>
    <w:p w14:paraId="2B1F66C2" w14:textId="77777777" w:rsidR="0014132C" w:rsidRPr="00B074A0" w:rsidRDefault="0014132C" w:rsidP="006A27CE">
      <w:pPr>
        <w:spacing w:line="240" w:lineRule="auto"/>
        <w:jc w:val="both"/>
        <w:rPr>
          <w:rFonts w:ascii="Times New Roman" w:hAnsi="Times New Roman" w:cs="Times New Roman"/>
          <w:i/>
          <w:iCs/>
          <w:sz w:val="28"/>
          <w:szCs w:val="28"/>
        </w:rPr>
      </w:pPr>
      <w:r>
        <w:rPr>
          <w:rFonts w:ascii="Times New Roman" w:hAnsi="Times New Roman"/>
          <w:sz w:val="28"/>
        </w:rPr>
        <w:t xml:space="preserve">Art. 8 ust. 1 dyrektywy zawiera jedynie odniesienie do wcześniejszego END i stanowi, że </w:t>
      </w:r>
      <w:r>
        <w:rPr>
          <w:rFonts w:ascii="Times New Roman" w:hAnsi="Times New Roman"/>
          <w:i/>
          <w:sz w:val="28"/>
        </w:rPr>
        <w:t>jeżeli organ wydający nakaz wydaje END, który uzupełnia wcześniejszy END, zaznacza ten fakt w END w sekcji D formularza przedstawionego w załączniku A.</w:t>
      </w:r>
    </w:p>
    <w:p w14:paraId="6EB5F2BF" w14:textId="77777777"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W </w:t>
      </w:r>
      <w:r>
        <w:rPr>
          <w:rFonts w:ascii="Times New Roman" w:hAnsi="Times New Roman"/>
          <w:b/>
          <w:sz w:val="28"/>
        </w:rPr>
        <w:t>sekcji D</w:t>
      </w:r>
      <w:r>
        <w:rPr>
          <w:rFonts w:ascii="Times New Roman" w:hAnsi="Times New Roman"/>
          <w:sz w:val="28"/>
        </w:rPr>
        <w:t xml:space="preserve"> formularza przedstawionego w </w:t>
      </w:r>
      <w:r>
        <w:rPr>
          <w:rFonts w:ascii="Times New Roman" w:hAnsi="Times New Roman"/>
          <w:b/>
          <w:sz w:val="28"/>
        </w:rPr>
        <w:t>załączniku A</w:t>
      </w:r>
      <w:r>
        <w:rPr>
          <w:rFonts w:ascii="Times New Roman" w:hAnsi="Times New Roman"/>
          <w:sz w:val="28"/>
        </w:rPr>
        <w:t xml:space="preserve"> znajduje się jednak wzmianka: w </w:t>
      </w:r>
      <w:r>
        <w:rPr>
          <w:rFonts w:ascii="Times New Roman" w:hAnsi="Times New Roman"/>
          <w:i/>
          <w:sz w:val="28"/>
        </w:rPr>
        <w:t>stosownych przypadkach proszę wskazać, czy w tej samej sprawie END został już skierowany do innego państwa członkowskiego</w:t>
      </w:r>
      <w:r>
        <w:rPr>
          <w:rFonts w:ascii="Times New Roman" w:hAnsi="Times New Roman"/>
          <w:sz w:val="28"/>
        </w:rPr>
        <w:t>.</w:t>
      </w:r>
    </w:p>
    <w:p w14:paraId="552E7429" w14:textId="77777777"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lastRenderedPageBreak/>
        <w:t xml:space="preserve">Organ wydający nakaz </w:t>
      </w:r>
      <w:r>
        <w:rPr>
          <w:rFonts w:ascii="Times New Roman" w:hAnsi="Times New Roman"/>
          <w:b/>
          <w:sz w:val="28"/>
        </w:rPr>
        <w:t>może wydać jeden END</w:t>
      </w:r>
      <w:r>
        <w:rPr>
          <w:rFonts w:ascii="Times New Roman" w:hAnsi="Times New Roman"/>
          <w:sz w:val="28"/>
        </w:rPr>
        <w:t xml:space="preserve"> i wskaże w nim wszystkie czynności dochodzeniowe, które należy podjąć, a które zostaną przesłane do zaangażowanego organu wykonującego nakaz lub zaangażowanych organów wykonujących. W zależności od przepisów krajowych i od tego, czego zażądają organy wykonujące nakaz, organ sądowy wydający nakaz może wydać END zarówno w oryginale, jak i w jednym oryginale i jednej kopii.</w:t>
      </w:r>
    </w:p>
    <w:p w14:paraId="42516E22" w14:textId="77777777" w:rsidR="003835C2" w:rsidRPr="00B074A0" w:rsidRDefault="003835C2">
      <w:pPr>
        <w:rPr>
          <w:rFonts w:ascii="Times New Roman" w:hAnsi="Times New Roman" w:cs="Times New Roman"/>
          <w:sz w:val="28"/>
          <w:szCs w:val="28"/>
        </w:rPr>
      </w:pPr>
      <w:r>
        <w:br w:type="page"/>
      </w:r>
    </w:p>
    <w:p w14:paraId="210BD996" w14:textId="56766700" w:rsidR="00B03988"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lastRenderedPageBreak/>
        <w:t>Nie można wykluczyć takiej możliwości, ponieważ brzmienie END....</w:t>
      </w:r>
      <w:r>
        <w:rPr>
          <w:rFonts w:ascii="Times New Roman" w:hAnsi="Times New Roman"/>
          <w:i/>
          <w:sz w:val="28"/>
        </w:rPr>
        <w:t xml:space="preserve"> wskazuje, czy w tej samej sprawie</w:t>
      </w:r>
      <w:r>
        <w:rPr>
          <w:rFonts w:ascii="Times New Roman" w:hAnsi="Times New Roman"/>
          <w:sz w:val="28"/>
        </w:rPr>
        <w:t xml:space="preserve"> END</w:t>
      </w:r>
      <w:r>
        <w:rPr>
          <w:rFonts w:ascii="Times New Roman" w:hAnsi="Times New Roman"/>
          <w:i/>
          <w:sz w:val="28"/>
        </w:rPr>
        <w:t xml:space="preserve"> </w:t>
      </w:r>
      <w:r>
        <w:rPr>
          <w:rFonts w:ascii="Times New Roman" w:hAnsi="Times New Roman"/>
          <w:b/>
          <w:i/>
          <w:sz w:val="28"/>
        </w:rPr>
        <w:t>został już skierowany</w:t>
      </w:r>
      <w:r w:rsidR="00D7241D">
        <w:rPr>
          <w:rFonts w:ascii="Times New Roman" w:hAnsi="Times New Roman"/>
          <w:i/>
          <w:sz w:val="28"/>
        </w:rPr>
        <w:t xml:space="preserve"> </w:t>
      </w:r>
      <w:r>
        <w:rPr>
          <w:rFonts w:ascii="Times New Roman" w:hAnsi="Times New Roman"/>
          <w:sz w:val="28"/>
        </w:rPr>
        <w:t>do innego państwa członkowskiego...., co nie ma miejsca, gdy organ wydający nakaz wydaje dwa END w tym samym czasie i przekazuje je w tym samym czasie.</w:t>
      </w:r>
    </w:p>
    <w:p w14:paraId="394E7F8C" w14:textId="7E2C50F8" w:rsidR="00B03988" w:rsidRPr="00B074A0" w:rsidRDefault="00B03988" w:rsidP="008E01F6">
      <w:pPr>
        <w:pStyle w:val="Akapitzlist"/>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rPr>
      </w:pPr>
      <w:r>
        <w:rPr>
          <w:rFonts w:ascii="Times New Roman" w:hAnsi="Times New Roman"/>
          <w:sz w:val="28"/>
        </w:rPr>
        <w:t xml:space="preserve">We </w:t>
      </w:r>
      <w:hyperlink r:id="rId20" w:history="1">
        <w:r>
          <w:rPr>
            <w:rStyle w:val="Hipercze"/>
            <w:rFonts w:ascii="Times New Roman" w:hAnsi="Times New Roman"/>
            <w:b/>
            <w:sz w:val="28"/>
          </w:rPr>
          <w:t xml:space="preserve">Wspólnej nocie </w:t>
        </w:r>
        <w:proofErr w:type="spellStart"/>
        <w:r>
          <w:rPr>
            <w:rStyle w:val="Hipercze"/>
            <w:rFonts w:ascii="Times New Roman" w:hAnsi="Times New Roman"/>
            <w:b/>
            <w:sz w:val="28"/>
          </w:rPr>
          <w:t>Eurojustu</w:t>
        </w:r>
        <w:proofErr w:type="spellEnd"/>
        <w:r>
          <w:rPr>
            <w:rStyle w:val="Hipercze"/>
            <w:rFonts w:ascii="Times New Roman" w:hAnsi="Times New Roman"/>
            <w:b/>
            <w:sz w:val="28"/>
          </w:rPr>
          <w:t xml:space="preserve"> i europejskiej sieci sądowej na temat praktycznego stosowania europejskiego nakazu dochodzeniowego </w:t>
        </w:r>
      </w:hyperlink>
      <w:r w:rsidR="00D7241D">
        <w:t xml:space="preserve"> </w:t>
      </w:r>
      <w:r>
        <w:rPr>
          <w:rFonts w:ascii="Times New Roman" w:hAnsi="Times New Roman"/>
          <w:sz w:val="28"/>
        </w:rPr>
        <w:t xml:space="preserve">jako </w:t>
      </w:r>
      <w:r>
        <w:rPr>
          <w:rFonts w:ascii="Times New Roman" w:hAnsi="Times New Roman"/>
          <w:sz w:val="28"/>
          <w:u w:val="single"/>
        </w:rPr>
        <w:t>najlepszą praktykę</w:t>
      </w:r>
      <w:r>
        <w:rPr>
          <w:rFonts w:ascii="Times New Roman" w:hAnsi="Times New Roman"/>
          <w:sz w:val="28"/>
        </w:rPr>
        <w:t xml:space="preserve"> wskazano, że można zalecić wydanie kilku END, w zależności od charakteru i zakresu sprawy, oraz że za wykonanie END odpowiedzialne są różne organy </w:t>
      </w:r>
      <w:r>
        <w:rPr>
          <w:rFonts w:ascii="Times New Roman" w:hAnsi="Times New Roman"/>
          <w:b/>
          <w:sz w:val="28"/>
        </w:rPr>
        <w:t>(zob. s. 4 i 7-8 wspólnej</w:t>
      </w:r>
      <w:r>
        <w:rPr>
          <w:rFonts w:ascii="Times New Roman" w:hAnsi="Times New Roman"/>
          <w:sz w:val="28"/>
        </w:rPr>
        <w:t xml:space="preserve"> </w:t>
      </w:r>
      <w:r>
        <w:rPr>
          <w:rFonts w:ascii="Times New Roman" w:hAnsi="Times New Roman"/>
          <w:b/>
          <w:bCs/>
          <w:sz w:val="28"/>
        </w:rPr>
        <w:t>noty</w:t>
      </w:r>
      <w:r>
        <w:rPr>
          <w:rFonts w:ascii="Times New Roman" w:hAnsi="Times New Roman"/>
          <w:sz w:val="28"/>
        </w:rPr>
        <w:t>).</w:t>
      </w:r>
    </w:p>
    <w:p w14:paraId="5AF784A4" w14:textId="77777777" w:rsidR="00B03988" w:rsidRPr="00B074A0" w:rsidRDefault="00B03988" w:rsidP="006A27CE">
      <w:pPr>
        <w:spacing w:line="240" w:lineRule="auto"/>
        <w:jc w:val="both"/>
        <w:rPr>
          <w:rFonts w:ascii="Times New Roman" w:hAnsi="Times New Roman" w:cs="Times New Roman"/>
          <w:sz w:val="28"/>
          <w:szCs w:val="28"/>
          <w:lang w:val="en-GB"/>
        </w:rPr>
      </w:pPr>
    </w:p>
    <w:p w14:paraId="160DB374" w14:textId="4A109205"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W naszym przypadku, ponieważ zaangażowane będą dwa różne organy wykonujące z dwóch różnych państw, organ wydający nakaz </w:t>
      </w:r>
      <w:r>
        <w:rPr>
          <w:rFonts w:ascii="Times New Roman" w:hAnsi="Times New Roman"/>
          <w:b/>
          <w:sz w:val="28"/>
        </w:rPr>
        <w:t xml:space="preserve">będzie musiał wypełnić dwa </w:t>
      </w:r>
      <w:r>
        <w:rPr>
          <w:rFonts w:ascii="Times New Roman" w:hAnsi="Times New Roman"/>
          <w:b/>
          <w:bCs/>
          <w:sz w:val="28"/>
        </w:rPr>
        <w:t>END</w:t>
      </w:r>
      <w:r>
        <w:rPr>
          <w:rFonts w:ascii="Times New Roman" w:hAnsi="Times New Roman"/>
          <w:sz w:val="28"/>
        </w:rPr>
        <w:t xml:space="preserve">, po jednym na każdą wnioskowaną czynność dochodzeniową (przeszukanie domu, przesłuchanie w formie wideokonferencji i uzyskanie informacji o rachunku bankowym), a w sekcji D załącznika A do END wpisze wzmiankę, w </w:t>
      </w:r>
      <w:r>
        <w:rPr>
          <w:rFonts w:ascii="Times New Roman" w:hAnsi="Times New Roman"/>
          <w:i/>
          <w:sz w:val="28"/>
        </w:rPr>
        <w:t>stosownych przypadkach proszę wskazać, czy END został już skierowany do innych państw członkowskich w tej samej</w:t>
      </w:r>
      <w:r>
        <w:rPr>
          <w:rFonts w:ascii="Times New Roman" w:hAnsi="Times New Roman"/>
          <w:sz w:val="28"/>
        </w:rPr>
        <w:t xml:space="preserve"> sprawie, oraz podać, do którego organu państwa członkowskiego wykonującego nakaz wysłano drugi END. </w:t>
      </w:r>
    </w:p>
    <w:p w14:paraId="26AA18B9" w14:textId="73768A04"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Jednym z powodów wydania trzech END jest to, że w sekcji A END należy wskazać organ wykonujący, a w naszym przypadku mamy trzy różne organy wykonujące z dwóch różnych państw członkowskich. Nie jest to prosta kwestia administracyjna, na przykład gdy jeden END zawierający dwie czynności dochodzeniowe musi zostać wykonany przez dwa różne organy wykonawcze z tego samego państwa członkowskiego.</w:t>
      </w:r>
    </w:p>
    <w:p w14:paraId="081D8B49" w14:textId="12619A4C" w:rsidR="008B3A29"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W takiej sytuacji każdy z END zostanie wypełniony tylko żądaną czynnością dochodzeniową i danymi organu wykonującego nakaz, który wykona dany END,</w:t>
      </w:r>
      <w:r>
        <w:rPr>
          <w:rFonts w:ascii="Times New Roman" w:hAnsi="Times New Roman"/>
          <w:sz w:val="28"/>
          <w:u w:val="single"/>
        </w:rPr>
        <w:t xml:space="preserve"> oraz wspomnianymi dwoma innymi END wydanymi w tej samej sprawie.</w:t>
      </w:r>
    </w:p>
    <w:p w14:paraId="24BE7091" w14:textId="5BEDCDB4" w:rsidR="00D67D9C" w:rsidRPr="00B074A0" w:rsidRDefault="003835C2" w:rsidP="008E01F6">
      <w:pPr>
        <w:rPr>
          <w:rFonts w:ascii="Times New Roman" w:hAnsi="Times New Roman" w:cs="Times New Roman"/>
          <w:sz w:val="28"/>
          <w:szCs w:val="28"/>
        </w:rPr>
      </w:pPr>
      <w:r>
        <w:br w:type="page"/>
      </w:r>
    </w:p>
    <w:p w14:paraId="0448B36F" w14:textId="68708FDF" w:rsidR="00E5457B" w:rsidRPr="00B074A0" w:rsidRDefault="0074138D" w:rsidP="008E01F6">
      <w:pPr>
        <w:spacing w:after="0"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A. II.</w:t>
      </w:r>
      <w:r w:rsidR="00D7241D">
        <w:rPr>
          <w:rFonts w:ascii="Times New Roman" w:hAnsi="Times New Roman"/>
          <w:b/>
          <w:color w:val="2F5496" w:themeColor="accent1" w:themeShade="BF"/>
          <w:sz w:val="28"/>
        </w:rPr>
        <w:t xml:space="preserve"> </w:t>
      </w:r>
      <w:r>
        <w:rPr>
          <w:rFonts w:ascii="Times New Roman" w:hAnsi="Times New Roman"/>
          <w:b/>
          <w:color w:val="2F5496" w:themeColor="accent1" w:themeShade="BF"/>
          <w:sz w:val="28"/>
        </w:rPr>
        <w:t>Ćwiczenia:</w:t>
      </w:r>
    </w:p>
    <w:p w14:paraId="5FACEE64" w14:textId="33E5364C" w:rsidR="008B3A29" w:rsidRDefault="00E5457B" w:rsidP="003835C2">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Znajdź następujące organy wykonujące właściwe do wykonania END (ogólne sprawy karne):</w:t>
      </w:r>
    </w:p>
    <w:p w14:paraId="7B60C21F" w14:textId="77777777" w:rsidR="00313F92" w:rsidRPr="00C250CC" w:rsidRDefault="00313F92" w:rsidP="003835C2">
      <w:pPr>
        <w:spacing w:line="240" w:lineRule="auto"/>
        <w:jc w:val="both"/>
        <w:rPr>
          <w:rFonts w:ascii="Times New Roman" w:hAnsi="Times New Roman" w:cs="Times New Roman"/>
          <w:b/>
          <w:bCs/>
          <w:color w:val="2F5496" w:themeColor="accent1" w:themeShade="BF"/>
          <w:sz w:val="28"/>
          <w:szCs w:val="28"/>
          <w:lang w:val="en-GB"/>
        </w:rPr>
      </w:pPr>
    </w:p>
    <w:p w14:paraId="0A347818" w14:textId="5FE30FFB" w:rsidR="00E5457B" w:rsidRPr="00B074A0" w:rsidRDefault="00C250CC" w:rsidP="00C250CC">
      <w:pPr>
        <w:spacing w:line="240" w:lineRule="auto"/>
        <w:jc w:val="both"/>
        <w:rPr>
          <w:rFonts w:ascii="Times New Roman" w:hAnsi="Times New Roman" w:cs="Times New Roman"/>
          <w:sz w:val="28"/>
          <w:szCs w:val="28"/>
        </w:rPr>
      </w:pPr>
      <w:r>
        <w:rPr>
          <w:rFonts w:ascii="Times New Roman" w:hAnsi="Times New Roman"/>
          <w:sz w:val="28"/>
        </w:rPr>
        <w:t xml:space="preserve">Korzystając z </w:t>
      </w:r>
      <w:hyperlink r:id="rId21" w:history="1">
        <w:r>
          <w:rPr>
            <w:rStyle w:val="Hipercze"/>
            <w:rFonts w:ascii="Times New Roman" w:hAnsi="Times New Roman"/>
            <w:b/>
            <w:sz w:val="28"/>
          </w:rPr>
          <w:t>Atlasu</w:t>
        </w:r>
      </w:hyperlink>
      <w:r>
        <w:rPr>
          <w:rFonts w:ascii="Times New Roman" w:hAnsi="Times New Roman"/>
          <w:sz w:val="28"/>
        </w:rPr>
        <w:t xml:space="preserve"> dostępnego na stronie internetowej EJN oraz wprowadzając państwo członkowskie wykonujące i środek wskazany w każdym z ćwiczeń, otrzymamy następujące wyniki</w:t>
      </w:r>
      <w:r>
        <w:rPr>
          <w:rFonts w:ascii="Times New Roman" w:hAnsi="Times New Roman"/>
          <w:b/>
          <w:sz w:val="28"/>
          <w:u w:val="single"/>
        </w:rPr>
        <w:t>(zob. wszystkie objaśnienia w załączniku poniżej</w:t>
      </w:r>
      <w:r>
        <w:rPr>
          <w:rFonts w:ascii="Times New Roman" w:hAnsi="Times New Roman"/>
          <w:sz w:val="28"/>
        </w:rPr>
        <w:t>):</w:t>
      </w:r>
    </w:p>
    <w:p w14:paraId="0986AF57" w14:textId="77777777" w:rsidR="00313F92" w:rsidRDefault="00313F92" w:rsidP="00313F92">
      <w:pPr>
        <w:spacing w:after="0" w:line="240" w:lineRule="auto"/>
        <w:jc w:val="both"/>
        <w:rPr>
          <w:rFonts w:ascii="Times New Roman" w:hAnsi="Times New Roman" w:cs="Times New Roman"/>
          <w:i/>
          <w:sz w:val="28"/>
          <w:szCs w:val="28"/>
          <w:lang w:val="en-GB"/>
        </w:rPr>
      </w:pPr>
    </w:p>
    <w:p w14:paraId="148545D5" w14:textId="1F1082B0" w:rsidR="00D237AB" w:rsidRPr="00B074A0" w:rsidRDefault="00D237AB" w:rsidP="00313F92">
      <w:pPr>
        <w:spacing w:before="160" w:line="240" w:lineRule="auto"/>
        <w:jc w:val="both"/>
        <w:rPr>
          <w:rFonts w:ascii="Times New Roman" w:hAnsi="Times New Roman" w:cs="Times New Roman"/>
          <w:i/>
          <w:sz w:val="28"/>
          <w:szCs w:val="28"/>
        </w:rPr>
      </w:pPr>
      <w:r>
        <w:rPr>
          <w:rFonts w:ascii="Times New Roman" w:hAnsi="Times New Roman"/>
          <w:i/>
          <w:sz w:val="28"/>
        </w:rPr>
        <w:t xml:space="preserve">1. Niemiecki właściwy organ wydający nakaz </w:t>
      </w:r>
      <w:r w:rsidR="00D7241D">
        <w:rPr>
          <w:rFonts w:ascii="Times New Roman" w:hAnsi="Times New Roman"/>
          <w:i/>
          <w:sz w:val="28"/>
        </w:rPr>
        <w:t>chce</w:t>
      </w:r>
      <w:r>
        <w:rPr>
          <w:rFonts w:ascii="Times New Roman" w:hAnsi="Times New Roman"/>
          <w:i/>
          <w:sz w:val="28"/>
        </w:rPr>
        <w:t xml:space="preserve"> przeszukać dom podejrzanego znajdującego się w Brukseli, w Belgii.</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0CEEF" w14:textId="3124600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Nazwa:</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Parket</w:t>
            </w:r>
            <w:proofErr w:type="spellEnd"/>
            <w:r>
              <w:rPr>
                <w:rFonts w:ascii="Times New Roman" w:hAnsi="Times New Roman"/>
                <w:sz w:val="28"/>
              </w:rPr>
              <w:t xml:space="preserve"> van de </w:t>
            </w:r>
            <w:proofErr w:type="spellStart"/>
            <w:r>
              <w:rPr>
                <w:rFonts w:ascii="Times New Roman" w:hAnsi="Times New Roman"/>
                <w:sz w:val="28"/>
              </w:rPr>
              <w:t>procureur</w:t>
            </w:r>
            <w:proofErr w:type="spellEnd"/>
            <w:r>
              <w:rPr>
                <w:rFonts w:ascii="Times New Roman" w:hAnsi="Times New Roman"/>
                <w:sz w:val="28"/>
              </w:rPr>
              <w:t xml:space="preserve"> des </w:t>
            </w:r>
            <w:proofErr w:type="spellStart"/>
            <w:r>
              <w:rPr>
                <w:rFonts w:ascii="Times New Roman" w:hAnsi="Times New Roman"/>
                <w:sz w:val="28"/>
              </w:rPr>
              <w:t>Konings</w:t>
            </w:r>
            <w:proofErr w:type="spellEnd"/>
            <w:r>
              <w:rPr>
                <w:rFonts w:ascii="Times New Roman" w:hAnsi="Times New Roman"/>
                <w:sz w:val="28"/>
              </w:rPr>
              <w:t xml:space="preserve"> te </w:t>
            </w:r>
            <w:proofErr w:type="spellStart"/>
            <w:r>
              <w:rPr>
                <w:rFonts w:ascii="Times New Roman" w:hAnsi="Times New Roman"/>
                <w:sz w:val="28"/>
              </w:rPr>
              <w:t>Brussel</w:t>
            </w:r>
            <w:proofErr w:type="spellEnd"/>
            <w:r>
              <w:rPr>
                <w:rFonts w:ascii="Times New Roman" w:hAnsi="Times New Roman"/>
                <w:sz w:val="28"/>
              </w:rPr>
              <w:t xml:space="preserve"> (</w:t>
            </w:r>
            <w:proofErr w:type="spellStart"/>
            <w:r>
              <w:rPr>
                <w:rFonts w:ascii="Times New Roman" w:hAnsi="Times New Roman"/>
                <w:sz w:val="28"/>
              </w:rPr>
              <w:t>Bureau</w:t>
            </w:r>
            <w:proofErr w:type="spellEnd"/>
            <w:r>
              <w:rPr>
                <w:rFonts w:ascii="Times New Roman" w:hAnsi="Times New Roman"/>
                <w:sz w:val="28"/>
              </w:rPr>
              <w:t xml:space="preserve"> </w:t>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Pr>
                <w:rFonts w:ascii="Times New Roman" w:hAnsi="Times New Roman"/>
                <w:sz w:val="28"/>
              </w:rPr>
              <w:t xml:space="preserve">CIS)- </w:t>
            </w:r>
            <w:proofErr w:type="spellStart"/>
            <w:r>
              <w:rPr>
                <w:rFonts w:ascii="Times New Roman" w:hAnsi="Times New Roman"/>
                <w:sz w:val="28"/>
              </w:rPr>
              <w:t>Parquet</w:t>
            </w:r>
            <w:proofErr w:type="spellEnd"/>
            <w:r>
              <w:rPr>
                <w:rFonts w:ascii="Times New Roman" w:hAnsi="Times New Roman"/>
                <w:sz w:val="28"/>
              </w:rPr>
              <w:t xml:space="preserve"> </w:t>
            </w:r>
            <w:proofErr w:type="spellStart"/>
            <w:r>
              <w:rPr>
                <w:rFonts w:ascii="Times New Roman" w:hAnsi="Times New Roman"/>
                <w:sz w:val="28"/>
              </w:rPr>
              <w:t>du</w:t>
            </w:r>
            <w:proofErr w:type="spellEnd"/>
            <w:r>
              <w:rPr>
                <w:rFonts w:ascii="Times New Roman" w:hAnsi="Times New Roman"/>
                <w:sz w:val="28"/>
              </w:rPr>
              <w:t xml:space="preserve"> </w:t>
            </w:r>
            <w:proofErr w:type="spellStart"/>
            <w:r>
              <w:rPr>
                <w:rFonts w:ascii="Times New Roman" w:hAnsi="Times New Roman"/>
                <w:sz w:val="28"/>
              </w:rPr>
              <w:t>procureur</w:t>
            </w:r>
            <w:proofErr w:type="spellEnd"/>
            <w:r>
              <w:rPr>
                <w:rFonts w:ascii="Times New Roman" w:hAnsi="Times New Roman"/>
                <w:sz w:val="28"/>
              </w:rPr>
              <w:t xml:space="preserve"> </w:t>
            </w:r>
            <w:proofErr w:type="spellStart"/>
            <w:r>
              <w:rPr>
                <w:rFonts w:ascii="Times New Roman" w:hAnsi="Times New Roman"/>
                <w:sz w:val="28"/>
              </w:rPr>
              <w:t>du</w:t>
            </w:r>
            <w:proofErr w:type="spellEnd"/>
            <w:r>
              <w:rPr>
                <w:rFonts w:ascii="Times New Roman" w:hAnsi="Times New Roman"/>
                <w:sz w:val="28"/>
              </w:rPr>
              <w:t xml:space="preserve"> Roi de </w:t>
            </w:r>
            <w:proofErr w:type="spellStart"/>
            <w:r>
              <w:rPr>
                <w:rFonts w:ascii="Times New Roman" w:hAnsi="Times New Roman"/>
                <w:sz w:val="28"/>
              </w:rPr>
              <w:t>Bruxelles</w:t>
            </w:r>
            <w:proofErr w:type="spellEnd"/>
            <w:r>
              <w:rPr>
                <w:rFonts w:ascii="Times New Roman" w:hAnsi="Times New Roman"/>
                <w:sz w:val="28"/>
              </w:rPr>
              <w:t xml:space="preserve"> (</w:t>
            </w:r>
            <w:proofErr w:type="spellStart"/>
            <w:r>
              <w:rPr>
                <w:rFonts w:ascii="Times New Roman" w:hAnsi="Times New Roman"/>
                <w:sz w:val="28"/>
              </w:rPr>
              <w:t>Bureau</w:t>
            </w:r>
            <w:proofErr w:type="spellEnd"/>
            <w:r>
              <w:rPr>
                <w:rFonts w:ascii="Times New Roman" w:hAnsi="Times New Roman"/>
                <w:sz w:val="28"/>
              </w:rPr>
              <w:t xml:space="preserve"> </w:t>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Pr>
                <w:rFonts w:ascii="Times New Roman" w:hAnsi="Times New Roman"/>
                <w:sz w:val="28"/>
              </w:rPr>
              <w:t xml:space="preserve">CIS) </w:t>
            </w:r>
          </w:p>
          <w:p w14:paraId="0B4F48FF" w14:textId="09FFD1BD"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Portalis</w:t>
            </w:r>
            <w:proofErr w:type="spellEnd"/>
            <w:r>
              <w:rPr>
                <w:rFonts w:ascii="Times New Roman" w:hAnsi="Times New Roman"/>
                <w:sz w:val="28"/>
              </w:rPr>
              <w:t xml:space="preserve">, </w:t>
            </w:r>
            <w:proofErr w:type="spellStart"/>
            <w:r>
              <w:rPr>
                <w:rFonts w:ascii="Times New Roman" w:hAnsi="Times New Roman"/>
                <w:sz w:val="28"/>
              </w:rPr>
              <w:t>Rue</w:t>
            </w:r>
            <w:proofErr w:type="spellEnd"/>
            <w:r>
              <w:rPr>
                <w:rFonts w:ascii="Times New Roman" w:hAnsi="Times New Roman"/>
                <w:sz w:val="28"/>
              </w:rPr>
              <w:t xml:space="preserve"> des </w:t>
            </w:r>
            <w:proofErr w:type="spellStart"/>
            <w:r>
              <w:rPr>
                <w:rFonts w:ascii="Times New Roman" w:hAnsi="Times New Roman"/>
                <w:sz w:val="28"/>
              </w:rPr>
              <w:t>Quatre</w:t>
            </w:r>
            <w:proofErr w:type="spellEnd"/>
            <w:r>
              <w:rPr>
                <w:rFonts w:ascii="Times New Roman" w:hAnsi="Times New Roman"/>
                <w:sz w:val="28"/>
              </w:rPr>
              <w:t xml:space="preserve"> bras, 4 </w:t>
            </w:r>
          </w:p>
          <w:p w14:paraId="7BB00B85"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2BB6D695" w14:textId="24DF4CF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Miasto:</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r>
              <w:rPr>
                <w:rFonts w:ascii="Times New Roman" w:hAnsi="Times New Roman"/>
                <w:sz w:val="28"/>
              </w:rPr>
              <w:tab/>
              <w:t xml:space="preserve">Bruksela </w:t>
            </w:r>
          </w:p>
          <w:p w14:paraId="2052E4A1" w14:textId="59C3678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sz w:val="28"/>
              </w:rPr>
              <w:tab/>
              <w:t xml:space="preserve">1000 </w:t>
            </w:r>
          </w:p>
          <w:p w14:paraId="2719A771" w14:textId="72CF7F6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1E39614F"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1A56E393" w14:textId="754C8DCC"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52D4ECC4" w14:textId="65F88B3E" w:rsidR="00E5457B" w:rsidRPr="00B074A0" w:rsidRDefault="00E5457B" w:rsidP="003835C2">
            <w:pPr>
              <w:spacing w:after="0" w:line="240" w:lineRule="auto"/>
              <w:jc w:val="both"/>
              <w:rPr>
                <w:rFonts w:ascii="Times New Roman" w:hAnsi="Times New Roman" w:cs="Times New Roman"/>
                <w:sz w:val="24"/>
                <w:szCs w:val="24"/>
              </w:rPr>
            </w:pPr>
            <w:r>
              <w:rPr>
                <w:rFonts w:ascii="Times New Roman" w:hAnsi="Times New Roman"/>
                <w:b/>
                <w:color w:val="2F5496" w:themeColor="accent1" w:themeShade="BF"/>
                <w:sz w:val="28"/>
              </w:rPr>
              <w:t>Adres e-mail:</w:t>
            </w:r>
            <w:r>
              <w:rPr>
                <w:rFonts w:ascii="Times New Roman" w:hAnsi="Times New Roman"/>
                <w:color w:val="2F5496" w:themeColor="accent1" w:themeShade="BF"/>
                <w:sz w:val="28"/>
              </w:rPr>
              <w:t xml:space="preserve"> </w:t>
            </w:r>
            <w:r>
              <w:rPr>
                <w:rFonts w:ascii="Times New Roman" w:hAnsi="Times New Roman"/>
                <w:sz w:val="28"/>
              </w:rPr>
              <w:tab/>
            </w:r>
            <w:hyperlink r:id="rId22" w:history="1">
              <w:r>
                <w:rPr>
                  <w:rStyle w:val="Hipercze"/>
                  <w:rFonts w:ascii="Times New Roman" w:hAnsi="Times New Roman"/>
                  <w:sz w:val="28"/>
                </w:rPr>
                <w:t>cis.bxl@just.fgov.be</w:t>
              </w:r>
            </w:hyperlink>
          </w:p>
        </w:tc>
      </w:tr>
    </w:tbl>
    <w:p w14:paraId="1B24B3CE" w14:textId="77777777" w:rsidR="00313F92" w:rsidRDefault="00313F92" w:rsidP="008E01F6">
      <w:pPr>
        <w:spacing w:before="160" w:after="0" w:line="240" w:lineRule="auto"/>
        <w:jc w:val="both"/>
        <w:rPr>
          <w:rFonts w:ascii="Times New Roman" w:hAnsi="Times New Roman" w:cs="Times New Roman"/>
          <w:i/>
          <w:sz w:val="28"/>
          <w:szCs w:val="28"/>
          <w:lang w:val="en-GB"/>
        </w:rPr>
      </w:pPr>
    </w:p>
    <w:p w14:paraId="237EC590" w14:textId="17866D88" w:rsidR="00D237AB" w:rsidRPr="00B074A0" w:rsidRDefault="00D237AB" w:rsidP="00313F92">
      <w:pPr>
        <w:spacing w:before="160" w:line="240" w:lineRule="auto"/>
        <w:jc w:val="both"/>
        <w:rPr>
          <w:rFonts w:ascii="Times New Roman" w:hAnsi="Times New Roman" w:cs="Times New Roman"/>
          <w:sz w:val="28"/>
          <w:szCs w:val="28"/>
        </w:rPr>
      </w:pPr>
      <w:r>
        <w:rPr>
          <w:rFonts w:ascii="Times New Roman" w:hAnsi="Times New Roman"/>
          <w:i/>
          <w:sz w:val="28"/>
        </w:rPr>
        <w:t xml:space="preserve">2. </w:t>
      </w:r>
      <w:r>
        <w:rPr>
          <w:rFonts w:ascii="Times New Roman" w:hAnsi="Times New Roman"/>
          <w:sz w:val="28"/>
        </w:rPr>
        <w:t>Francuski właściwy organ wydający nakaz chce przesłuchać w formie wideokonferencji świadka zamieszkałego w Vigo, w Hiszpanii.</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2B7EEBAF"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Nazwa:</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Fiscalía</w:t>
            </w:r>
            <w:proofErr w:type="spellEnd"/>
            <w:r>
              <w:rPr>
                <w:rFonts w:ascii="Times New Roman" w:hAnsi="Times New Roman"/>
                <w:sz w:val="28"/>
              </w:rPr>
              <w:t xml:space="preserve"> </w:t>
            </w:r>
            <w:proofErr w:type="spellStart"/>
            <w:r>
              <w:rPr>
                <w:rFonts w:ascii="Times New Roman" w:hAnsi="Times New Roman"/>
                <w:sz w:val="28"/>
              </w:rPr>
              <w:t>Provincial</w:t>
            </w:r>
            <w:proofErr w:type="spellEnd"/>
            <w:r>
              <w:rPr>
                <w:rFonts w:ascii="Times New Roman" w:hAnsi="Times New Roman"/>
                <w:sz w:val="28"/>
              </w:rPr>
              <w:t xml:space="preserve"> de Pontevedra (Prokuratura) </w:t>
            </w:r>
          </w:p>
          <w:p w14:paraId="4E3A862E" w14:textId="67038C2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proofErr w:type="spellStart"/>
            <w:r>
              <w:rPr>
                <w:rFonts w:ascii="Times New Roman" w:hAnsi="Times New Roman"/>
                <w:sz w:val="28"/>
              </w:rPr>
              <w:t>Edifico</w:t>
            </w:r>
            <w:proofErr w:type="spellEnd"/>
            <w:r>
              <w:rPr>
                <w:rFonts w:ascii="Times New Roman" w:hAnsi="Times New Roman"/>
                <w:sz w:val="28"/>
              </w:rPr>
              <w:t xml:space="preserve"> </w:t>
            </w:r>
            <w:proofErr w:type="spellStart"/>
            <w:r>
              <w:rPr>
                <w:rFonts w:ascii="Times New Roman" w:hAnsi="Times New Roman"/>
                <w:sz w:val="28"/>
              </w:rPr>
              <w:t>Juzgados</w:t>
            </w:r>
            <w:proofErr w:type="spellEnd"/>
            <w:r>
              <w:rPr>
                <w:rFonts w:ascii="Times New Roman" w:hAnsi="Times New Roman"/>
                <w:sz w:val="28"/>
              </w:rPr>
              <w:t xml:space="preserve">. Plaza </w:t>
            </w:r>
            <w:proofErr w:type="spellStart"/>
            <w:r>
              <w:rPr>
                <w:rFonts w:ascii="Times New Roman" w:hAnsi="Times New Roman"/>
                <w:sz w:val="28"/>
              </w:rPr>
              <w:t>Tomás</w:t>
            </w:r>
            <w:proofErr w:type="spellEnd"/>
            <w:r>
              <w:rPr>
                <w:rFonts w:ascii="Times New Roman" w:hAnsi="Times New Roman"/>
                <w:sz w:val="28"/>
              </w:rPr>
              <w:t xml:space="preserve"> y </w:t>
            </w:r>
            <w:proofErr w:type="spellStart"/>
            <w:r>
              <w:rPr>
                <w:rFonts w:ascii="Times New Roman" w:hAnsi="Times New Roman"/>
                <w:sz w:val="28"/>
              </w:rPr>
              <w:t>Valiente</w:t>
            </w:r>
            <w:proofErr w:type="spellEnd"/>
            <w:r>
              <w:rPr>
                <w:rFonts w:ascii="Times New Roman" w:hAnsi="Times New Roman"/>
                <w:sz w:val="28"/>
              </w:rPr>
              <w:t xml:space="preserve">, s/n </w:t>
            </w:r>
          </w:p>
          <w:p w14:paraId="363A68F4"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79D93519" w14:textId="0F37353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Miasto:</w:t>
            </w:r>
            <w:r>
              <w:rPr>
                <w:rFonts w:ascii="Times New Roman" w:hAnsi="Times New Roman"/>
                <w:b/>
                <w:sz w:val="28"/>
              </w:rPr>
              <w:t xml:space="preserve"> </w:t>
            </w:r>
            <w:r>
              <w:rPr>
                <w:rFonts w:ascii="Times New Roman" w:hAnsi="Times New Roman"/>
                <w:b/>
                <w:sz w:val="28"/>
              </w:rPr>
              <w:tab/>
            </w:r>
            <w:r w:rsidR="002640EB">
              <w:rPr>
                <w:rFonts w:ascii="Times New Roman" w:hAnsi="Times New Roman"/>
                <w:sz w:val="28"/>
              </w:rPr>
              <w:tab/>
            </w:r>
            <w:r>
              <w:rPr>
                <w:rFonts w:ascii="Times New Roman" w:hAnsi="Times New Roman"/>
                <w:sz w:val="28"/>
              </w:rPr>
              <w:t xml:space="preserve">PONTEVEDRA </w:t>
            </w:r>
          </w:p>
          <w:p w14:paraId="1CD705D5" w14:textId="386807F4"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Kod pocztowy: </w:t>
            </w:r>
            <w:r>
              <w:rPr>
                <w:rFonts w:ascii="Times New Roman" w:hAnsi="Times New Roman"/>
                <w:b/>
                <w:sz w:val="28"/>
              </w:rPr>
              <w:tab/>
            </w:r>
            <w:r>
              <w:rPr>
                <w:rFonts w:ascii="Times New Roman" w:hAnsi="Times New Roman"/>
                <w:sz w:val="28"/>
              </w:rPr>
              <w:t xml:space="preserve">36071 </w:t>
            </w:r>
          </w:p>
          <w:p w14:paraId="000778B3" w14:textId="001B677E"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+34 986 80 57 32 </w:t>
            </w:r>
          </w:p>
          <w:p w14:paraId="39AE26F8"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6919DDEC" w14:textId="55FED3C1"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+34 986 80 53 58 </w:t>
            </w:r>
          </w:p>
          <w:p w14:paraId="20638871" w14:textId="7CEBCB61"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 e-mail:</w:t>
            </w:r>
            <w:r>
              <w:rPr>
                <w:rFonts w:ascii="Times New Roman" w:hAnsi="Times New Roman"/>
                <w:color w:val="2F5496" w:themeColor="accent1" w:themeShade="BF"/>
                <w:sz w:val="28"/>
              </w:rPr>
              <w:t xml:space="preserve"> </w:t>
            </w:r>
            <w:r>
              <w:rPr>
                <w:rFonts w:ascii="Times New Roman" w:hAnsi="Times New Roman"/>
                <w:sz w:val="28"/>
              </w:rPr>
              <w:tab/>
              <w:t>internacional.pontevedra@fiscal.es</w:t>
            </w:r>
          </w:p>
        </w:tc>
      </w:tr>
    </w:tbl>
    <w:p w14:paraId="67599AAE" w14:textId="77777777" w:rsidR="00313F92" w:rsidRDefault="00313F92" w:rsidP="00313F92">
      <w:pPr>
        <w:spacing w:before="160" w:after="0" w:line="240" w:lineRule="auto"/>
        <w:jc w:val="both"/>
        <w:rPr>
          <w:rFonts w:ascii="Times New Roman" w:hAnsi="Times New Roman" w:cs="Times New Roman"/>
          <w:i/>
          <w:sz w:val="28"/>
          <w:szCs w:val="28"/>
          <w:lang w:val="en-GB"/>
        </w:rPr>
      </w:pPr>
    </w:p>
    <w:p w14:paraId="741EA85A" w14:textId="77777777" w:rsidR="00313F92" w:rsidRDefault="00313F92">
      <w:pPr>
        <w:rPr>
          <w:rFonts w:ascii="Times New Roman" w:hAnsi="Times New Roman" w:cs="Times New Roman"/>
          <w:i/>
          <w:sz w:val="28"/>
          <w:szCs w:val="28"/>
        </w:rPr>
      </w:pPr>
      <w:r>
        <w:br w:type="page"/>
      </w:r>
    </w:p>
    <w:p w14:paraId="7B8218FB" w14:textId="738FF108" w:rsidR="00D237AB" w:rsidRPr="00B074A0" w:rsidRDefault="00D237AB" w:rsidP="00313F92">
      <w:pPr>
        <w:spacing w:before="160" w:line="240" w:lineRule="auto"/>
        <w:jc w:val="both"/>
        <w:rPr>
          <w:rFonts w:ascii="Times New Roman" w:hAnsi="Times New Roman" w:cs="Times New Roman"/>
          <w:i/>
          <w:sz w:val="28"/>
          <w:szCs w:val="28"/>
        </w:rPr>
      </w:pPr>
      <w:r>
        <w:rPr>
          <w:rFonts w:ascii="Times New Roman" w:hAnsi="Times New Roman"/>
          <w:i/>
          <w:sz w:val="28"/>
        </w:rPr>
        <w:lastRenderedPageBreak/>
        <w:t>3. Właściwy organ wydający nakaz w Hiszpanii chce przesłuchać eksperta mieszkającego w Atenach, w Grecji.</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27362E76"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Nazwa:</w:t>
            </w:r>
            <w:r>
              <w:rPr>
                <w:rFonts w:ascii="Times New Roman" w:hAnsi="Times New Roman"/>
                <w:sz w:val="28"/>
              </w:rPr>
              <w:t xml:space="preserve"> </w:t>
            </w:r>
            <w:r>
              <w:rPr>
                <w:rFonts w:ascii="Times New Roman" w:hAnsi="Times New Roman"/>
                <w:sz w:val="28"/>
              </w:rPr>
              <w:tab/>
            </w:r>
            <w:r>
              <w:rPr>
                <w:rFonts w:ascii="Times New Roman" w:hAnsi="Times New Roman"/>
                <w:sz w:val="28"/>
              </w:rPr>
              <w:tab/>
              <w:t>Prokuratura przy Sądzie Apelacyjnym w Atenach</w:t>
            </w:r>
          </w:p>
          <w:p w14:paraId="7623C173" w14:textId="6BEE4BB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Adres: </w:t>
            </w:r>
            <w:r>
              <w:rPr>
                <w:rFonts w:ascii="Times New Roman" w:hAnsi="Times New Roman"/>
                <w:b/>
                <w:sz w:val="28"/>
              </w:rPr>
              <w:tab/>
            </w:r>
            <w:r>
              <w:rPr>
                <w:rFonts w:ascii="Times New Roman" w:hAnsi="Times New Roman"/>
                <w:sz w:val="28"/>
              </w:rPr>
              <w:tab/>
            </w:r>
            <w:proofErr w:type="spellStart"/>
            <w:r>
              <w:rPr>
                <w:rFonts w:ascii="Times New Roman" w:hAnsi="Times New Roman"/>
                <w:sz w:val="28"/>
              </w:rPr>
              <w:t>Kirilou</w:t>
            </w:r>
            <w:proofErr w:type="spellEnd"/>
            <w:r>
              <w:rPr>
                <w:rFonts w:ascii="Times New Roman" w:hAnsi="Times New Roman"/>
                <w:sz w:val="28"/>
              </w:rPr>
              <w:t xml:space="preserve"> </w:t>
            </w:r>
            <w:proofErr w:type="spellStart"/>
            <w:r>
              <w:rPr>
                <w:rFonts w:ascii="Times New Roman" w:hAnsi="Times New Roman"/>
                <w:sz w:val="28"/>
              </w:rPr>
              <w:t>Loukareos</w:t>
            </w:r>
            <w:proofErr w:type="spellEnd"/>
            <w:r>
              <w:rPr>
                <w:rFonts w:ascii="Times New Roman" w:hAnsi="Times New Roman"/>
                <w:sz w:val="28"/>
              </w:rPr>
              <w:t xml:space="preserve"> 14 </w:t>
            </w:r>
          </w:p>
          <w:p w14:paraId="7DEB5865"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54C16245" w14:textId="62D594DB" w:rsidR="00E5457B" w:rsidRPr="00B074A0" w:rsidRDefault="00D237AB" w:rsidP="003835C2">
            <w:pPr>
              <w:spacing w:after="0" w:line="240" w:lineRule="auto"/>
              <w:jc w:val="both"/>
              <w:rPr>
                <w:rFonts w:ascii="Times New Roman" w:hAnsi="Times New Roman" w:cs="Times New Roman"/>
                <w:sz w:val="28"/>
                <w:szCs w:val="28"/>
              </w:rPr>
            </w:pPr>
            <w:r>
              <w:rPr>
                <w:rFonts w:ascii="Times New Roman" w:hAnsi="Times New Roman"/>
                <w:sz w:val="28"/>
              </w:rPr>
              <w:tab/>
            </w:r>
            <w:r>
              <w:rPr>
                <w:rFonts w:ascii="Times New Roman" w:hAnsi="Times New Roman"/>
                <w:sz w:val="28"/>
              </w:rPr>
              <w:tab/>
            </w:r>
            <w:r>
              <w:rPr>
                <w:rFonts w:ascii="Times New Roman" w:hAnsi="Times New Roman"/>
                <w:sz w:val="28"/>
              </w:rPr>
              <w:tab/>
              <w:t xml:space="preserve">Departament ekstradycji i pomocy sądowej </w:t>
            </w:r>
          </w:p>
          <w:p w14:paraId="19E3D6E6" w14:textId="5DD1422F"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Miasto:</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sidR="002640EB">
              <w:rPr>
                <w:rFonts w:ascii="Times New Roman" w:hAnsi="Times New Roman"/>
                <w:sz w:val="28"/>
              </w:rPr>
              <w:tab/>
            </w:r>
            <w:r>
              <w:rPr>
                <w:rFonts w:ascii="Times New Roman" w:hAnsi="Times New Roman"/>
                <w:sz w:val="28"/>
              </w:rPr>
              <w:t xml:space="preserve">Ateny </w:t>
            </w:r>
          </w:p>
          <w:p w14:paraId="54B7E343" w14:textId="37161AA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 xml:space="preserve">11475 </w:t>
            </w:r>
          </w:p>
          <w:p w14:paraId="2D96538A" w14:textId="2B42DEDC"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+30 210 64 04 612 </w:t>
            </w:r>
          </w:p>
          <w:p w14:paraId="7B0F929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1F76E925" w14:textId="4078209E"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+30 210 64 04 667 </w:t>
            </w:r>
          </w:p>
          <w:p w14:paraId="2FDAFEE5" w14:textId="6AF494E6"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 e-mail:</w:t>
            </w:r>
            <w:r>
              <w:rPr>
                <w:rFonts w:ascii="Times New Roman" w:hAnsi="Times New Roman"/>
                <w:color w:val="2F5496" w:themeColor="accent1" w:themeShade="BF"/>
                <w:sz w:val="28"/>
              </w:rPr>
              <w:t xml:space="preserve"> </w:t>
            </w:r>
            <w:r>
              <w:rPr>
                <w:rFonts w:ascii="Times New Roman" w:hAnsi="Times New Roman"/>
                <w:sz w:val="28"/>
              </w:rPr>
              <w:tab/>
              <w:t>cpejn1@otenet.gr</w:t>
            </w:r>
          </w:p>
        </w:tc>
      </w:tr>
    </w:tbl>
    <w:p w14:paraId="12A769E3" w14:textId="77777777" w:rsidR="008E01F6" w:rsidRPr="00B074A0" w:rsidRDefault="008E01F6" w:rsidP="006A27CE">
      <w:pPr>
        <w:spacing w:line="240" w:lineRule="auto"/>
        <w:jc w:val="both"/>
        <w:rPr>
          <w:rFonts w:ascii="Times New Roman" w:hAnsi="Times New Roman" w:cs="Times New Roman"/>
          <w:i/>
          <w:sz w:val="28"/>
          <w:szCs w:val="28"/>
          <w:lang w:val="en-GB"/>
        </w:rPr>
      </w:pPr>
    </w:p>
    <w:p w14:paraId="189641A9" w14:textId="7BC6BF57" w:rsidR="00D237AB" w:rsidRPr="00B074A0" w:rsidRDefault="00D237AB" w:rsidP="006A27CE">
      <w:pPr>
        <w:spacing w:line="240" w:lineRule="auto"/>
        <w:jc w:val="both"/>
        <w:rPr>
          <w:rFonts w:ascii="Times New Roman" w:hAnsi="Times New Roman" w:cs="Times New Roman"/>
          <w:i/>
          <w:sz w:val="28"/>
          <w:szCs w:val="28"/>
        </w:rPr>
      </w:pPr>
      <w:r>
        <w:rPr>
          <w:rFonts w:ascii="Times New Roman" w:hAnsi="Times New Roman"/>
          <w:i/>
          <w:sz w:val="28"/>
        </w:rPr>
        <w:t>4. Rumuński właściwy organ wydający nakaz chce przechwycić połączenie telekomunikacyjne podejrzanego znajdującego się we Francji bez pomocy technicznej.</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CDAB44" w14:textId="3B5DB0C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Nazwa:</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Biuro Międzynarodowej Wzajemnej Pomocy Prawnej w </w:t>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Pr>
                <w:rFonts w:ascii="Times New Roman" w:hAnsi="Times New Roman"/>
                <w:sz w:val="28"/>
              </w:rPr>
              <w:t xml:space="preserve">Sprawach Karnych, Wydział Spraw Karnych i Ułaskawień, </w:t>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Pr>
                <w:rFonts w:ascii="Times New Roman" w:hAnsi="Times New Roman"/>
                <w:sz w:val="28"/>
              </w:rPr>
              <w:t xml:space="preserve">Ministerstwo Sprawiedliwości. </w:t>
            </w:r>
          </w:p>
          <w:p w14:paraId="3D3009C6" w14:textId="7FF5D4D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13, Place </w:t>
            </w:r>
            <w:proofErr w:type="spellStart"/>
            <w:r>
              <w:rPr>
                <w:rFonts w:ascii="Times New Roman" w:hAnsi="Times New Roman"/>
                <w:sz w:val="28"/>
              </w:rPr>
              <w:t>Vendôme</w:t>
            </w:r>
            <w:proofErr w:type="spellEnd"/>
            <w:r>
              <w:rPr>
                <w:rFonts w:ascii="Times New Roman" w:hAnsi="Times New Roman"/>
                <w:sz w:val="28"/>
              </w:rPr>
              <w:t xml:space="preserve"> </w:t>
            </w:r>
          </w:p>
          <w:p w14:paraId="7A8D96D0"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76F3C200" w14:textId="645EBFD6" w:rsidR="00E5457B" w:rsidRPr="00B074A0" w:rsidRDefault="00D237AB" w:rsidP="003835C2">
            <w:pPr>
              <w:spacing w:after="0" w:line="240" w:lineRule="auto"/>
              <w:jc w:val="both"/>
              <w:rPr>
                <w:rFonts w:ascii="Times New Roman" w:hAnsi="Times New Roman" w:cs="Times New Roman"/>
                <w:sz w:val="28"/>
                <w:szCs w:val="28"/>
              </w:rPr>
            </w:pPr>
            <w:r>
              <w:rPr>
                <w:rFonts w:ascii="Times New Roman" w:hAnsi="Times New Roman"/>
                <w:sz w:val="28"/>
              </w:rPr>
              <w:tab/>
            </w:r>
            <w:r>
              <w:rPr>
                <w:rFonts w:ascii="Times New Roman" w:hAnsi="Times New Roman"/>
                <w:sz w:val="28"/>
              </w:rPr>
              <w:tab/>
            </w:r>
            <w:r>
              <w:rPr>
                <w:rFonts w:ascii="Times New Roman" w:hAnsi="Times New Roman"/>
                <w:sz w:val="28"/>
              </w:rPr>
              <w:tab/>
              <w:t xml:space="preserve">Informacje dotyczące tego środka przekazuje się za </w:t>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Pr>
                <w:rFonts w:ascii="Times New Roman" w:hAnsi="Times New Roman"/>
                <w:sz w:val="28"/>
              </w:rPr>
              <w:t xml:space="preserve">pośrednictwem ministerstwa sprawiedliwości, biura ds. </w:t>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sidR="002640EB">
              <w:rPr>
                <w:rFonts w:ascii="Times New Roman" w:hAnsi="Times New Roman"/>
                <w:sz w:val="28"/>
              </w:rPr>
              <w:tab/>
            </w:r>
            <w:r>
              <w:rPr>
                <w:rFonts w:ascii="Times New Roman" w:hAnsi="Times New Roman"/>
                <w:sz w:val="28"/>
              </w:rPr>
              <w:t xml:space="preserve">międzynarodowej wzajemnej pomocy prawnej. </w:t>
            </w:r>
          </w:p>
          <w:p w14:paraId="73BECD6A" w14:textId="6C69460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Miasto:</w:t>
            </w:r>
            <w:r w:rsidR="002640EB">
              <w:rPr>
                <w:rFonts w:ascii="Times New Roman" w:hAnsi="Times New Roman"/>
                <w:sz w:val="28"/>
              </w:rPr>
              <w:t xml:space="preserve"> </w:t>
            </w:r>
            <w:r w:rsidR="002640EB">
              <w:rPr>
                <w:rFonts w:ascii="Times New Roman" w:hAnsi="Times New Roman"/>
                <w:sz w:val="28"/>
              </w:rPr>
              <w:tab/>
            </w:r>
            <w:r w:rsidR="002640EB">
              <w:rPr>
                <w:rFonts w:ascii="Times New Roman" w:hAnsi="Times New Roman"/>
                <w:sz w:val="28"/>
              </w:rPr>
              <w:tab/>
            </w:r>
            <w:r>
              <w:rPr>
                <w:rFonts w:ascii="Times New Roman" w:hAnsi="Times New Roman"/>
                <w:sz w:val="28"/>
              </w:rPr>
              <w:t xml:space="preserve">Paryż </w:t>
            </w:r>
            <w:proofErr w:type="spellStart"/>
            <w:r>
              <w:rPr>
                <w:rFonts w:ascii="Times New Roman" w:hAnsi="Times New Roman"/>
                <w:sz w:val="28"/>
              </w:rPr>
              <w:t>cedex</w:t>
            </w:r>
            <w:proofErr w:type="spellEnd"/>
            <w:r>
              <w:rPr>
                <w:rFonts w:ascii="Times New Roman" w:hAnsi="Times New Roman"/>
                <w:sz w:val="28"/>
              </w:rPr>
              <w:t xml:space="preserve"> 01 </w:t>
            </w:r>
          </w:p>
          <w:p w14:paraId="79DB5198" w14:textId="7A178AE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Kod pocztowy: </w:t>
            </w:r>
            <w:r>
              <w:rPr>
                <w:rFonts w:ascii="Times New Roman" w:hAnsi="Times New Roman"/>
                <w:b/>
                <w:sz w:val="28"/>
              </w:rPr>
              <w:tab/>
            </w:r>
            <w:r>
              <w:rPr>
                <w:rFonts w:ascii="Times New Roman" w:hAnsi="Times New Roman"/>
                <w:sz w:val="28"/>
              </w:rPr>
              <w:t xml:space="preserve">75042 </w:t>
            </w:r>
          </w:p>
          <w:p w14:paraId="6DD626A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Numer telefonu: </w:t>
            </w:r>
          </w:p>
          <w:p w14:paraId="4B94FCC7"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2DB235BC"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Numer faksu: </w:t>
            </w:r>
          </w:p>
          <w:p w14:paraId="28C4462A" w14:textId="2544A2A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 e-mail:</w:t>
            </w:r>
            <w:r>
              <w:rPr>
                <w:rFonts w:ascii="Times New Roman" w:hAnsi="Times New Roman"/>
                <w:color w:val="2F5496" w:themeColor="accent1" w:themeShade="BF"/>
                <w:sz w:val="28"/>
              </w:rPr>
              <w:t xml:space="preserve"> </w:t>
            </w:r>
            <w:r>
              <w:rPr>
                <w:rFonts w:ascii="Times New Roman" w:hAnsi="Times New Roman"/>
                <w:sz w:val="28"/>
              </w:rPr>
              <w:tab/>
              <w:t>liste.entraide.dacg-bepi@justice.gouv.fr</w:t>
            </w:r>
          </w:p>
        </w:tc>
      </w:tr>
    </w:tbl>
    <w:p w14:paraId="4C9BA0ED" w14:textId="44E5426D" w:rsidR="003835C2" w:rsidRPr="00B074A0" w:rsidRDefault="003835C2" w:rsidP="006A27CE">
      <w:pPr>
        <w:spacing w:line="240" w:lineRule="auto"/>
        <w:jc w:val="both"/>
        <w:rPr>
          <w:rFonts w:ascii="Times New Roman" w:hAnsi="Times New Roman" w:cs="Times New Roman"/>
          <w:sz w:val="28"/>
          <w:szCs w:val="28"/>
          <w:lang w:val="en-GB"/>
        </w:rPr>
      </w:pPr>
    </w:p>
    <w:p w14:paraId="46444A5A" w14:textId="33E1E2CE" w:rsidR="00D67D9C" w:rsidRPr="00B074A0" w:rsidRDefault="003835C2" w:rsidP="008E01F6">
      <w:pPr>
        <w:rPr>
          <w:rFonts w:ascii="Times New Roman" w:hAnsi="Times New Roman" w:cs="Times New Roman"/>
          <w:sz w:val="28"/>
          <w:szCs w:val="28"/>
        </w:rPr>
      </w:pPr>
      <w:r>
        <w:br w:type="page"/>
      </w:r>
    </w:p>
    <w:p w14:paraId="51331FB3" w14:textId="6C8B51A4" w:rsidR="00724F2A" w:rsidRPr="00B074A0" w:rsidRDefault="00626A9B" w:rsidP="006A27C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A. III. Scenariusz przypadku 2</w:t>
      </w:r>
    </w:p>
    <w:p w14:paraId="7981F8E0" w14:textId="77777777" w:rsidR="00A93039" w:rsidRPr="00B074A0" w:rsidRDefault="00594403" w:rsidP="006A27CE">
      <w:pPr>
        <w:spacing w:line="240" w:lineRule="auto"/>
        <w:jc w:val="both"/>
        <w:rPr>
          <w:rFonts w:ascii="Times New Roman" w:hAnsi="Times New Roman" w:cs="Times New Roman"/>
          <w:b/>
          <w:bCs/>
          <w:i/>
          <w:iCs/>
          <w:sz w:val="28"/>
          <w:szCs w:val="28"/>
        </w:rPr>
      </w:pPr>
      <w:r>
        <w:rPr>
          <w:rFonts w:ascii="Times New Roman" w:hAnsi="Times New Roman"/>
          <w:b/>
          <w:i/>
          <w:color w:val="2F5496" w:themeColor="accent1" w:themeShade="BF"/>
          <w:sz w:val="28"/>
        </w:rPr>
        <w:t>P1:</w:t>
      </w:r>
      <w:r>
        <w:rPr>
          <w:rFonts w:ascii="Times New Roman" w:hAnsi="Times New Roman"/>
          <w:i/>
          <w:color w:val="2F5496" w:themeColor="accent1" w:themeShade="BF"/>
          <w:sz w:val="28"/>
        </w:rPr>
        <w:t xml:space="preserve"> Znajdź niemiecki właściwy organ, do którego rumuński organ sądowy musi się zwrócić w sprawie przeszukania domu A.W.</w:t>
      </w:r>
      <w:r>
        <w:rPr>
          <w:rFonts w:ascii="Times New Roman" w:hAnsi="Times New Roman"/>
          <w:b/>
          <w:i/>
          <w:sz w:val="28"/>
        </w:rPr>
        <w:t xml:space="preserve"> </w:t>
      </w:r>
    </w:p>
    <w:p w14:paraId="6372ABF7" w14:textId="41540D34" w:rsidR="00626A9B" w:rsidRPr="00B074A0" w:rsidRDefault="00A93039"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sz w:val="28"/>
          <w:u w:val="single"/>
        </w:rPr>
        <w:t>(zob. wyjaśnienia w załączniku poniżej</w:t>
      </w:r>
      <w:r>
        <w:rPr>
          <w:rFonts w:ascii="Times New Roman" w:hAnsi="Times New Roman"/>
          <w:b/>
          <w:i/>
          <w:sz w:val="28"/>
        </w:rPr>
        <w:t>)</w:t>
      </w:r>
    </w:p>
    <w:p w14:paraId="7849662C" w14:textId="0712EB22" w:rsidR="007F5C92" w:rsidRPr="00B074A0" w:rsidRDefault="007F5C92" w:rsidP="006A27CE">
      <w:pPr>
        <w:spacing w:line="240" w:lineRule="auto"/>
        <w:jc w:val="both"/>
        <w:rPr>
          <w:rFonts w:ascii="Times New Roman" w:hAnsi="Times New Roman" w:cs="Times New Roman"/>
          <w:sz w:val="28"/>
          <w:szCs w:val="28"/>
        </w:rPr>
      </w:pPr>
      <w:r>
        <w:rPr>
          <w:rFonts w:ascii="Times New Roman" w:hAnsi="Times New Roman"/>
          <w:sz w:val="28"/>
        </w:rPr>
        <w:t xml:space="preserve">W celu odnalezienia właściwego organu wykonującego nakaz uczestnicy zostaną poinstruowani, jak korzystać z </w:t>
      </w:r>
      <w:hyperlink r:id="rId23" w:history="1">
        <w:r>
          <w:rPr>
            <w:rStyle w:val="Hipercze"/>
            <w:rFonts w:ascii="Times New Roman" w:hAnsi="Times New Roman"/>
            <w:b/>
            <w:i/>
            <w:sz w:val="28"/>
          </w:rPr>
          <w:t>Atlasu</w:t>
        </w:r>
        <w:r>
          <w:rPr>
            <w:rStyle w:val="Hipercze"/>
            <w:rFonts w:ascii="Times New Roman" w:hAnsi="Times New Roman"/>
            <w:sz w:val="28"/>
          </w:rPr>
          <w:t xml:space="preserve"> znajdującego się na </w:t>
        </w:r>
        <w:r>
          <w:rPr>
            <w:rStyle w:val="Hipercze"/>
            <w:rFonts w:ascii="Times New Roman" w:hAnsi="Times New Roman"/>
            <w:b/>
            <w:sz w:val="28"/>
          </w:rPr>
          <w:t>stronie internetowej Europejskiej Sieci Sądowej</w:t>
        </w:r>
      </w:hyperlink>
      <w:r>
        <w:rPr>
          <w:rFonts w:ascii="Times New Roman" w:hAnsi="Times New Roman"/>
          <w:sz w:val="28"/>
        </w:rPr>
        <w:t xml:space="preserve"> postępując zgodnie z podanymi tam krokami.</w:t>
      </w:r>
    </w:p>
    <w:p w14:paraId="32A0AB19" w14:textId="632DD53C" w:rsidR="007F5C92" w:rsidRPr="00B074A0" w:rsidRDefault="007F5C92" w:rsidP="006A27CE">
      <w:pPr>
        <w:spacing w:line="240" w:lineRule="auto"/>
        <w:jc w:val="both"/>
        <w:rPr>
          <w:rFonts w:ascii="Times New Roman" w:hAnsi="Times New Roman" w:cs="Times New Roman"/>
          <w:i/>
          <w:iCs/>
          <w:sz w:val="28"/>
          <w:szCs w:val="28"/>
        </w:rPr>
      </w:pPr>
      <w:r>
        <w:rPr>
          <w:rFonts w:ascii="Times New Roman" w:hAnsi="Times New Roman"/>
          <w:sz w:val="28"/>
        </w:rPr>
        <w:t xml:space="preserve">Najpierw wybieramy kraj, w którym chcemy się zająć END, czyli w naszym przypadku Niemcy, a następnie wybieramy poszukiwaną czynność dochodzeniową, czyli w naszym przypadku </w:t>
      </w:r>
      <w:r>
        <w:rPr>
          <w:rFonts w:ascii="Times New Roman" w:hAnsi="Times New Roman"/>
          <w:i/>
          <w:sz w:val="28"/>
        </w:rPr>
        <w:t>601</w:t>
      </w:r>
      <w:r>
        <w:rPr>
          <w:rFonts w:ascii="Times New Roman" w:hAnsi="Times New Roman"/>
          <w:sz w:val="28"/>
        </w:rPr>
        <w:t>.</w:t>
      </w:r>
      <w:r>
        <w:rPr>
          <w:rFonts w:ascii="Times New Roman" w:hAnsi="Times New Roman"/>
          <w:i/>
          <w:sz w:val="28"/>
        </w:rPr>
        <w:t xml:space="preserve"> Przeszukanie domu.</w:t>
      </w:r>
    </w:p>
    <w:p w14:paraId="26ADFEDE" w14:textId="1A5ED325" w:rsidR="00177859" w:rsidRPr="00B074A0" w:rsidRDefault="00177859" w:rsidP="00A93039">
      <w:pPr>
        <w:spacing w:line="240" w:lineRule="auto"/>
        <w:jc w:val="both"/>
        <w:rPr>
          <w:rFonts w:ascii="Times New Roman" w:hAnsi="Times New Roman" w:cs="Times New Roman"/>
          <w:sz w:val="28"/>
          <w:szCs w:val="28"/>
        </w:rPr>
      </w:pPr>
      <w:r>
        <w:rPr>
          <w:rFonts w:ascii="Times New Roman" w:hAnsi="Times New Roman"/>
          <w:sz w:val="28"/>
        </w:rPr>
        <w:t xml:space="preserve">Po wybraniu czynności dochodzeniowej zaznaczamy, że miejsce jest </w:t>
      </w:r>
      <w:r>
        <w:rPr>
          <w:rFonts w:ascii="Times New Roman" w:hAnsi="Times New Roman"/>
          <w:i/>
          <w:sz w:val="28"/>
        </w:rPr>
        <w:t xml:space="preserve">znane </w:t>
      </w:r>
      <w:r>
        <w:rPr>
          <w:rFonts w:ascii="Times New Roman" w:hAnsi="Times New Roman"/>
          <w:sz w:val="28"/>
        </w:rPr>
        <w:t xml:space="preserve">(w naszym przypadku Stuttgart), następnie wybieramy </w:t>
      </w:r>
      <w:r>
        <w:rPr>
          <w:rFonts w:ascii="Times New Roman" w:hAnsi="Times New Roman"/>
          <w:i/>
          <w:sz w:val="28"/>
        </w:rPr>
        <w:t xml:space="preserve">dyrektywę Parlamentu Europejskiego i Rady 2014/41/UE z dnia 3 kwietnia 2014 r. w sprawie END w sprawach karnych </w:t>
      </w:r>
      <w:r>
        <w:rPr>
          <w:rFonts w:ascii="Times New Roman" w:hAnsi="Times New Roman"/>
          <w:sz w:val="28"/>
        </w:rPr>
        <w:t>jako mający zastosowanie instrument prawny (ponieważ wcześniej widzieliśmy, że wszystkie państwa członkowskie dokonały transpozycji dyrektywy z wyjątkiem Danii i Irlandii, które są jej częścią), a na koniec wprowadzamy Stuttgart jako miejscowość, której dotyczy czynność.</w:t>
      </w:r>
    </w:p>
    <w:p w14:paraId="6A7EA904" w14:textId="15F507F1" w:rsidR="00177859" w:rsidRPr="00B074A0" w:rsidRDefault="00177859" w:rsidP="006A27CE">
      <w:pPr>
        <w:spacing w:line="240" w:lineRule="auto"/>
        <w:jc w:val="both"/>
        <w:rPr>
          <w:rFonts w:ascii="Times New Roman" w:hAnsi="Times New Roman" w:cs="Times New Roman"/>
          <w:sz w:val="28"/>
          <w:szCs w:val="28"/>
        </w:rPr>
      </w:pPr>
      <w:r>
        <w:rPr>
          <w:rFonts w:ascii="Times New Roman" w:hAnsi="Times New Roman"/>
          <w:sz w:val="28"/>
        </w:rPr>
        <w:t>Wynik naszych poszukiwań powinien wyglądać następująco:</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B074A0" w14:paraId="54A4471A" w14:textId="77777777" w:rsidTr="005627BB">
        <w:trPr>
          <w:trHeight w:val="710"/>
        </w:trPr>
        <w:tc>
          <w:tcPr>
            <w:tcW w:w="8910" w:type="dxa"/>
            <w:shd w:val="clear" w:color="auto" w:fill="B4C6E7" w:themeFill="accent1" w:themeFillTint="66"/>
          </w:tcPr>
          <w:p w14:paraId="46C3140F" w14:textId="77777777" w:rsidR="00C22352"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Nazwa organu wykonującego nakaz: </w:t>
            </w:r>
          </w:p>
          <w:p w14:paraId="01D8824C" w14:textId="4603C2DA" w:rsidR="00177859" w:rsidRPr="00B074A0" w:rsidRDefault="00C22352" w:rsidP="003835C2">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proofErr w:type="spellStart"/>
            <w:r>
              <w:rPr>
                <w:rFonts w:ascii="Times New Roman" w:hAnsi="Times New Roman"/>
                <w:sz w:val="28"/>
              </w:rPr>
              <w:t>Staatsanwaltschaft</w:t>
            </w:r>
            <w:proofErr w:type="spellEnd"/>
            <w:r>
              <w:rPr>
                <w:rFonts w:ascii="Times New Roman" w:hAnsi="Times New Roman"/>
                <w:sz w:val="28"/>
              </w:rPr>
              <w:t xml:space="preserve"> Stuttgart </w:t>
            </w:r>
          </w:p>
          <w:p w14:paraId="6A0B598D" w14:textId="5EDF6F10"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proofErr w:type="spellStart"/>
            <w:r>
              <w:rPr>
                <w:rFonts w:ascii="Times New Roman" w:hAnsi="Times New Roman"/>
                <w:sz w:val="28"/>
              </w:rPr>
              <w:t>Neckarstr</w:t>
            </w:r>
            <w:proofErr w:type="spellEnd"/>
            <w:r>
              <w:rPr>
                <w:rFonts w:ascii="Times New Roman" w:hAnsi="Times New Roman"/>
                <w:sz w:val="28"/>
              </w:rPr>
              <w:t xml:space="preserve">. 145 </w:t>
            </w:r>
          </w:p>
          <w:p w14:paraId="50775C0D" w14:textId="77777777"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0E1349CC" w14:textId="47DE9223"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Miasto:</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Stuttgart </w:t>
            </w:r>
          </w:p>
          <w:p w14:paraId="2A6168CA" w14:textId="6EAE51D9"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70190 </w:t>
            </w:r>
          </w:p>
          <w:p w14:paraId="75FDE50C" w14:textId="6A1E80EF"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 xml:space="preserve">(+49) 711 9210 </w:t>
            </w:r>
          </w:p>
          <w:p w14:paraId="2848EB22" w14:textId="77777777"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64E7E9AD" w14:textId="2F4542B7" w:rsidR="001C5A7D"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(+49) 711 9214009 </w:t>
            </w:r>
          </w:p>
          <w:p w14:paraId="77961B5A" w14:textId="36F16924" w:rsidR="00177859" w:rsidRPr="00B074A0" w:rsidRDefault="00177859" w:rsidP="003835C2">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Adres e-mail:</w:t>
            </w:r>
          </w:p>
        </w:tc>
      </w:tr>
    </w:tbl>
    <w:p w14:paraId="50A78D41" w14:textId="5F7ADD32" w:rsidR="001D0803" w:rsidRPr="00B074A0" w:rsidRDefault="001D0803" w:rsidP="006A27CE">
      <w:pPr>
        <w:spacing w:line="240" w:lineRule="auto"/>
        <w:jc w:val="both"/>
        <w:rPr>
          <w:rFonts w:ascii="Times New Roman" w:hAnsi="Times New Roman" w:cs="Times New Roman"/>
          <w:sz w:val="28"/>
          <w:szCs w:val="28"/>
          <w:lang w:val="en-GB"/>
        </w:rPr>
      </w:pPr>
    </w:p>
    <w:p w14:paraId="7F6F5013" w14:textId="0616F725" w:rsidR="001C5A7D" w:rsidRPr="00B074A0" w:rsidRDefault="001C5A7D" w:rsidP="006A27CE">
      <w:pPr>
        <w:spacing w:line="240" w:lineRule="auto"/>
        <w:jc w:val="both"/>
        <w:rPr>
          <w:rFonts w:ascii="Times New Roman" w:hAnsi="Times New Roman" w:cs="Times New Roman"/>
          <w:sz w:val="28"/>
          <w:szCs w:val="28"/>
        </w:rPr>
      </w:pPr>
      <w:r>
        <w:rPr>
          <w:rFonts w:ascii="Times New Roman" w:hAnsi="Times New Roman"/>
          <w:sz w:val="28"/>
        </w:rPr>
        <w:t>Jak widać, organem wykonującym w naszym przypadku jest prokuratura w Stuttgarcie, a niektóre dane kontaktowe podano po to, by organ wydający nakaz wiedział, dokąd wysłać END, aby został on uznany i wykonany przez wyżej wymieniony organ wykonujący.</w:t>
      </w:r>
    </w:p>
    <w:p w14:paraId="55672075" w14:textId="73B387F6" w:rsidR="003835C2" w:rsidRPr="00B074A0" w:rsidRDefault="00EE6A3D" w:rsidP="006A27CE">
      <w:pPr>
        <w:spacing w:line="240" w:lineRule="auto"/>
        <w:jc w:val="both"/>
        <w:rPr>
          <w:rFonts w:ascii="Times New Roman" w:hAnsi="Times New Roman" w:cs="Times New Roman"/>
          <w:sz w:val="28"/>
          <w:szCs w:val="28"/>
        </w:rPr>
      </w:pPr>
      <w:r>
        <w:rPr>
          <w:rFonts w:ascii="Times New Roman" w:hAnsi="Times New Roman"/>
          <w:sz w:val="28"/>
        </w:rPr>
        <w:t>Dane kontaktowe są również bardzo ważne dla obu organów sądowych, aby mogły one nawiązać bezpośredni kontakt, co wyraźnie przewiduje dyrektywa w sprawie END.</w:t>
      </w:r>
    </w:p>
    <w:p w14:paraId="66DE280E" w14:textId="7B3002EE" w:rsidR="007F5C92" w:rsidRPr="00B074A0" w:rsidRDefault="003835C2" w:rsidP="003835C2">
      <w:pPr>
        <w:rPr>
          <w:rFonts w:ascii="Times New Roman" w:hAnsi="Times New Roman" w:cs="Times New Roman"/>
          <w:sz w:val="28"/>
          <w:szCs w:val="28"/>
        </w:rPr>
      </w:pPr>
      <w:r>
        <w:br w:type="page"/>
      </w:r>
    </w:p>
    <w:p w14:paraId="7FC09FCE" w14:textId="7BED4D82" w:rsidR="00724F2A" w:rsidRPr="00B074A0" w:rsidRDefault="00E241CA"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 xml:space="preserve">P2: </w:t>
      </w:r>
      <w:r>
        <w:rPr>
          <w:rFonts w:ascii="Times New Roman" w:hAnsi="Times New Roman"/>
          <w:i/>
          <w:color w:val="2F5496" w:themeColor="accent1" w:themeShade="BF"/>
          <w:sz w:val="28"/>
        </w:rPr>
        <w:t>Należy znaleźć właściwy organ austriacki, który pomoże rumuńskiemu organowi sądowemu w przesłuchaniu świadka w formie wideokonferencji.</w:t>
      </w:r>
    </w:p>
    <w:p w14:paraId="48ACA0A3" w14:textId="536A56A4" w:rsidR="00A93039" w:rsidRPr="00B074A0" w:rsidRDefault="00A93039" w:rsidP="006A27CE">
      <w:pPr>
        <w:spacing w:line="240" w:lineRule="auto"/>
        <w:jc w:val="both"/>
        <w:rPr>
          <w:rFonts w:ascii="Times New Roman" w:hAnsi="Times New Roman" w:cs="Times New Roman"/>
          <w:sz w:val="28"/>
          <w:szCs w:val="28"/>
        </w:rPr>
      </w:pPr>
      <w:r>
        <w:rPr>
          <w:rFonts w:ascii="Times New Roman" w:hAnsi="Times New Roman"/>
          <w:b/>
          <w:i/>
          <w:sz w:val="28"/>
          <w:u w:val="single"/>
        </w:rPr>
        <w:t>(zob. dalsze wyjaśnienia w załączniku poniżej</w:t>
      </w:r>
      <w:r>
        <w:rPr>
          <w:rFonts w:ascii="Times New Roman" w:hAnsi="Times New Roman"/>
          <w:b/>
          <w:i/>
          <w:sz w:val="28"/>
        </w:rPr>
        <w:t>)</w:t>
      </w:r>
    </w:p>
    <w:p w14:paraId="7E188D14" w14:textId="49A4269B" w:rsidR="00C22352" w:rsidRPr="00B074A0" w:rsidRDefault="00C22352" w:rsidP="006A27CE">
      <w:pPr>
        <w:spacing w:line="240" w:lineRule="auto"/>
        <w:jc w:val="both"/>
        <w:rPr>
          <w:rFonts w:ascii="Times New Roman" w:hAnsi="Times New Roman" w:cs="Times New Roman"/>
          <w:sz w:val="28"/>
          <w:szCs w:val="28"/>
        </w:rPr>
      </w:pPr>
      <w:r>
        <w:rPr>
          <w:rFonts w:ascii="Times New Roman" w:hAnsi="Times New Roman"/>
          <w:sz w:val="28"/>
        </w:rPr>
        <w:t xml:space="preserve">Aby znaleźć właściwy organ wykonujący, uczestnicy ponownie skorzystają z </w:t>
      </w:r>
      <w:hyperlink r:id="rId24" w:history="1">
        <w:r>
          <w:rPr>
            <w:rStyle w:val="Hipercze"/>
            <w:rFonts w:ascii="Times New Roman" w:hAnsi="Times New Roman"/>
            <w:b/>
            <w:i/>
            <w:sz w:val="28"/>
          </w:rPr>
          <w:t>Atlasu</w:t>
        </w:r>
        <w:r>
          <w:rPr>
            <w:rStyle w:val="Hipercze"/>
            <w:rFonts w:ascii="Times New Roman" w:hAnsi="Times New Roman"/>
            <w:sz w:val="28"/>
          </w:rPr>
          <w:t xml:space="preserve"> ze </w:t>
        </w:r>
        <w:r>
          <w:rPr>
            <w:rStyle w:val="Hipercze"/>
            <w:rFonts w:ascii="Times New Roman" w:hAnsi="Times New Roman"/>
            <w:b/>
            <w:sz w:val="28"/>
          </w:rPr>
          <w:t>strony internetowej Europejskiej Sieci Sądowej</w:t>
        </w:r>
      </w:hyperlink>
      <w:r>
        <w:rPr>
          <w:rFonts w:ascii="Times New Roman" w:hAnsi="Times New Roman"/>
          <w:sz w:val="28"/>
        </w:rPr>
        <w:t xml:space="preserve"> postępując zgodnie z podanymi tam krokami.</w:t>
      </w:r>
    </w:p>
    <w:p w14:paraId="341D4D24" w14:textId="36E63E4A" w:rsidR="005F19DE" w:rsidRPr="00B074A0" w:rsidRDefault="005F19DE" w:rsidP="006A27CE">
      <w:pPr>
        <w:spacing w:line="240" w:lineRule="auto"/>
        <w:jc w:val="both"/>
        <w:rPr>
          <w:rFonts w:ascii="Times New Roman" w:hAnsi="Times New Roman" w:cs="Times New Roman"/>
          <w:i/>
          <w:iCs/>
          <w:sz w:val="28"/>
          <w:szCs w:val="28"/>
        </w:rPr>
      </w:pPr>
      <w:r>
        <w:rPr>
          <w:rFonts w:ascii="Times New Roman" w:hAnsi="Times New Roman"/>
          <w:sz w:val="28"/>
        </w:rPr>
        <w:t xml:space="preserve">Najpierw wybieramy kraj, w którym chcemy się zająć END, czyli w naszym przypadku Austrię, a następnie wybieramy poszukiwaną czynność dochodzeniową, w naszym przypadku </w:t>
      </w:r>
      <w:r>
        <w:rPr>
          <w:rFonts w:ascii="Times New Roman" w:hAnsi="Times New Roman"/>
          <w:i/>
          <w:sz w:val="28"/>
        </w:rPr>
        <w:t>703</w:t>
      </w:r>
      <w:r>
        <w:rPr>
          <w:rFonts w:ascii="Times New Roman" w:hAnsi="Times New Roman"/>
          <w:sz w:val="28"/>
        </w:rPr>
        <w:t>.</w:t>
      </w:r>
      <w:r>
        <w:rPr>
          <w:rFonts w:ascii="Times New Roman" w:hAnsi="Times New Roman"/>
          <w:i/>
          <w:sz w:val="28"/>
        </w:rPr>
        <w:t xml:space="preserve"> Przesłuchanie świadków: w formie wideokonferencji. </w:t>
      </w:r>
    </w:p>
    <w:p w14:paraId="39F07A65" w14:textId="67C96706" w:rsidR="005A0B03" w:rsidRPr="00B074A0" w:rsidRDefault="005A0B03" w:rsidP="006A27CE">
      <w:pPr>
        <w:spacing w:line="240" w:lineRule="auto"/>
        <w:jc w:val="both"/>
        <w:rPr>
          <w:rFonts w:ascii="Times New Roman" w:hAnsi="Times New Roman" w:cs="Times New Roman"/>
          <w:sz w:val="28"/>
          <w:szCs w:val="28"/>
        </w:rPr>
      </w:pPr>
      <w:r>
        <w:rPr>
          <w:rFonts w:ascii="Times New Roman" w:hAnsi="Times New Roman"/>
          <w:sz w:val="28"/>
        </w:rPr>
        <w:t xml:space="preserve">Następnie zostaniemy zapytani, czy sprawa dotyczy przestępstw korupcyjnych (w naszym przypadku wybieramy </w:t>
      </w:r>
      <w:r>
        <w:rPr>
          <w:rFonts w:ascii="Times New Roman" w:hAnsi="Times New Roman"/>
          <w:i/>
          <w:sz w:val="28"/>
        </w:rPr>
        <w:t>Nie</w:t>
      </w:r>
      <w:r>
        <w:rPr>
          <w:rFonts w:ascii="Times New Roman" w:hAnsi="Times New Roman"/>
          <w:sz w:val="28"/>
        </w:rPr>
        <w:t>).</w:t>
      </w:r>
    </w:p>
    <w:p w14:paraId="5B42FDF9" w14:textId="631133DD" w:rsidR="00724F2A" w:rsidRPr="00B074A0" w:rsidRDefault="005F19DE" w:rsidP="00954C3D">
      <w:pPr>
        <w:spacing w:line="240" w:lineRule="auto"/>
        <w:jc w:val="both"/>
        <w:rPr>
          <w:rFonts w:ascii="Times New Roman" w:hAnsi="Times New Roman" w:cs="Times New Roman"/>
          <w:sz w:val="28"/>
          <w:szCs w:val="28"/>
        </w:rPr>
      </w:pPr>
      <w:r>
        <w:rPr>
          <w:rFonts w:ascii="Times New Roman" w:hAnsi="Times New Roman"/>
          <w:sz w:val="28"/>
        </w:rPr>
        <w:t xml:space="preserve">Po wybraniu czynności dochodzeniowej zaznaczamy, że miejsce jest </w:t>
      </w:r>
      <w:r>
        <w:rPr>
          <w:rFonts w:ascii="Times New Roman" w:hAnsi="Times New Roman"/>
          <w:i/>
          <w:sz w:val="28"/>
        </w:rPr>
        <w:t xml:space="preserve">znane </w:t>
      </w:r>
      <w:r>
        <w:rPr>
          <w:rFonts w:ascii="Times New Roman" w:hAnsi="Times New Roman"/>
          <w:sz w:val="28"/>
        </w:rPr>
        <w:t xml:space="preserve">(w naszym przypadku Wiedeń), następnie wybieramy </w:t>
      </w:r>
      <w:r>
        <w:rPr>
          <w:rFonts w:ascii="Times New Roman" w:hAnsi="Times New Roman"/>
          <w:i/>
          <w:sz w:val="28"/>
        </w:rPr>
        <w:t xml:space="preserve">dyrektywę Parlamentu Europejskiego i Rady 2014/41/UE z dnia 3 kwietnia 2014 r. w sprawie END w sprawach karnych </w:t>
      </w:r>
      <w:r>
        <w:rPr>
          <w:rFonts w:ascii="Times New Roman" w:hAnsi="Times New Roman"/>
          <w:sz w:val="28"/>
        </w:rPr>
        <w:t>jako mający zastosowanie instrument prawny (ponieważ wcześniej widzieliśmy, że wszystkie państwa członkowskie dokonały transpozycji dyrektywy z wyjątkiem Danii i Irlandii, które są jej częścią), a na koniec wprowadzamy Stuttgart jako miejscowość, której dotyczy czynność.</w:t>
      </w:r>
    </w:p>
    <w:p w14:paraId="1586807B" w14:textId="0B73BD54"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Wynik naszych poszukiwań powinien wyglądać następująco:</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B074A0" w14:paraId="1913623A" w14:textId="77777777" w:rsidTr="005627BB">
        <w:trPr>
          <w:trHeight w:val="3041"/>
        </w:trPr>
        <w:tc>
          <w:tcPr>
            <w:tcW w:w="8910" w:type="dxa"/>
            <w:shd w:val="clear" w:color="auto" w:fill="B4C6E7" w:themeFill="accent1" w:themeFillTint="66"/>
          </w:tcPr>
          <w:p w14:paraId="0749913D" w14:textId="107906BF" w:rsidR="00403DB5"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Nazwa organu wykonującego nakaz: </w:t>
            </w:r>
          </w:p>
          <w:p w14:paraId="7A9FF9F7" w14:textId="7A117E83" w:rsidR="005A0B03" w:rsidRPr="00B074A0" w:rsidRDefault="00403DB5" w:rsidP="005627BB">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proofErr w:type="spellStart"/>
            <w:r>
              <w:rPr>
                <w:rFonts w:ascii="Times New Roman" w:hAnsi="Times New Roman"/>
                <w:sz w:val="28"/>
              </w:rPr>
              <w:t>Staatsanwaltschaft</w:t>
            </w:r>
            <w:proofErr w:type="spellEnd"/>
            <w:r>
              <w:rPr>
                <w:rFonts w:ascii="Times New Roman" w:hAnsi="Times New Roman"/>
                <w:sz w:val="28"/>
              </w:rPr>
              <w:t xml:space="preserve"> Wien </w:t>
            </w:r>
          </w:p>
          <w:p w14:paraId="66457E07" w14:textId="0C081A3B"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proofErr w:type="spellStart"/>
            <w:r>
              <w:rPr>
                <w:rFonts w:ascii="Times New Roman" w:hAnsi="Times New Roman"/>
                <w:sz w:val="28"/>
              </w:rPr>
              <w:t>Landesgerichtsstraße</w:t>
            </w:r>
            <w:proofErr w:type="spellEnd"/>
            <w:r>
              <w:rPr>
                <w:rFonts w:ascii="Times New Roman" w:hAnsi="Times New Roman"/>
                <w:sz w:val="28"/>
              </w:rPr>
              <w:t xml:space="preserve"> 11 </w:t>
            </w:r>
          </w:p>
          <w:p w14:paraId="1300B1C8" w14:textId="77777777"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1CB0F3F7" w14:textId="17DC6B5C"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Miasto:</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Wiedeń </w:t>
            </w:r>
          </w:p>
          <w:p w14:paraId="5619B81D" w14:textId="1848385D"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1082 </w:t>
            </w:r>
          </w:p>
          <w:p w14:paraId="69096FE5" w14:textId="0F1D43EB"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 xml:space="preserve">Numer telefonu: </w:t>
            </w:r>
            <w:r>
              <w:rPr>
                <w:rFonts w:ascii="Times New Roman" w:hAnsi="Times New Roman"/>
                <w:sz w:val="28"/>
              </w:rPr>
              <w:t xml:space="preserve">(+43) 1/40127 </w:t>
            </w:r>
          </w:p>
          <w:p w14:paraId="33B90B46" w14:textId="19518FE1"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3FB0BF41" w14:textId="73705172"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+43 1 40127-306950 </w:t>
            </w:r>
          </w:p>
          <w:p w14:paraId="51ADF16A" w14:textId="58763811" w:rsidR="005F19DE" w:rsidRPr="00B074A0" w:rsidRDefault="005A0B03" w:rsidP="005627BB">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Adres e-mail:</w:t>
            </w:r>
          </w:p>
        </w:tc>
      </w:tr>
    </w:tbl>
    <w:p w14:paraId="6BDBC02D" w14:textId="05352676" w:rsidR="00403DB5" w:rsidRPr="00B074A0" w:rsidRDefault="00403DB5" w:rsidP="006A27CE">
      <w:pPr>
        <w:spacing w:line="240" w:lineRule="auto"/>
        <w:jc w:val="both"/>
        <w:rPr>
          <w:rFonts w:ascii="Times New Roman" w:hAnsi="Times New Roman" w:cs="Times New Roman"/>
          <w:sz w:val="28"/>
          <w:szCs w:val="28"/>
          <w:lang w:val="en-GB"/>
        </w:rPr>
      </w:pPr>
    </w:p>
    <w:p w14:paraId="7073B537" w14:textId="65DE7175"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Jak widać, organem wykonującym w naszym przypadku jest ponownie prokuratura w Wiedniu, a niektóre dane kontaktowe podano po to, by organ wydający nakaz wiedział, gdzie wysłać END, aby został on uznany i wykonany przez wyżej wymieniony organ wykonujący.</w:t>
      </w:r>
    </w:p>
    <w:p w14:paraId="587A0246" w14:textId="10AA7203" w:rsidR="005F19DE" w:rsidRPr="00B074A0" w:rsidRDefault="005F19DE" w:rsidP="002640EB">
      <w:pPr>
        <w:spacing w:line="240" w:lineRule="auto"/>
        <w:jc w:val="both"/>
        <w:rPr>
          <w:rFonts w:ascii="Times New Roman" w:hAnsi="Times New Roman" w:cs="Times New Roman"/>
          <w:sz w:val="28"/>
          <w:szCs w:val="28"/>
        </w:rPr>
      </w:pPr>
      <w:r>
        <w:rPr>
          <w:rFonts w:ascii="Times New Roman" w:hAnsi="Times New Roman"/>
          <w:sz w:val="28"/>
        </w:rPr>
        <w:t>Dane kontaktowe są również bardzo ważne, aby oba organy sądowe mogły nawiązać bezpośredni kontakt, co wyraźnie przewiduje dyrektywa w sprawie END.</w:t>
      </w:r>
    </w:p>
    <w:p w14:paraId="4829797C" w14:textId="394F721E" w:rsidR="000A6D06"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 xml:space="preserve">P3: </w:t>
      </w:r>
      <w:r>
        <w:rPr>
          <w:rFonts w:ascii="Times New Roman" w:hAnsi="Times New Roman"/>
          <w:i/>
          <w:color w:val="2F5496" w:themeColor="accent1" w:themeShade="BF"/>
          <w:sz w:val="28"/>
        </w:rPr>
        <w:t>W jakich językach organ wydający nakaz prześle END do dwóch właściwych organów wykonujących?</w:t>
      </w:r>
    </w:p>
    <w:p w14:paraId="53520D62" w14:textId="5D266AB9" w:rsidR="00D21A57" w:rsidRPr="00F73F85" w:rsidRDefault="000A6D06" w:rsidP="006A27CE">
      <w:pPr>
        <w:spacing w:line="240" w:lineRule="auto"/>
        <w:jc w:val="both"/>
        <w:rPr>
          <w:rFonts w:ascii="Times New Roman" w:hAnsi="Times New Roman" w:cs="Times New Roman"/>
          <w:i/>
          <w:iCs/>
          <w:color w:val="0563C1" w:themeColor="hyperlink"/>
          <w:sz w:val="28"/>
          <w:szCs w:val="28"/>
          <w:u w:val="single"/>
        </w:rPr>
      </w:pPr>
      <w:r>
        <w:rPr>
          <w:rFonts w:ascii="Times New Roman" w:hAnsi="Times New Roman"/>
          <w:sz w:val="28"/>
        </w:rPr>
        <w:t xml:space="preserve">Aby odpowiedzieć na to pytanie, uczestnicy zostaną poinstruowani, jak korzystać z </w:t>
      </w:r>
      <w:bookmarkStart w:id="15" w:name="_Hlk33109299"/>
      <w:r>
        <w:rPr>
          <w:rFonts w:ascii="Times New Roman" w:hAnsi="Times New Roman"/>
          <w:sz w:val="28"/>
        </w:rPr>
        <w:t xml:space="preserve">dokumentu dostępnego na stronie internetowej EJN – </w:t>
      </w:r>
      <w:hyperlink r:id="rId25" w:history="1">
        <w:r>
          <w:rPr>
            <w:rStyle w:val="Hipercze"/>
            <w:rFonts w:ascii="Times New Roman" w:hAnsi="Times New Roman"/>
            <w:i/>
            <w:sz w:val="28"/>
          </w:rPr>
          <w:t>Właściwe organy, akceptowane języki, sprawy pilne i zakres stosowania dyrektywy w sprawie END (aktualizacja 7 sierpnia 2019 r.).</w:t>
        </w:r>
      </w:hyperlink>
    </w:p>
    <w:bookmarkEnd w:id="15"/>
    <w:p w14:paraId="41066C11" w14:textId="5DAA0E47" w:rsidR="002E78DD"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Niniejszy dokument zawiera cenne informacje na temat właściwych organów (organów wydających nakaz, zatwierdzających, przyjmujących, wykonujących, a także, w stosownych przypadkach, organów centralnych) wyznaczonych przez poszczególne kraje zgodnie z przepisami dyrektywy w sprawie END. Znajdują się tam również informacje dotyczące pilnych przypadków (gdzie w takich przypadkach powinien zwrócić się organ wydający nakaz), zakresu stosowania, akceptowanych języków oraz daty wejścia w życie przepisów krajowych transponujących dyrektywę.</w:t>
      </w:r>
    </w:p>
    <w:p w14:paraId="033CE2A3" w14:textId="2BB59712" w:rsidR="000A6D06"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W odniesieniu do naszej sprawy, w dokumencie tym znajdujemy, że:</w:t>
      </w:r>
    </w:p>
    <w:p w14:paraId="17531B3C" w14:textId="70714E0D" w:rsidR="000A6D06" w:rsidRPr="00B074A0" w:rsidRDefault="000A6D06" w:rsidP="006A27CE">
      <w:pPr>
        <w:spacing w:line="240" w:lineRule="auto"/>
        <w:jc w:val="both"/>
        <w:rPr>
          <w:rFonts w:ascii="Times New Roman" w:hAnsi="Times New Roman" w:cs="Times New Roman"/>
          <w:i/>
          <w:iCs/>
          <w:sz w:val="28"/>
          <w:szCs w:val="28"/>
        </w:rPr>
      </w:pPr>
      <w:r>
        <w:rPr>
          <w:rFonts w:ascii="Times New Roman" w:hAnsi="Times New Roman"/>
          <w:b/>
          <w:i/>
          <w:sz w:val="28"/>
        </w:rPr>
        <w:t>Austria</w:t>
      </w:r>
      <w:r>
        <w:rPr>
          <w:rFonts w:ascii="Times New Roman" w:hAnsi="Times New Roman"/>
          <w:i/>
          <w:sz w:val="28"/>
        </w:rPr>
        <w:t xml:space="preserve"> będzie akceptować END przetłumaczony na język niemiecki oraz specjalny przepis stanowiący, że w odniesieniu do państw członkowskich, które akceptują język niemiecki, akceptowane są również ich języki urzędowe.</w:t>
      </w:r>
    </w:p>
    <w:p w14:paraId="7C64D877" w14:textId="2E6046EE" w:rsidR="000A6D06" w:rsidRPr="00B074A0" w:rsidRDefault="000A6D06" w:rsidP="006A27CE">
      <w:pPr>
        <w:spacing w:line="240" w:lineRule="auto"/>
        <w:jc w:val="both"/>
        <w:rPr>
          <w:rFonts w:ascii="Times New Roman" w:hAnsi="Times New Roman" w:cs="Times New Roman"/>
          <w:i/>
          <w:iCs/>
          <w:sz w:val="28"/>
          <w:szCs w:val="28"/>
        </w:rPr>
      </w:pPr>
      <w:r>
        <w:rPr>
          <w:rFonts w:ascii="Times New Roman" w:hAnsi="Times New Roman"/>
          <w:b/>
          <w:i/>
          <w:sz w:val="28"/>
        </w:rPr>
        <w:t>Niemcy</w:t>
      </w:r>
      <w:r>
        <w:rPr>
          <w:rFonts w:ascii="Times New Roman" w:hAnsi="Times New Roman"/>
          <w:i/>
          <w:sz w:val="28"/>
        </w:rPr>
        <w:t xml:space="preserve"> zaakceptują END przetłumaczony na język niemiecki.</w:t>
      </w:r>
    </w:p>
    <w:p w14:paraId="277A3B1D" w14:textId="77777777" w:rsidR="005627BB" w:rsidRPr="00B074A0" w:rsidRDefault="005627BB" w:rsidP="006A27CE">
      <w:pPr>
        <w:spacing w:line="240" w:lineRule="auto"/>
        <w:jc w:val="both"/>
        <w:rPr>
          <w:rFonts w:ascii="Times New Roman" w:hAnsi="Times New Roman" w:cs="Times New Roman"/>
          <w:b/>
          <w:bCs/>
          <w:i/>
          <w:iCs/>
          <w:color w:val="2F5496" w:themeColor="accent1" w:themeShade="BF"/>
          <w:sz w:val="28"/>
          <w:szCs w:val="28"/>
          <w:lang w:val="en-GB"/>
        </w:rPr>
      </w:pPr>
    </w:p>
    <w:p w14:paraId="642E7A9D" w14:textId="6622C24F" w:rsidR="006A77D1"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P4: </w:t>
      </w:r>
      <w:r>
        <w:rPr>
          <w:rFonts w:ascii="Times New Roman" w:hAnsi="Times New Roman"/>
          <w:i/>
          <w:color w:val="2F5496" w:themeColor="accent1" w:themeShade="BF"/>
          <w:sz w:val="28"/>
        </w:rPr>
        <w:t>Wypełnij END dotyczący przeszukania domu w Niemczech oraz END dotyczący przesłuchania w formie wideokonferencji w Austrii.</w:t>
      </w:r>
    </w:p>
    <w:p w14:paraId="5299297A" w14:textId="726DF588" w:rsidR="006A77D1" w:rsidRPr="00B074A0" w:rsidRDefault="006A77D1" w:rsidP="00F73F85">
      <w:pPr>
        <w:spacing w:line="240" w:lineRule="auto"/>
        <w:jc w:val="both"/>
        <w:rPr>
          <w:rFonts w:ascii="Times New Roman" w:hAnsi="Times New Roman" w:cs="Times New Roman"/>
          <w:sz w:val="28"/>
          <w:szCs w:val="28"/>
        </w:rPr>
      </w:pPr>
      <w:r>
        <w:rPr>
          <w:rFonts w:ascii="Times New Roman" w:hAnsi="Times New Roman"/>
          <w:sz w:val="28"/>
        </w:rPr>
        <w:t>Uczestnicy</w:t>
      </w:r>
      <w:r>
        <w:rPr>
          <w:rFonts w:ascii="Times New Roman" w:hAnsi="Times New Roman"/>
          <w:b/>
          <w:i/>
          <w:sz w:val="28"/>
        </w:rPr>
        <w:t xml:space="preserve"> </w:t>
      </w:r>
      <w:r>
        <w:rPr>
          <w:rFonts w:ascii="Times New Roman" w:hAnsi="Times New Roman"/>
          <w:sz w:val="28"/>
        </w:rPr>
        <w:t xml:space="preserve">otrzymają </w:t>
      </w:r>
      <w:hyperlink r:id="rId26" w:history="1">
        <w:r>
          <w:rPr>
            <w:rStyle w:val="Hipercze"/>
            <w:rFonts w:ascii="Times New Roman" w:hAnsi="Times New Roman"/>
            <w:sz w:val="28"/>
          </w:rPr>
          <w:t xml:space="preserve">formularz END w formacie </w:t>
        </w:r>
        <w:r>
          <w:rPr>
            <w:rStyle w:val="Hipercze"/>
            <w:rFonts w:ascii="Times New Roman" w:hAnsi="Times New Roman"/>
            <w:b/>
            <w:sz w:val="28"/>
          </w:rPr>
          <w:t>.</w:t>
        </w:r>
        <w:proofErr w:type="spellStart"/>
        <w:r>
          <w:rPr>
            <w:rStyle w:val="Hipercze"/>
            <w:rFonts w:ascii="Times New Roman" w:hAnsi="Times New Roman"/>
            <w:b/>
            <w:sz w:val="28"/>
          </w:rPr>
          <w:t>doc</w:t>
        </w:r>
        <w:proofErr w:type="spellEnd"/>
        <w:r>
          <w:rPr>
            <w:rStyle w:val="Hipercze"/>
            <w:rFonts w:ascii="Times New Roman" w:hAnsi="Times New Roman"/>
            <w:sz w:val="28"/>
          </w:rPr>
          <w:t xml:space="preserve"> do wypełnienia</w:t>
        </w:r>
      </w:hyperlink>
      <w:r>
        <w:rPr>
          <w:rFonts w:ascii="Times New Roman" w:hAnsi="Times New Roman"/>
          <w:sz w:val="28"/>
        </w:rPr>
        <w:t xml:space="preserve"> w języku, w którym odbywa się seminarium.</w:t>
      </w:r>
    </w:p>
    <w:p w14:paraId="1F7E3085" w14:textId="272973C9" w:rsidR="006A77D1" w:rsidRPr="00B074A0" w:rsidRDefault="006A77D1" w:rsidP="00F73F85">
      <w:pPr>
        <w:spacing w:line="240" w:lineRule="auto"/>
        <w:jc w:val="both"/>
        <w:rPr>
          <w:rFonts w:ascii="Times New Roman" w:hAnsi="Times New Roman" w:cs="Times New Roman"/>
          <w:sz w:val="28"/>
          <w:szCs w:val="28"/>
        </w:rPr>
      </w:pPr>
      <w:r>
        <w:rPr>
          <w:rFonts w:ascii="Times New Roman" w:hAnsi="Times New Roman"/>
          <w:sz w:val="28"/>
        </w:rPr>
        <w:t>Uczestnicy będą wypełniać END w małych grupach, a następnie wymienić się nimi między grupami, aby jedna grupa mogła otrzymać inny END</w:t>
      </w:r>
      <w:r w:rsidR="00D7241D">
        <w:rPr>
          <w:rFonts w:ascii="Times New Roman" w:hAnsi="Times New Roman"/>
          <w:sz w:val="28"/>
        </w:rPr>
        <w:t xml:space="preserve"> </w:t>
      </w:r>
      <w:r>
        <w:rPr>
          <w:rFonts w:ascii="Times New Roman" w:hAnsi="Times New Roman"/>
          <w:i/>
          <w:sz w:val="28"/>
          <w:u w:val="single"/>
        </w:rPr>
        <w:t>(grupa wypełniająca END dotyczący przeszukania domu otrzyma jako organ wykonawczy END dotyczący przesłuchania w formie wideokonferencji i odwrotnie</w:t>
      </w:r>
      <w:r>
        <w:rPr>
          <w:rFonts w:ascii="Times New Roman" w:hAnsi="Times New Roman"/>
          <w:sz w:val="28"/>
        </w:rPr>
        <w:t xml:space="preserve">). </w:t>
      </w:r>
    </w:p>
    <w:p w14:paraId="128AE64A" w14:textId="77777777" w:rsidR="0072212E"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Prowadzący szkolenie pomoże uczestnikom wypełnić </w:t>
      </w:r>
      <w:r>
        <w:rPr>
          <w:rFonts w:ascii="Times New Roman" w:hAnsi="Times New Roman"/>
          <w:b/>
          <w:i/>
          <w:sz w:val="28"/>
        </w:rPr>
        <w:t>END</w:t>
      </w:r>
      <w:r>
        <w:rPr>
          <w:rFonts w:ascii="Times New Roman" w:hAnsi="Times New Roman"/>
          <w:sz w:val="28"/>
        </w:rPr>
        <w:t xml:space="preserve">, zwracając uwagę na </w:t>
      </w:r>
      <w:r>
        <w:rPr>
          <w:rFonts w:ascii="Times New Roman" w:hAnsi="Times New Roman"/>
          <w:b/>
          <w:i/>
          <w:sz w:val="28"/>
        </w:rPr>
        <w:t>wytyczne dotyczące formularzy END</w:t>
      </w:r>
      <w:r>
        <w:rPr>
          <w:rFonts w:ascii="Times New Roman" w:hAnsi="Times New Roman"/>
          <w:sz w:val="28"/>
        </w:rPr>
        <w:t xml:space="preserve"> dostępne na </w:t>
      </w:r>
      <w:r>
        <w:rPr>
          <w:rFonts w:ascii="Times New Roman" w:hAnsi="Times New Roman"/>
          <w:b/>
          <w:sz w:val="28"/>
        </w:rPr>
        <w:t xml:space="preserve">stronie internetowej Europejskiej Sieci Sądowniczej </w:t>
      </w:r>
      <w:r>
        <w:rPr>
          <w:rFonts w:ascii="Times New Roman" w:hAnsi="Times New Roman"/>
          <w:sz w:val="28"/>
        </w:rPr>
        <w:t>opublikowane 30.01.2020 r., które są bardzo użytecznym narzędziem dla prawników praktyków, jeśli chodzi o wypełnianie END.</w:t>
      </w:r>
    </w:p>
    <w:p w14:paraId="75B1659E" w14:textId="77777777" w:rsidR="0072212E"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Link do </w:t>
      </w:r>
      <w:hyperlink r:id="rId27" w:history="1">
        <w:r>
          <w:rPr>
            <w:rStyle w:val="Hipercze"/>
            <w:rFonts w:ascii="Times New Roman" w:hAnsi="Times New Roman"/>
            <w:sz w:val="28"/>
          </w:rPr>
          <w:t>Wytycznych dotyczących END można znaleźć tutaj</w:t>
        </w:r>
      </w:hyperlink>
      <w:r>
        <w:rPr>
          <w:rFonts w:ascii="Times New Roman" w:hAnsi="Times New Roman"/>
          <w:sz w:val="28"/>
        </w:rPr>
        <w:t>.</w:t>
      </w:r>
    </w:p>
    <w:p w14:paraId="54B4091D" w14:textId="23A20FD5" w:rsidR="006A77D1" w:rsidRPr="00B074A0" w:rsidRDefault="0072212E" w:rsidP="0072212E">
      <w:pPr>
        <w:spacing w:line="240" w:lineRule="auto"/>
        <w:jc w:val="both"/>
        <w:rPr>
          <w:rFonts w:ascii="Times New Roman" w:hAnsi="Times New Roman" w:cs="Times New Roman"/>
          <w:sz w:val="28"/>
          <w:szCs w:val="28"/>
        </w:rPr>
      </w:pPr>
      <w:r>
        <w:rPr>
          <w:rFonts w:ascii="Times New Roman" w:hAnsi="Times New Roman"/>
          <w:sz w:val="28"/>
        </w:rPr>
        <w:lastRenderedPageBreak/>
        <w:t xml:space="preserve">W celu wypełnienia END uczestnicy skorzystają z </w:t>
      </w:r>
      <w:hyperlink r:id="rId28" w:history="1">
        <w:r>
          <w:rPr>
            <w:rStyle w:val="Hipercze"/>
            <w:rFonts w:ascii="Times New Roman" w:hAnsi="Times New Roman"/>
            <w:b/>
            <w:sz w:val="28"/>
          </w:rPr>
          <w:t>edytowalnego formularza .pdf europejskiego nakazu dochodzeniowego – END (załącznik A)</w:t>
        </w:r>
      </w:hyperlink>
      <w:r>
        <w:rPr>
          <w:rFonts w:ascii="Times New Roman" w:hAnsi="Times New Roman"/>
          <w:b/>
          <w:sz w:val="28"/>
        </w:rPr>
        <w:t xml:space="preserve"> </w:t>
      </w:r>
      <w:r>
        <w:rPr>
          <w:rFonts w:ascii="Times New Roman" w:hAnsi="Times New Roman"/>
          <w:sz w:val="28"/>
        </w:rPr>
        <w:t>znajdujący się na stronie internetowej EJN.</w:t>
      </w:r>
    </w:p>
    <w:p w14:paraId="19CE81DE" w14:textId="77777777" w:rsidR="006A77D1" w:rsidRPr="00B074A0" w:rsidRDefault="006A77D1" w:rsidP="006A77D1">
      <w:pPr>
        <w:spacing w:after="0" w:line="240" w:lineRule="auto"/>
        <w:jc w:val="both"/>
        <w:rPr>
          <w:rFonts w:ascii="Times New Roman" w:hAnsi="Times New Roman" w:cs="Times New Roman"/>
          <w:sz w:val="28"/>
          <w:szCs w:val="28"/>
        </w:rPr>
      </w:pPr>
      <w:r>
        <w:rPr>
          <w:rFonts w:ascii="Times New Roman" w:hAnsi="Times New Roman"/>
          <w:b/>
          <w:sz w:val="28"/>
        </w:rPr>
        <w:t>Edytowalny formularz .pdf jest w tej chwili tylko w języku angielskim</w:t>
      </w:r>
      <w:r>
        <w:rPr>
          <w:rFonts w:ascii="Times New Roman" w:hAnsi="Times New Roman"/>
          <w:sz w:val="28"/>
        </w:rPr>
        <w:t>. Jest to bardzo przyjazny dla użytkownika formularz, który można łatwo wypełnić, zapisać na komputerze, a następnie wydrukować.</w:t>
      </w:r>
    </w:p>
    <w:p w14:paraId="10FAE7FB" w14:textId="44518EFA" w:rsidR="006A77D1" w:rsidRPr="0072212E" w:rsidRDefault="006A77D1" w:rsidP="0072212E">
      <w:pPr>
        <w:spacing w:line="240" w:lineRule="auto"/>
        <w:jc w:val="both"/>
        <w:rPr>
          <w:rFonts w:ascii="Times New Roman" w:hAnsi="Times New Roman" w:cs="Times New Roman"/>
          <w:sz w:val="28"/>
          <w:szCs w:val="28"/>
        </w:rPr>
      </w:pPr>
      <w:r>
        <w:rPr>
          <w:rFonts w:ascii="Times New Roman" w:hAnsi="Times New Roman"/>
          <w:sz w:val="28"/>
        </w:rPr>
        <w:t>Grupa, która otrzyma END od innej grupy, przeanalizuje go i wyznaczy osobę, która wskaże, czy otrzymany END został prawidłowo wypełniony, czy też uzna, że brakuje w nim informacji.</w:t>
      </w:r>
    </w:p>
    <w:p w14:paraId="3953D259" w14:textId="5E853267" w:rsidR="00212DDF" w:rsidRPr="00B074A0" w:rsidRDefault="00E10088"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 xml:space="preserve">Uwagi do wypełniania END: </w:t>
      </w:r>
    </w:p>
    <w:p w14:paraId="33FFA9D1" w14:textId="5EEB1DA0" w:rsidR="00DD1826" w:rsidRPr="00B074A0" w:rsidRDefault="00E10088"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W zależności od miejsca, w którym odbywa się seminarium, państwo wydające nakaz zmienia się na to państwo i jest odpowiednio wymienione w lit. a) END. </w:t>
      </w:r>
    </w:p>
    <w:p w14:paraId="051DFB53" w14:textId="7A533E0E" w:rsidR="00E10088" w:rsidRPr="00B074A0" w:rsidRDefault="00E10088"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Jeżeli państwo członkowskie wydające nakaz zostanie zmienione na Niemcy lub Austrię, wówczas inne państwo członkowskie (z wyjątkiem Danii lub Irlandii) zostanie wykorzystane jako państwo członkowskie wykonujące w odniesieniu do jednego ze środków dochodzeniowych wymienionych w scenariuszu przypadku.</w:t>
      </w:r>
    </w:p>
    <w:p w14:paraId="66809E50" w14:textId="46DA4986" w:rsidR="00DB68A0" w:rsidRPr="00B074A0" w:rsidRDefault="00DB68A0"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W pkt b) nagłe przypadki będą wpisywane tylko wtedy, gdy mają zastosowanie zgodnie z przepisami krajowymi. Jeśli dotyczy to jednego z trzech wymienionych powodów, należy je zaznaczyć. Należy również wskazać krótszy termin wykonania.</w:t>
      </w:r>
    </w:p>
    <w:p w14:paraId="3F437073" w14:textId="4D531345" w:rsidR="00212DDF" w:rsidRPr="00B074A0" w:rsidRDefault="00212DDF"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Pkt c) zaznacza się zgodnie z grupą, która wypełnia END.</w:t>
      </w:r>
    </w:p>
    <w:p w14:paraId="42E4957B" w14:textId="1F2266F4" w:rsidR="00DB68A0" w:rsidRPr="00B074A0" w:rsidRDefault="00DB68A0"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W pkt d) należy podać odniesienie do innych END wypełnionych przez pozostałe grupy.</w:t>
      </w:r>
    </w:p>
    <w:p w14:paraId="3A2E0F32" w14:textId="23485DEC" w:rsidR="000279C5" w:rsidRPr="00B074A0" w:rsidRDefault="00DB68A0"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W pkt e) END należy podać informacje o podejrzanym A.W. i świadku T.J. Należy również wprowadzić informacje o dwóch pozostałych podejrzanych J.P. i J.L. (przez dodanie osób fizycznych). W przypadku braku informacji w scenariuszu przypadku zostaną użyte informacje fikcyjne.</w:t>
      </w:r>
    </w:p>
    <w:p w14:paraId="02095275" w14:textId="5B7EA38E" w:rsidR="00DB68A0" w:rsidRPr="00B074A0" w:rsidRDefault="000279C5"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W pkt f) należy wskazać odpowiednią literę istniejącą w przepisach krajowych. </w:t>
      </w:r>
    </w:p>
    <w:p w14:paraId="68ED274C" w14:textId="3709183D" w:rsidR="00DB68A0" w:rsidRPr="00B074A0" w:rsidRDefault="00DB68A0"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W pkt g) informacje dotyczące charakteru i klasyfikacji prawnej zostaną wykorzystane do wypełnienia tej sekcji. Przy podsumowaniu faktów proszę użyć miejscowości, adresu, itp. z kraju, w którym odbywa się seminarium. Jeżeli ma to zastosowanie zgodnie z prawem krajowym, należy odpowiednio zaznaczyć przestępstwo(-a) lub wykroczenie(-a) z pkt 3. </w:t>
      </w:r>
    </w:p>
    <w:p w14:paraId="2F93F895" w14:textId="36307CA0" w:rsidR="00DC2B7B" w:rsidRPr="00B074A0" w:rsidRDefault="00DC2B7B"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lastRenderedPageBreak/>
        <w:t>W pkt h.2) podaje się informacje dla END dotyczące przesłuchania w formie wideokonferencji. Dane dotyczące uprawnień mogą zostać uzupełnione o fikcyjne informacje, jeśli nie zostały podane w scenariuszu przypadku...</w:t>
      </w:r>
    </w:p>
    <w:p w14:paraId="17C7CF02" w14:textId="2E291869" w:rsidR="00E44D49" w:rsidRPr="00B074A0" w:rsidRDefault="00E44D49"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W pkt i), formalności i procedury wymagane do wykonania, jeżeli ma to zastosowanie zgodnie z prawem krajowym, pkt 1 i/lub 2 zostanie wypełniony informacjami niezbędnymi dla organu sądowego wykonującego nakaz. Na przykład, w jakich warunkach należy przeprowadzić przeszukanie domu lub przesłuchanie świadka (jeżeli świadka należy wezwać z wyprzedzeniem zgodnie z prawem państwa członkowskiego wydającego nakaz, należy podać odpowiednią informację).</w:t>
      </w:r>
    </w:p>
    <w:p w14:paraId="656B46B3" w14:textId="2E18F64B" w:rsidR="00B35D4E" w:rsidRPr="00B074A0" w:rsidRDefault="00A54BA8" w:rsidP="00BC03A0">
      <w:pPr>
        <w:pStyle w:val="Akapitzlist"/>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 xml:space="preserve">Pkt </w:t>
      </w:r>
      <w:r w:rsidR="00B35D4E">
        <w:rPr>
          <w:rFonts w:ascii="Times New Roman" w:hAnsi="Times New Roman"/>
          <w:i/>
          <w:sz w:val="28"/>
        </w:rPr>
        <w:t xml:space="preserve">j) zostanie wypełniona zgodnie z obowiązującymi przepisami krajowymi. Jak orzekł Trybunał Sprawiedliwości w wyroku w sprawie C-324/17 </w:t>
      </w:r>
      <w:proofErr w:type="spellStart"/>
      <w:r w:rsidR="00B35D4E">
        <w:rPr>
          <w:rFonts w:ascii="Times New Roman" w:hAnsi="Times New Roman"/>
          <w:i/>
          <w:sz w:val="28"/>
        </w:rPr>
        <w:t>Gavanozov</w:t>
      </w:r>
      <w:proofErr w:type="spellEnd"/>
      <w:r w:rsidR="00B35D4E">
        <w:rPr>
          <w:rFonts w:ascii="Times New Roman" w:hAnsi="Times New Roman"/>
          <w:i/>
          <w:sz w:val="28"/>
        </w:rPr>
        <w:t xml:space="preserve"> (wyrok z dnia 24 października 2019 r.), opis środka ochrony prawnej należy zamieścić tylko wtedy, gdy wniesiono środek ochrony prawnej przeciwko END.</w:t>
      </w:r>
    </w:p>
    <w:p w14:paraId="2FB484B2" w14:textId="08175233" w:rsidR="003A38EC" w:rsidRPr="00B074A0" w:rsidRDefault="003A38EC" w:rsidP="00BC03A0">
      <w:pPr>
        <w:pStyle w:val="Akapitzlist"/>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W pkt k) END należy podać wszystkie dane właściwego organu odpowiedzialnego za wydanie END w kraju pochodzenia. Jeżeli niektóre dane ze scenariusza przypadku nie są znane, do wypełnienia pkt k) END można użyć danych fikcyjnych. </w:t>
      </w:r>
    </w:p>
    <w:p w14:paraId="76E8B9CD" w14:textId="425EC944" w:rsidR="00B35D4E" w:rsidRPr="00B074A0" w:rsidRDefault="00B35D4E" w:rsidP="00BC03A0">
      <w:pPr>
        <w:pStyle w:val="Akapitzlist"/>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Pkt l) będzie wypełniona tylko wtedy, gdy ma zastosowanie do przepisów krajowych. Jeżeli END wydał organ pozasądowy, w tym miejscu podaje się oficjalne dane kontaktowe organu zatwierdzającego.</w:t>
      </w:r>
    </w:p>
    <w:p w14:paraId="02C474C2" w14:textId="77777777" w:rsidR="00E670B2" w:rsidRPr="00B074A0" w:rsidRDefault="00E670B2" w:rsidP="006A27CE">
      <w:pPr>
        <w:spacing w:line="240" w:lineRule="auto"/>
        <w:jc w:val="both"/>
        <w:rPr>
          <w:rFonts w:ascii="Times New Roman" w:hAnsi="Times New Roman" w:cs="Times New Roman"/>
          <w:i/>
          <w:iCs/>
          <w:sz w:val="28"/>
          <w:szCs w:val="28"/>
          <w:lang w:val="en-GB"/>
        </w:rPr>
      </w:pPr>
    </w:p>
    <w:p w14:paraId="00165E3E" w14:textId="26F0C891" w:rsidR="000C0B2B"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P5: </w:t>
      </w:r>
      <w:r>
        <w:rPr>
          <w:rFonts w:ascii="Times New Roman" w:hAnsi="Times New Roman"/>
          <w:i/>
          <w:color w:val="2F5496" w:themeColor="accent1" w:themeShade="BF"/>
          <w:sz w:val="28"/>
        </w:rPr>
        <w:t>Co zrobi właściwy organ wykonujący nakaz po otrzymaniu END od organu wydającego nakaz? Jakie są jego obowiązki?</w:t>
      </w:r>
    </w:p>
    <w:p w14:paraId="4A70257A" w14:textId="45940D7F" w:rsidR="00A712EB" w:rsidRPr="00B074A0" w:rsidRDefault="00543D0D"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Obowiązek poinformowania organu wydającego nakaz o otrzymaniu END</w:t>
      </w:r>
    </w:p>
    <w:p w14:paraId="090640B3" w14:textId="22A291F2" w:rsidR="00F4148C" w:rsidRPr="00B074A0" w:rsidRDefault="000C0B2B" w:rsidP="006A27CE">
      <w:pPr>
        <w:spacing w:line="240" w:lineRule="auto"/>
        <w:jc w:val="both"/>
        <w:rPr>
          <w:rFonts w:ascii="Times New Roman" w:hAnsi="Times New Roman" w:cs="Times New Roman"/>
          <w:b/>
          <w:bCs/>
          <w:sz w:val="28"/>
          <w:szCs w:val="28"/>
        </w:rPr>
      </w:pPr>
      <w:r>
        <w:rPr>
          <w:rFonts w:ascii="Times New Roman" w:hAnsi="Times New Roman"/>
          <w:sz w:val="28"/>
        </w:rPr>
        <w:t xml:space="preserve">Zgodnie z art. 16 ust. 1 dyrektywy w sprawie END właściwy organ państwa wykonującego nakaz, który otrzymuje END, </w:t>
      </w:r>
      <w:r>
        <w:rPr>
          <w:rFonts w:ascii="Times New Roman" w:hAnsi="Times New Roman"/>
          <w:b/>
          <w:sz w:val="28"/>
        </w:rPr>
        <w:t>niezwłocznie</w:t>
      </w:r>
      <w:r>
        <w:rPr>
          <w:rFonts w:ascii="Times New Roman" w:hAnsi="Times New Roman"/>
          <w:sz w:val="28"/>
        </w:rPr>
        <w:t xml:space="preserve">- a w </w:t>
      </w:r>
      <w:r>
        <w:rPr>
          <w:rFonts w:ascii="Times New Roman" w:hAnsi="Times New Roman"/>
          <w:b/>
          <w:sz w:val="28"/>
        </w:rPr>
        <w:t xml:space="preserve">każdym razie nie później niż w ciągu tygodnia od otrzymania </w:t>
      </w:r>
      <w:r>
        <w:rPr>
          <w:rFonts w:ascii="Times New Roman" w:hAnsi="Times New Roman"/>
          <w:sz w:val="28"/>
        </w:rPr>
        <w:t xml:space="preserve">END – potwierdza jego otrzymanie, wypełniając i wysyłając formularz przedstawiony w </w:t>
      </w:r>
      <w:r>
        <w:rPr>
          <w:rFonts w:ascii="Times New Roman" w:hAnsi="Times New Roman"/>
          <w:b/>
          <w:sz w:val="28"/>
        </w:rPr>
        <w:t>załączniku B</w:t>
      </w:r>
    </w:p>
    <w:p w14:paraId="47772C55" w14:textId="51C5B699" w:rsidR="00F4148C"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t xml:space="preserve">Jeżeli zgodnie z art. 7 ust. 3 wyznaczony został organ centralny, obowiązek ten dotyczy </w:t>
      </w:r>
      <w:r>
        <w:rPr>
          <w:rFonts w:ascii="Times New Roman" w:hAnsi="Times New Roman"/>
          <w:b/>
          <w:sz w:val="28"/>
        </w:rPr>
        <w:t>zarówno</w:t>
      </w:r>
      <w:r>
        <w:rPr>
          <w:rFonts w:ascii="Times New Roman" w:hAnsi="Times New Roman"/>
          <w:sz w:val="28"/>
        </w:rPr>
        <w:t xml:space="preserve"> tego organu </w:t>
      </w:r>
      <w:r>
        <w:rPr>
          <w:rFonts w:ascii="Times New Roman" w:hAnsi="Times New Roman"/>
          <w:b/>
          <w:sz w:val="28"/>
        </w:rPr>
        <w:t>centralnego</w:t>
      </w:r>
      <w:r>
        <w:rPr>
          <w:rFonts w:ascii="Times New Roman" w:hAnsi="Times New Roman"/>
          <w:sz w:val="28"/>
        </w:rPr>
        <w:t xml:space="preserve">, jak i </w:t>
      </w:r>
      <w:r>
        <w:rPr>
          <w:rFonts w:ascii="Times New Roman" w:hAnsi="Times New Roman"/>
          <w:b/>
          <w:sz w:val="28"/>
        </w:rPr>
        <w:t xml:space="preserve">organu wykonującego nakaz, który otrzymuje END od organu </w:t>
      </w:r>
      <w:r>
        <w:rPr>
          <w:rFonts w:ascii="Times New Roman" w:hAnsi="Times New Roman"/>
          <w:b/>
          <w:bCs/>
          <w:sz w:val="28"/>
        </w:rPr>
        <w:t>centralnego</w:t>
      </w:r>
      <w:r>
        <w:rPr>
          <w:rFonts w:ascii="Times New Roman" w:hAnsi="Times New Roman"/>
          <w:sz w:val="28"/>
        </w:rPr>
        <w:t>.</w:t>
      </w:r>
    </w:p>
    <w:p w14:paraId="399E87C8" w14:textId="7E4B2CA0" w:rsidR="00ED1285"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t xml:space="preserve">Jeżeli organ państwa wykonującego nakaz, który otrzymał END, nie ma kompetencji do uznania tego nakazu ani do podjęcia czynności koniecznych do jego wykonania, przekazuje z urzędu END organowi wykonującemu i </w:t>
      </w:r>
      <w:r>
        <w:rPr>
          <w:rFonts w:ascii="Times New Roman" w:hAnsi="Times New Roman"/>
          <w:b/>
          <w:sz w:val="28"/>
        </w:rPr>
        <w:lastRenderedPageBreak/>
        <w:t>informuje o tym organ wydający nakaz</w:t>
      </w:r>
      <w:r>
        <w:rPr>
          <w:rFonts w:ascii="Times New Roman" w:hAnsi="Times New Roman"/>
          <w:sz w:val="28"/>
        </w:rPr>
        <w:t xml:space="preserve">. Obowiązek ten dotyczy również </w:t>
      </w:r>
      <w:r>
        <w:rPr>
          <w:rFonts w:ascii="Times New Roman" w:hAnsi="Times New Roman"/>
          <w:b/>
          <w:sz w:val="28"/>
        </w:rPr>
        <w:t>organu wykonującego nakaz, któremu ostatecznie przekazywany jest END</w:t>
      </w:r>
      <w:r>
        <w:rPr>
          <w:rFonts w:ascii="Times New Roman" w:hAnsi="Times New Roman"/>
          <w:sz w:val="28"/>
        </w:rPr>
        <w:t>.</w:t>
      </w:r>
    </w:p>
    <w:p w14:paraId="5C3FE5D4" w14:textId="1343E634" w:rsidR="00ED58DC" w:rsidRPr="00B074A0" w:rsidRDefault="00ED58DC"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Obowiązek poinformowania organu wydającego nakaz o treści END lub o niemożności wykonania go zgodnie z żądaniem</w:t>
      </w:r>
    </w:p>
    <w:p w14:paraId="355BE78E" w14:textId="032AEC7C"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Organ wykonujący nakaz niezwłocznie informuje organ wydający nakaz w dowolny sposób: </w:t>
      </w:r>
    </w:p>
    <w:p w14:paraId="21CEFF64" w14:textId="5BAA3404"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a) jeżeli organ wykonujący nakaz nie może podjąć decyzji w sprawie uznania lub wykonania ze względu na to, że formularz przewidziany w załączniku A jest niekompletny lub w sposób oczywisty nieprawidłowy, </w:t>
      </w:r>
    </w:p>
    <w:p w14:paraId="1D2859C6" w14:textId="7777777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b) jeżeli organ wykonujący nakaz – w trakcie wykonywania END – uzna bez dalszych dociekań, że aby umożliwić organowi wydającemu nakaz podjęcie dalszych działań w danej sprawie, należy przeprowadzić czynności dochodzeniowe, których początkowo nie przewidziano lub których nie można było określić w chwili wydawania END; lub </w:t>
      </w:r>
    </w:p>
    <w:p w14:paraId="2E0EBD11" w14:textId="24FC010B" w:rsidR="00CE1965"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c) jeżeli organ wykonujący nakaz stwierdzi, że w danym przypadku nie może spełnić formalności i procedur wyraźnie wskazanych przez organ wydający nakaz </w:t>
      </w:r>
    </w:p>
    <w:p w14:paraId="1265016B" w14:textId="5ECFE3D1" w:rsidR="00ED58DC" w:rsidRPr="00B074A0" w:rsidRDefault="00ED58DC" w:rsidP="006A27CE">
      <w:pPr>
        <w:spacing w:line="240" w:lineRule="auto"/>
        <w:jc w:val="both"/>
        <w:rPr>
          <w:rFonts w:ascii="Times New Roman" w:hAnsi="Times New Roman" w:cs="Times New Roman"/>
          <w:b/>
          <w:bCs/>
          <w:sz w:val="28"/>
          <w:szCs w:val="28"/>
          <w:u w:val="single"/>
        </w:rPr>
      </w:pPr>
      <w:r>
        <w:rPr>
          <w:rFonts w:ascii="Times New Roman" w:hAnsi="Times New Roman"/>
          <w:b/>
          <w:i/>
          <w:sz w:val="28"/>
          <w:u w:val="single"/>
        </w:rPr>
        <w:t>Obowiązek poinformowania organu wydającego nakaz o decyzjach podjętych w sprawie otrzymanego END</w:t>
      </w:r>
    </w:p>
    <w:p w14:paraId="45BB06EE" w14:textId="192BD24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Organ wykonujący nakaz bezzwłocznie informuje organ wydający nakaz za pomocą jakiegokolwiek środka umożliwiającego uzyskanie dokumentu pisemnego: </w:t>
      </w:r>
    </w:p>
    <w:p w14:paraId="3305C52F" w14:textId="3031F31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a) o każdej decyzji podjętej zgodnie z art. 10 lub 11 (decyzji o zastosowaniu innego rodzaju czynności dochodzeniowej lub decyzji o nieuznaniu lub niewykonaniu END).</w:t>
      </w:r>
    </w:p>
    <w:p w14:paraId="6CA98034" w14:textId="77777777" w:rsidR="000B3DBE" w:rsidRPr="00B074A0" w:rsidRDefault="00ED58DC" w:rsidP="00A54BA8">
      <w:pPr>
        <w:spacing w:after="0" w:line="240" w:lineRule="auto"/>
        <w:jc w:val="both"/>
        <w:rPr>
          <w:rFonts w:ascii="Times New Roman" w:hAnsi="Times New Roman" w:cs="Times New Roman"/>
          <w:b/>
          <w:bCs/>
          <w:sz w:val="28"/>
          <w:szCs w:val="28"/>
        </w:rPr>
      </w:pPr>
      <w:r>
        <w:rPr>
          <w:rFonts w:ascii="Times New Roman" w:hAnsi="Times New Roman"/>
          <w:sz w:val="28"/>
        </w:rPr>
        <w:t>b) o każdej decyzji o odroczeniu wykonania lub uznania END, o powodach tego odroczenia oraz, w miarę możliwości, o przewidywanym okresie tego odroczenia.</w:t>
      </w:r>
      <w:r>
        <w:rPr>
          <w:rFonts w:ascii="Times New Roman" w:hAnsi="Times New Roman"/>
          <w:b/>
          <w:sz w:val="28"/>
        </w:rPr>
        <w:t xml:space="preserve"> </w:t>
      </w:r>
    </w:p>
    <w:p w14:paraId="470700AB" w14:textId="77777777" w:rsidR="000B3DBE" w:rsidRPr="00B074A0" w:rsidRDefault="000B3DBE">
      <w:pPr>
        <w:rPr>
          <w:rFonts w:ascii="Times New Roman" w:hAnsi="Times New Roman" w:cs="Times New Roman"/>
          <w:b/>
          <w:bCs/>
          <w:sz w:val="28"/>
          <w:szCs w:val="28"/>
        </w:rPr>
      </w:pPr>
      <w:r>
        <w:br w:type="page"/>
      </w:r>
    </w:p>
    <w:p w14:paraId="258DEFC9" w14:textId="73696434" w:rsidR="000B3DBE" w:rsidRPr="00B074A0" w:rsidRDefault="000B3DBE" w:rsidP="000B3DBE">
      <w:pPr>
        <w:pStyle w:val="Test"/>
        <w:shd w:val="clear" w:color="auto" w:fill="DED888"/>
        <w:spacing w:after="160"/>
        <w:jc w:val="center"/>
        <w:rPr>
          <w:rStyle w:val="Pogrubienie"/>
          <w:rFonts w:ascii="Times New Roman" w:hAnsi="Times New Roman"/>
          <w:b/>
          <w:color w:val="2F5496" w:themeColor="accent1" w:themeShade="BF"/>
          <w:sz w:val="32"/>
          <w:szCs w:val="32"/>
        </w:rPr>
      </w:pPr>
      <w:r>
        <w:rPr>
          <w:rStyle w:val="Pogrubienie"/>
          <w:rFonts w:ascii="Times New Roman" w:hAnsi="Times New Roman"/>
          <w:b/>
          <w:color w:val="2F5496" w:themeColor="accent1" w:themeShade="BF"/>
          <w:sz w:val="32"/>
        </w:rPr>
        <w:lastRenderedPageBreak/>
        <w:t>Załącznik. Rozwiązania krok po kroku</w:t>
      </w:r>
    </w:p>
    <w:p w14:paraId="538F01F7" w14:textId="2F23020E" w:rsidR="000B3DBE" w:rsidRPr="00F619B4" w:rsidRDefault="000B3DBE" w:rsidP="00F619B4">
      <w:pPr>
        <w:pStyle w:val="Akapitzlist"/>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 xml:space="preserve">Niemiecki właściwy organ wydający nakaz </w:t>
      </w:r>
      <w:r w:rsidR="00D7241D">
        <w:rPr>
          <w:rFonts w:ascii="Times New Roman" w:hAnsi="Times New Roman"/>
          <w:b/>
          <w:color w:val="FF0000"/>
          <w:sz w:val="28"/>
        </w:rPr>
        <w:t>chce</w:t>
      </w:r>
      <w:r>
        <w:rPr>
          <w:rFonts w:ascii="Times New Roman" w:hAnsi="Times New Roman"/>
          <w:b/>
          <w:color w:val="FF0000"/>
          <w:sz w:val="28"/>
        </w:rPr>
        <w:t xml:space="preserve"> przeszukać dom podejrzanego znajdującego się w Brukseli, w Belgii.</w:t>
      </w:r>
    </w:p>
    <w:p w14:paraId="304B32C7" w14:textId="77777777" w:rsidR="000B3DBE" w:rsidRPr="00B074A0" w:rsidRDefault="000B3DBE" w:rsidP="000B3DBE">
      <w:pPr>
        <w:spacing w:after="0"/>
        <w:jc w:val="both"/>
        <w:rPr>
          <w:rFonts w:ascii="Times New Roman" w:hAnsi="Times New Roman"/>
          <w:sz w:val="28"/>
          <w:szCs w:val="28"/>
          <w:lang w:val="en-GB"/>
        </w:rPr>
      </w:pPr>
    </w:p>
    <w:p w14:paraId="4FE7D229"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W celu określenia właściwego organu wybieramy </w:t>
      </w:r>
      <w:r>
        <w:rPr>
          <w:rFonts w:ascii="Times New Roman" w:hAnsi="Times New Roman"/>
          <w:b/>
          <w:sz w:val="28"/>
        </w:rPr>
        <w:t>Belgię</w:t>
      </w:r>
      <w:r>
        <w:rPr>
          <w:rFonts w:ascii="Times New Roman" w:hAnsi="Times New Roman"/>
          <w:sz w:val="28"/>
        </w:rPr>
        <w:t xml:space="preserve"> jako wybrany kraj (BE). Następnie wybieramy sekcję </w:t>
      </w:r>
      <w:r>
        <w:rPr>
          <w:rFonts w:ascii="Times New Roman" w:hAnsi="Times New Roman"/>
          <w:b/>
          <w:sz w:val="28"/>
        </w:rPr>
        <w:t>Atlas</w:t>
      </w:r>
      <w:r>
        <w:rPr>
          <w:rFonts w:ascii="Times New Roman" w:hAnsi="Times New Roman"/>
          <w:sz w:val="28"/>
        </w:rPr>
        <w:t>, jak pokazano poniżej.</w:t>
      </w:r>
    </w:p>
    <w:p w14:paraId="0B764EE2" w14:textId="77777777" w:rsidR="000B3DBE" w:rsidRPr="00B074A0" w:rsidRDefault="000B3DBE" w:rsidP="000B3DBE">
      <w:pPr>
        <w:spacing w:after="0" w:line="240" w:lineRule="auto"/>
        <w:jc w:val="both"/>
        <w:rPr>
          <w:rFonts w:ascii="Times New Roman" w:hAnsi="Times New Roman"/>
          <w:sz w:val="28"/>
          <w:szCs w:val="28"/>
          <w:lang w:val="en-GB"/>
        </w:rPr>
      </w:pPr>
    </w:p>
    <w:p w14:paraId="54BCDB5D"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834640"/>
                    </a:xfrm>
                    <a:prstGeom prst="rect">
                      <a:avLst/>
                    </a:prstGeom>
                  </pic:spPr>
                </pic:pic>
              </a:graphicData>
            </a:graphic>
          </wp:inline>
        </w:drawing>
      </w:r>
    </w:p>
    <w:p w14:paraId="6C385F84" w14:textId="77777777" w:rsidR="000B3DBE" w:rsidRPr="00B074A0" w:rsidRDefault="000B3DBE" w:rsidP="000B3DBE">
      <w:pPr>
        <w:spacing w:after="0"/>
        <w:jc w:val="both"/>
        <w:rPr>
          <w:rFonts w:ascii="Times New Roman" w:hAnsi="Times New Roman"/>
          <w:sz w:val="28"/>
          <w:szCs w:val="28"/>
          <w:lang w:val="en-GB"/>
        </w:rPr>
      </w:pPr>
    </w:p>
    <w:p w14:paraId="49B537E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Wybieramy środek </w:t>
      </w:r>
      <w:r>
        <w:rPr>
          <w:rFonts w:ascii="Times New Roman" w:hAnsi="Times New Roman"/>
          <w:b/>
          <w:sz w:val="28"/>
        </w:rPr>
        <w:t>601</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Przeszukanie domu.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482E5097"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3D6891F"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7FBF690A" wp14:editId="6D2DAEE0">
            <wp:extent cx="5731510" cy="33375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337560"/>
                    </a:xfrm>
                    <a:prstGeom prst="rect">
                      <a:avLst/>
                    </a:prstGeom>
                  </pic:spPr>
                </pic:pic>
              </a:graphicData>
            </a:graphic>
          </wp:inline>
        </w:drawing>
      </w:r>
    </w:p>
    <w:p w14:paraId="4857430D" w14:textId="77777777" w:rsidR="000B3DBE" w:rsidRPr="00B074A0" w:rsidRDefault="000B3DBE" w:rsidP="000B3DBE">
      <w:pPr>
        <w:spacing w:after="0"/>
        <w:jc w:val="both"/>
        <w:rPr>
          <w:rFonts w:ascii="Times New Roman" w:hAnsi="Times New Roman"/>
          <w:sz w:val="28"/>
          <w:szCs w:val="28"/>
          <w:lang w:val="en-GB"/>
        </w:rPr>
      </w:pPr>
    </w:p>
    <w:p w14:paraId="56B42CED" w14:textId="77777777" w:rsidR="000B3DBE" w:rsidRPr="00B074A0" w:rsidRDefault="000B3DBE" w:rsidP="000B3DBE">
      <w:pPr>
        <w:spacing w:after="0"/>
        <w:jc w:val="both"/>
        <w:rPr>
          <w:rFonts w:ascii="Times New Roman" w:hAnsi="Times New Roman"/>
          <w:sz w:val="28"/>
          <w:szCs w:val="28"/>
          <w:lang w:val="en-GB"/>
        </w:rPr>
      </w:pPr>
    </w:p>
    <w:p w14:paraId="592C6CD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Tutaj musimy wybrać pomiędzy 2 opcjami. Zaznaczamy, że znamy lokalizację w Brukseli (jeżeli nie znamy lokalizacji, którą wybralibyśmy, nie byłaby ona znana i polegalibyśmy na pomocy udzielonej przez właściwe organy w państwie członkowskim wykonującym nakaz). Następnie wybieramy sekcję </w:t>
      </w:r>
      <w:r>
        <w:rPr>
          <w:rFonts w:ascii="Times New Roman" w:hAnsi="Times New Roman"/>
          <w:b/>
          <w:sz w:val="28"/>
        </w:rPr>
        <w:t>Dalej</w:t>
      </w:r>
      <w:r>
        <w:rPr>
          <w:rFonts w:ascii="Times New Roman" w:hAnsi="Times New Roman"/>
          <w:sz w:val="28"/>
        </w:rPr>
        <w:t>, jak pokazano poniżej.</w:t>
      </w:r>
    </w:p>
    <w:p w14:paraId="18577D46"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0C9AA62A" wp14:editId="23E54432">
            <wp:extent cx="5731510" cy="2451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451735"/>
                    </a:xfrm>
                    <a:prstGeom prst="rect">
                      <a:avLst/>
                    </a:prstGeom>
                  </pic:spPr>
                </pic:pic>
              </a:graphicData>
            </a:graphic>
          </wp:inline>
        </w:drawing>
      </w:r>
    </w:p>
    <w:p w14:paraId="6F6D96C2" w14:textId="77777777" w:rsidR="000B3DBE" w:rsidRPr="00B074A0" w:rsidRDefault="000B3DBE" w:rsidP="000B3DBE">
      <w:pPr>
        <w:spacing w:after="0"/>
        <w:jc w:val="both"/>
        <w:rPr>
          <w:rFonts w:ascii="Times New Roman" w:hAnsi="Times New Roman"/>
          <w:sz w:val="28"/>
          <w:szCs w:val="28"/>
          <w:lang w:val="en-GB"/>
        </w:rPr>
      </w:pPr>
    </w:p>
    <w:p w14:paraId="5A3D706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Tutaj musimy wybrać pomiędzy 2 opcjami – konwencją z 2000 r. lub dyrektywą 2014/41 w sprawie END. Aby dyrektywa mogła być stosowana, sprawdzamy </w:t>
      </w:r>
      <w:r>
        <w:rPr>
          <w:rFonts w:ascii="Times New Roman" w:hAnsi="Times New Roman"/>
          <w:b/>
          <w:sz w:val="28"/>
        </w:rPr>
        <w:t>status implementacji</w:t>
      </w:r>
      <w:r>
        <w:rPr>
          <w:rFonts w:ascii="Times New Roman" w:hAnsi="Times New Roman"/>
          <w:sz w:val="28"/>
        </w:rPr>
        <w:t xml:space="preserve"> (na stronie EJN) danego instrumentu prawnego. Wiemy, że tylko Dania i Irlandia nie są związane dyrektywą, a pozostałe państwa członkowskie ją wdrożyły. Wybierzemy dyrektywę 2014/41 w sprawie END. Następnie wybieramy sekcję </w:t>
      </w:r>
      <w:r>
        <w:rPr>
          <w:rFonts w:ascii="Times New Roman" w:hAnsi="Times New Roman"/>
          <w:b/>
          <w:sz w:val="28"/>
        </w:rPr>
        <w:t>Dalej</w:t>
      </w:r>
      <w:r>
        <w:rPr>
          <w:rFonts w:ascii="Times New Roman" w:hAnsi="Times New Roman"/>
          <w:sz w:val="28"/>
        </w:rPr>
        <w:t>, jak pokazano poniżej.</w:t>
      </w:r>
    </w:p>
    <w:p w14:paraId="020D4CA0" w14:textId="77777777" w:rsidR="000B3DBE" w:rsidRPr="00B074A0" w:rsidRDefault="000B3DBE" w:rsidP="000B3DBE">
      <w:pPr>
        <w:spacing w:after="0"/>
        <w:jc w:val="both"/>
        <w:rPr>
          <w:rFonts w:ascii="Times New Roman" w:hAnsi="Times New Roman"/>
          <w:sz w:val="28"/>
          <w:szCs w:val="28"/>
          <w:lang w:val="en-GB"/>
        </w:rPr>
      </w:pPr>
    </w:p>
    <w:p w14:paraId="5341549D"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2D75E8B7" wp14:editId="1F6D70F3">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894965"/>
                    </a:xfrm>
                    <a:prstGeom prst="rect">
                      <a:avLst/>
                    </a:prstGeom>
                  </pic:spPr>
                </pic:pic>
              </a:graphicData>
            </a:graphic>
          </wp:inline>
        </w:drawing>
      </w:r>
    </w:p>
    <w:p w14:paraId="0C57F79D" w14:textId="77777777" w:rsidR="000B3DBE" w:rsidRPr="00B074A0" w:rsidRDefault="000B3DBE" w:rsidP="000B3DBE">
      <w:pPr>
        <w:spacing w:after="0"/>
        <w:jc w:val="both"/>
        <w:rPr>
          <w:rFonts w:ascii="Times New Roman" w:hAnsi="Times New Roman"/>
          <w:sz w:val="28"/>
          <w:szCs w:val="28"/>
          <w:lang w:val="en-GB"/>
        </w:rPr>
      </w:pPr>
    </w:p>
    <w:p w14:paraId="25C2EDB8" w14:textId="77777777" w:rsidR="000B3DBE" w:rsidRPr="00B074A0" w:rsidRDefault="000B3DBE" w:rsidP="000B3DBE">
      <w:pPr>
        <w:spacing w:after="0"/>
        <w:jc w:val="both"/>
        <w:rPr>
          <w:rFonts w:ascii="Times New Roman" w:hAnsi="Times New Roman"/>
          <w:sz w:val="28"/>
          <w:szCs w:val="28"/>
          <w:lang w:val="en-GB"/>
        </w:rPr>
      </w:pPr>
    </w:p>
    <w:p w14:paraId="422681B6"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Przedstawiamy </w:t>
      </w:r>
      <w:r>
        <w:rPr>
          <w:rFonts w:ascii="Times New Roman" w:hAnsi="Times New Roman"/>
          <w:b/>
          <w:sz w:val="28"/>
        </w:rPr>
        <w:t>Brukselę</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5A4B0319"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0AC2CA13"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726180"/>
                    </a:xfrm>
                    <a:prstGeom prst="rect">
                      <a:avLst/>
                    </a:prstGeom>
                  </pic:spPr>
                </pic:pic>
              </a:graphicData>
            </a:graphic>
          </wp:inline>
        </w:drawing>
      </w:r>
    </w:p>
    <w:p w14:paraId="6DCEF545" w14:textId="77777777" w:rsidR="000B3DBE" w:rsidRPr="00B074A0" w:rsidRDefault="000B3DBE" w:rsidP="000B3DBE">
      <w:pPr>
        <w:spacing w:after="0"/>
        <w:jc w:val="both"/>
        <w:rPr>
          <w:rFonts w:ascii="Times New Roman" w:hAnsi="Times New Roman"/>
          <w:sz w:val="28"/>
          <w:szCs w:val="28"/>
          <w:lang w:val="en-GB"/>
        </w:rPr>
      </w:pPr>
    </w:p>
    <w:p w14:paraId="37A44503"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Na koniec otrzymujemy wynik naszego wyszukiwania jak na rysunku poniżej.</w:t>
      </w:r>
    </w:p>
    <w:p w14:paraId="33F86220" w14:textId="77777777" w:rsidR="000B3DBE" w:rsidRPr="00B074A0" w:rsidRDefault="000B3DBE" w:rsidP="000B3DBE">
      <w:pPr>
        <w:spacing w:after="0"/>
        <w:jc w:val="both"/>
        <w:rPr>
          <w:rFonts w:ascii="Times New Roman" w:hAnsi="Times New Roman"/>
          <w:sz w:val="28"/>
          <w:szCs w:val="28"/>
          <w:lang w:val="en-GB"/>
        </w:rPr>
      </w:pPr>
    </w:p>
    <w:p w14:paraId="5AD93DE4"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233C43B8" wp14:editId="59FEB4FF">
            <wp:extent cx="5731510" cy="38023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802380"/>
                    </a:xfrm>
                    <a:prstGeom prst="rect">
                      <a:avLst/>
                    </a:prstGeom>
                  </pic:spPr>
                </pic:pic>
              </a:graphicData>
            </a:graphic>
          </wp:inline>
        </w:drawing>
      </w:r>
    </w:p>
    <w:p w14:paraId="5B282C9E" w14:textId="77777777" w:rsidR="000B3DBE" w:rsidRPr="00F619B4" w:rsidRDefault="000B3DBE" w:rsidP="00F619B4">
      <w:pPr>
        <w:pStyle w:val="Akapitzlist"/>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Francuski właściwy organ wydający nakaz chce przesłuchać w formie wideokonferencji świadka zamieszkałego w Vigo, w Hiszpanii.</w:t>
      </w:r>
    </w:p>
    <w:p w14:paraId="2F448C9B" w14:textId="77777777" w:rsidR="000B3DBE" w:rsidRPr="00B074A0" w:rsidRDefault="000B3DBE" w:rsidP="000B3DBE">
      <w:pPr>
        <w:pStyle w:val="Akapitzlist"/>
        <w:spacing w:after="0"/>
        <w:jc w:val="both"/>
        <w:rPr>
          <w:rFonts w:ascii="Times New Roman" w:hAnsi="Times New Roman"/>
          <w:sz w:val="28"/>
          <w:szCs w:val="28"/>
          <w:lang w:val="en-GB"/>
        </w:rPr>
      </w:pPr>
    </w:p>
    <w:p w14:paraId="73D2DCAA"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W celu określenia właściwego organu jako wybrany kraj (ES) wybieramy </w:t>
      </w:r>
      <w:r>
        <w:rPr>
          <w:rFonts w:ascii="Times New Roman" w:hAnsi="Times New Roman"/>
          <w:b/>
          <w:sz w:val="28"/>
        </w:rPr>
        <w:t>Hiszpanię</w:t>
      </w:r>
      <w:r>
        <w:rPr>
          <w:rFonts w:ascii="Times New Roman" w:hAnsi="Times New Roman"/>
          <w:sz w:val="28"/>
        </w:rPr>
        <w:t xml:space="preserve">. Następnie wybieramy sekcję </w:t>
      </w:r>
      <w:r>
        <w:rPr>
          <w:rFonts w:ascii="Times New Roman" w:hAnsi="Times New Roman"/>
          <w:b/>
          <w:sz w:val="28"/>
        </w:rPr>
        <w:t>Atlas</w:t>
      </w:r>
      <w:r>
        <w:rPr>
          <w:rFonts w:ascii="Times New Roman" w:hAnsi="Times New Roman"/>
          <w:sz w:val="28"/>
        </w:rPr>
        <w:t>, jak pokazano poniżej.</w:t>
      </w:r>
    </w:p>
    <w:p w14:paraId="7B685519" w14:textId="77777777" w:rsidR="000B3DBE" w:rsidRPr="00B074A0" w:rsidRDefault="000B3DBE" w:rsidP="000B3DBE">
      <w:pPr>
        <w:spacing w:after="0" w:line="240" w:lineRule="auto"/>
        <w:jc w:val="both"/>
        <w:rPr>
          <w:rFonts w:ascii="Times New Roman" w:hAnsi="Times New Roman"/>
          <w:sz w:val="28"/>
          <w:szCs w:val="28"/>
          <w:lang w:val="en-GB"/>
        </w:rPr>
      </w:pPr>
    </w:p>
    <w:p w14:paraId="6C959D49"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49880"/>
                    </a:xfrm>
                    <a:prstGeom prst="rect">
                      <a:avLst/>
                    </a:prstGeom>
                  </pic:spPr>
                </pic:pic>
              </a:graphicData>
            </a:graphic>
          </wp:inline>
        </w:drawing>
      </w:r>
    </w:p>
    <w:p w14:paraId="42BFE771" w14:textId="77777777" w:rsidR="000B3DBE" w:rsidRPr="00B074A0" w:rsidRDefault="000B3DBE" w:rsidP="000B3DBE">
      <w:pPr>
        <w:spacing w:after="0"/>
        <w:jc w:val="both"/>
        <w:rPr>
          <w:rFonts w:ascii="Times New Roman" w:hAnsi="Times New Roman"/>
          <w:sz w:val="28"/>
          <w:szCs w:val="28"/>
          <w:lang w:val="en-GB"/>
        </w:rPr>
      </w:pPr>
    </w:p>
    <w:p w14:paraId="571E9F8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Wybieramy środek </w:t>
      </w:r>
      <w:r>
        <w:rPr>
          <w:rFonts w:ascii="Times New Roman" w:hAnsi="Times New Roman"/>
          <w:b/>
          <w:sz w:val="28"/>
        </w:rPr>
        <w:t>703</w:t>
      </w:r>
      <w:r>
        <w:rPr>
          <w:rFonts w:ascii="Times New Roman" w:hAnsi="Times New Roman"/>
          <w:sz w:val="28"/>
        </w:rPr>
        <w:t>.</w:t>
      </w:r>
      <w:r>
        <w:rPr>
          <w:rFonts w:ascii="Times New Roman" w:hAnsi="Times New Roman"/>
          <w:b/>
          <w:sz w:val="28"/>
        </w:rPr>
        <w:t xml:space="preserve"> Przesłuchania świadków: w formie wideokonferencji</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4CDA26AD"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680A9CA1"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17D75E47" wp14:editId="3C48953F">
            <wp:extent cx="5731510" cy="36804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680460"/>
                    </a:xfrm>
                    <a:prstGeom prst="rect">
                      <a:avLst/>
                    </a:prstGeom>
                  </pic:spPr>
                </pic:pic>
              </a:graphicData>
            </a:graphic>
          </wp:inline>
        </w:drawing>
      </w:r>
    </w:p>
    <w:p w14:paraId="7A27A7E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Tutaj musimy wybrać pomiędzy dwoma opcjami – dyrektywą 2014/41 w sprawie END lub innym instrumentem prawnym. Aby dyrektywa mogła być stosowana, sprawdzamy </w:t>
      </w:r>
      <w:r>
        <w:rPr>
          <w:rFonts w:ascii="Times New Roman" w:hAnsi="Times New Roman"/>
          <w:b/>
          <w:sz w:val="28"/>
        </w:rPr>
        <w:t>status implementacji</w:t>
      </w:r>
      <w:r>
        <w:rPr>
          <w:rFonts w:ascii="Times New Roman" w:hAnsi="Times New Roman"/>
          <w:sz w:val="28"/>
        </w:rPr>
        <w:t xml:space="preserve"> (na stronie EJN) danego instrumentu prawnego. Wiemy, że tylko Dania i Irlandia nie są związane dyrektywą, a pozostałe państwa członkowskie ją wdrożyły. Wybierzemy dyrektywę 2014/41 w sprawie END. Następnie wybieramy sekcję </w:t>
      </w:r>
      <w:r>
        <w:rPr>
          <w:rFonts w:ascii="Times New Roman" w:hAnsi="Times New Roman"/>
          <w:b/>
          <w:sz w:val="28"/>
        </w:rPr>
        <w:t>Dalej</w:t>
      </w:r>
      <w:r>
        <w:rPr>
          <w:rFonts w:ascii="Times New Roman" w:hAnsi="Times New Roman"/>
          <w:sz w:val="28"/>
        </w:rPr>
        <w:t>, jak pokazano poniżej.</w:t>
      </w:r>
    </w:p>
    <w:p w14:paraId="5E611378" w14:textId="77777777" w:rsidR="000B3DBE" w:rsidRPr="00B074A0" w:rsidRDefault="000B3DBE" w:rsidP="000B3DBE">
      <w:pPr>
        <w:spacing w:after="0"/>
        <w:jc w:val="both"/>
        <w:rPr>
          <w:rFonts w:ascii="Times New Roman" w:hAnsi="Times New Roman"/>
          <w:sz w:val="28"/>
          <w:szCs w:val="28"/>
          <w:lang w:val="en-GB"/>
        </w:rPr>
      </w:pPr>
    </w:p>
    <w:p w14:paraId="4D34D89B"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498725"/>
                    </a:xfrm>
                    <a:prstGeom prst="rect">
                      <a:avLst/>
                    </a:prstGeom>
                  </pic:spPr>
                </pic:pic>
              </a:graphicData>
            </a:graphic>
          </wp:inline>
        </w:drawing>
      </w:r>
    </w:p>
    <w:p w14:paraId="7F668F5E" w14:textId="77777777" w:rsidR="000B3DBE" w:rsidRPr="00B074A0" w:rsidRDefault="000B3DBE" w:rsidP="000B3DBE">
      <w:pPr>
        <w:spacing w:after="0"/>
        <w:jc w:val="both"/>
        <w:rPr>
          <w:rFonts w:ascii="Times New Roman" w:hAnsi="Times New Roman"/>
          <w:sz w:val="28"/>
          <w:szCs w:val="28"/>
          <w:lang w:val="en-GB"/>
        </w:rPr>
      </w:pPr>
    </w:p>
    <w:p w14:paraId="1C96F9EB"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lastRenderedPageBreak/>
        <w:t xml:space="preserve">4. Tutaj mamy do wyboru 3 opcje dotyczące danego przestępstwa. Wybieramy każde inne przestępstwo. Następnie wybieramy sekcję </w:t>
      </w:r>
      <w:r>
        <w:rPr>
          <w:rFonts w:ascii="Times New Roman" w:hAnsi="Times New Roman"/>
          <w:b/>
          <w:sz w:val="28"/>
        </w:rPr>
        <w:t>Dalej</w:t>
      </w:r>
      <w:r>
        <w:rPr>
          <w:rFonts w:ascii="Times New Roman" w:hAnsi="Times New Roman"/>
          <w:sz w:val="28"/>
        </w:rPr>
        <w:t>, jak pokazano poniżej.</w:t>
      </w:r>
    </w:p>
    <w:p w14:paraId="66FE6E15" w14:textId="77777777" w:rsidR="000B3DBE" w:rsidRPr="00B074A0" w:rsidRDefault="000B3DBE" w:rsidP="000B3DBE">
      <w:pPr>
        <w:spacing w:after="0"/>
        <w:jc w:val="both"/>
        <w:rPr>
          <w:rFonts w:ascii="Times New Roman" w:hAnsi="Times New Roman"/>
          <w:sz w:val="28"/>
          <w:szCs w:val="28"/>
          <w:lang w:val="en-GB"/>
        </w:rPr>
      </w:pPr>
    </w:p>
    <w:p w14:paraId="49D200EF"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535680"/>
                    </a:xfrm>
                    <a:prstGeom prst="rect">
                      <a:avLst/>
                    </a:prstGeom>
                  </pic:spPr>
                </pic:pic>
              </a:graphicData>
            </a:graphic>
          </wp:inline>
        </w:drawing>
      </w:r>
    </w:p>
    <w:p w14:paraId="187A9A7B" w14:textId="77777777" w:rsidR="000B3DBE" w:rsidRPr="00B074A0" w:rsidRDefault="000B3DBE" w:rsidP="000B3DBE">
      <w:pPr>
        <w:spacing w:after="0"/>
        <w:jc w:val="both"/>
        <w:rPr>
          <w:rFonts w:ascii="Times New Roman" w:hAnsi="Times New Roman"/>
          <w:sz w:val="28"/>
          <w:szCs w:val="28"/>
          <w:lang w:val="en-GB"/>
        </w:rPr>
      </w:pPr>
    </w:p>
    <w:p w14:paraId="3285295D" w14:textId="77777777" w:rsidR="000B3DBE" w:rsidRPr="00B074A0" w:rsidRDefault="000B3DBE" w:rsidP="000B3DBE">
      <w:pPr>
        <w:spacing w:after="0"/>
        <w:jc w:val="both"/>
        <w:rPr>
          <w:rFonts w:ascii="Times New Roman" w:hAnsi="Times New Roman"/>
          <w:sz w:val="28"/>
          <w:szCs w:val="28"/>
          <w:lang w:val="en-GB"/>
        </w:rPr>
      </w:pPr>
    </w:p>
    <w:p w14:paraId="3990B5F8"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5. Następnym krokiem jest wybór pomiędzy 2 opcjami. Wybierzemy, że znamy lokalizację w Vigo, gdzie przebywa świadek. Następnie wybieramy sekcję </w:t>
      </w:r>
      <w:r>
        <w:rPr>
          <w:rFonts w:ascii="Times New Roman" w:hAnsi="Times New Roman"/>
          <w:b/>
          <w:sz w:val="28"/>
        </w:rPr>
        <w:t>Dalej</w:t>
      </w:r>
      <w:r>
        <w:rPr>
          <w:rFonts w:ascii="Times New Roman" w:hAnsi="Times New Roman"/>
          <w:sz w:val="28"/>
        </w:rPr>
        <w:t>, jak pokazano poniżej.</w:t>
      </w:r>
    </w:p>
    <w:p w14:paraId="7FA1B51F" w14:textId="77777777" w:rsidR="000B3DBE" w:rsidRPr="00B074A0" w:rsidRDefault="000B3DBE" w:rsidP="000B3DBE">
      <w:pPr>
        <w:spacing w:after="0"/>
        <w:jc w:val="both"/>
        <w:rPr>
          <w:rFonts w:ascii="Times New Roman" w:hAnsi="Times New Roman"/>
          <w:sz w:val="28"/>
          <w:szCs w:val="28"/>
          <w:lang w:val="en-GB"/>
        </w:rPr>
      </w:pPr>
    </w:p>
    <w:p w14:paraId="79AE51C8"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58490"/>
                    </a:xfrm>
                    <a:prstGeom prst="rect">
                      <a:avLst/>
                    </a:prstGeom>
                  </pic:spPr>
                </pic:pic>
              </a:graphicData>
            </a:graphic>
          </wp:inline>
        </w:drawing>
      </w:r>
    </w:p>
    <w:p w14:paraId="2F8458AC" w14:textId="77777777" w:rsidR="000B3DBE" w:rsidRPr="00B074A0" w:rsidRDefault="000B3DBE" w:rsidP="000B3DBE">
      <w:pPr>
        <w:spacing w:after="0"/>
        <w:jc w:val="both"/>
        <w:rPr>
          <w:rFonts w:ascii="Times New Roman" w:hAnsi="Times New Roman"/>
          <w:sz w:val="28"/>
          <w:szCs w:val="28"/>
          <w:lang w:val="en-GB"/>
        </w:rPr>
      </w:pPr>
    </w:p>
    <w:p w14:paraId="034A916F"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6.Przedstawiamy </w:t>
      </w:r>
      <w:r>
        <w:rPr>
          <w:rFonts w:ascii="Times New Roman" w:hAnsi="Times New Roman"/>
          <w:b/>
          <w:sz w:val="28"/>
        </w:rPr>
        <w:t>Vigo, Hiszpania</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5EBA05B8"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217A5F1B"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2DA2E676" wp14:editId="5D70041F">
            <wp:extent cx="5731510" cy="41776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177665"/>
                    </a:xfrm>
                    <a:prstGeom prst="rect">
                      <a:avLst/>
                    </a:prstGeom>
                  </pic:spPr>
                </pic:pic>
              </a:graphicData>
            </a:graphic>
          </wp:inline>
        </w:drawing>
      </w:r>
    </w:p>
    <w:p w14:paraId="6E9F5191" w14:textId="77777777" w:rsidR="000B3DBE" w:rsidRPr="00B074A0" w:rsidRDefault="000B3DBE" w:rsidP="000B3DBE">
      <w:pPr>
        <w:spacing w:after="0"/>
        <w:jc w:val="both"/>
        <w:rPr>
          <w:rFonts w:ascii="Times New Roman" w:hAnsi="Times New Roman"/>
          <w:sz w:val="28"/>
          <w:szCs w:val="28"/>
          <w:lang w:val="en-GB"/>
        </w:rPr>
      </w:pPr>
    </w:p>
    <w:p w14:paraId="710921CE"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Na koniec otrzymujemy wynik naszego wyszukiwania jak na rysunku poniżej.</w:t>
      </w:r>
    </w:p>
    <w:p w14:paraId="0662DF0A" w14:textId="77777777" w:rsidR="000B3DBE" w:rsidRPr="00B074A0" w:rsidRDefault="000B3DBE" w:rsidP="000B3DBE">
      <w:pPr>
        <w:spacing w:after="0"/>
        <w:jc w:val="both"/>
        <w:rPr>
          <w:rFonts w:ascii="Times New Roman" w:hAnsi="Times New Roman"/>
          <w:sz w:val="28"/>
          <w:szCs w:val="28"/>
          <w:lang w:val="en-GB"/>
        </w:rPr>
      </w:pPr>
    </w:p>
    <w:p w14:paraId="1A133836"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749040"/>
                    </a:xfrm>
                    <a:prstGeom prst="rect">
                      <a:avLst/>
                    </a:prstGeom>
                  </pic:spPr>
                </pic:pic>
              </a:graphicData>
            </a:graphic>
          </wp:inline>
        </w:drawing>
      </w:r>
    </w:p>
    <w:p w14:paraId="6E601E38" w14:textId="77777777" w:rsidR="000B3DBE" w:rsidRPr="00B074A0" w:rsidRDefault="000B3DBE" w:rsidP="000B3DBE">
      <w:pPr>
        <w:pStyle w:val="Akapitzlist"/>
        <w:jc w:val="both"/>
        <w:rPr>
          <w:rFonts w:ascii="Times New Roman" w:hAnsi="Times New Roman" w:cs="Times New Roman"/>
          <w:i/>
          <w:iCs/>
          <w:sz w:val="28"/>
          <w:szCs w:val="28"/>
          <w:lang w:val="en-GB"/>
        </w:rPr>
      </w:pPr>
    </w:p>
    <w:p w14:paraId="787449CB" w14:textId="77777777" w:rsidR="000B3DBE" w:rsidRPr="00F619B4" w:rsidRDefault="000B3DBE" w:rsidP="00F619B4">
      <w:pPr>
        <w:pStyle w:val="Akapitzlist"/>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Właściwy organ wydający nakaz w Hiszpanii chce przesłuchać eksperta mieszkającego w Atenach, w Grecji.</w:t>
      </w:r>
    </w:p>
    <w:p w14:paraId="203FEFE7" w14:textId="77777777" w:rsidR="000B3DBE" w:rsidRPr="00B074A0" w:rsidRDefault="000B3DBE" w:rsidP="000B3DBE">
      <w:pPr>
        <w:spacing w:after="0"/>
        <w:jc w:val="both"/>
        <w:rPr>
          <w:rFonts w:ascii="Times New Roman" w:hAnsi="Times New Roman"/>
          <w:sz w:val="28"/>
          <w:szCs w:val="28"/>
          <w:lang w:val="en-GB"/>
        </w:rPr>
      </w:pPr>
    </w:p>
    <w:p w14:paraId="4FE32DD6" w14:textId="77777777" w:rsidR="000B3DBE" w:rsidRPr="00B074A0" w:rsidRDefault="000B3DBE" w:rsidP="000B3DBE">
      <w:pPr>
        <w:pStyle w:val="Akapitzlist"/>
        <w:numPr>
          <w:ilvl w:val="0"/>
          <w:numId w:val="9"/>
        </w:numPr>
        <w:spacing w:after="0" w:line="240" w:lineRule="auto"/>
        <w:jc w:val="both"/>
        <w:rPr>
          <w:rFonts w:ascii="Times New Roman" w:hAnsi="Times New Roman"/>
          <w:sz w:val="28"/>
          <w:szCs w:val="28"/>
        </w:rPr>
      </w:pPr>
      <w:r>
        <w:rPr>
          <w:rFonts w:ascii="Times New Roman" w:hAnsi="Times New Roman"/>
          <w:sz w:val="28"/>
        </w:rPr>
        <w:t xml:space="preserve">W celu określenia właściwego organu wybieramy </w:t>
      </w:r>
      <w:r>
        <w:rPr>
          <w:rFonts w:ascii="Times New Roman" w:hAnsi="Times New Roman"/>
          <w:b/>
          <w:sz w:val="28"/>
        </w:rPr>
        <w:t>Grecję</w:t>
      </w:r>
      <w:r>
        <w:rPr>
          <w:rFonts w:ascii="Times New Roman" w:hAnsi="Times New Roman"/>
          <w:sz w:val="28"/>
        </w:rPr>
        <w:t xml:space="preserve"> jako wybrany kraj (GR). Następnie wybieramy sekcję </w:t>
      </w:r>
      <w:r>
        <w:rPr>
          <w:rFonts w:ascii="Times New Roman" w:hAnsi="Times New Roman"/>
          <w:b/>
          <w:sz w:val="28"/>
        </w:rPr>
        <w:t>Atlas</w:t>
      </w:r>
      <w:r>
        <w:rPr>
          <w:rFonts w:ascii="Times New Roman" w:hAnsi="Times New Roman"/>
          <w:sz w:val="28"/>
        </w:rPr>
        <w:t>, jak pokazano poniżej.</w:t>
      </w:r>
    </w:p>
    <w:p w14:paraId="59623811"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280DCF66" w14:textId="77777777" w:rsidR="000B3DBE" w:rsidRPr="00B074A0" w:rsidRDefault="000B3DBE" w:rsidP="000B3DBE">
      <w:pPr>
        <w:spacing w:after="0" w:line="240" w:lineRule="auto"/>
        <w:jc w:val="both"/>
        <w:rPr>
          <w:rFonts w:ascii="Times New Roman" w:hAnsi="Times New Roman"/>
          <w:sz w:val="28"/>
          <w:szCs w:val="28"/>
        </w:rPr>
      </w:pPr>
      <w:r>
        <w:rPr>
          <w:noProof/>
          <w:lang w:eastAsia="pl-PL"/>
        </w:rPr>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895600"/>
                    </a:xfrm>
                    <a:prstGeom prst="rect">
                      <a:avLst/>
                    </a:prstGeom>
                  </pic:spPr>
                </pic:pic>
              </a:graphicData>
            </a:graphic>
          </wp:inline>
        </w:drawing>
      </w:r>
    </w:p>
    <w:p w14:paraId="34DA531F" w14:textId="77777777" w:rsidR="000B3DBE" w:rsidRPr="00B074A0" w:rsidRDefault="000B3DBE" w:rsidP="000B3DBE">
      <w:pPr>
        <w:pStyle w:val="Akapitzlist"/>
        <w:numPr>
          <w:ilvl w:val="0"/>
          <w:numId w:val="9"/>
        </w:numPr>
        <w:spacing w:after="0" w:line="240" w:lineRule="auto"/>
        <w:jc w:val="both"/>
        <w:rPr>
          <w:rFonts w:ascii="Times New Roman" w:hAnsi="Times New Roman"/>
          <w:sz w:val="28"/>
          <w:szCs w:val="28"/>
        </w:rPr>
      </w:pPr>
      <w:r>
        <w:rPr>
          <w:rFonts w:ascii="Times New Roman" w:hAnsi="Times New Roman"/>
          <w:sz w:val="28"/>
        </w:rPr>
        <w:t xml:space="preserve">Wybieramy środek </w:t>
      </w:r>
      <w:r>
        <w:rPr>
          <w:rFonts w:ascii="Times New Roman" w:hAnsi="Times New Roman"/>
          <w:b/>
          <w:sz w:val="28"/>
        </w:rPr>
        <w:t>708</w:t>
      </w:r>
      <w:r>
        <w:rPr>
          <w:rFonts w:ascii="Times New Roman" w:hAnsi="Times New Roman"/>
          <w:sz w:val="28"/>
        </w:rPr>
        <w:t>.</w:t>
      </w:r>
      <w:r>
        <w:rPr>
          <w:rFonts w:ascii="Times New Roman" w:hAnsi="Times New Roman"/>
          <w:b/>
          <w:sz w:val="28"/>
        </w:rPr>
        <w:t xml:space="preserve"> Eksperci ds. przesłuchań</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36B3A8A6"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2559C0B9" w14:textId="77777777" w:rsidR="000B3DBE" w:rsidRPr="00B074A0" w:rsidRDefault="000B3DBE" w:rsidP="000B3DBE">
      <w:pPr>
        <w:spacing w:after="0" w:line="240" w:lineRule="auto"/>
        <w:ind w:left="360"/>
        <w:jc w:val="both"/>
        <w:rPr>
          <w:rFonts w:ascii="Times New Roman" w:hAnsi="Times New Roman"/>
          <w:sz w:val="28"/>
          <w:szCs w:val="28"/>
        </w:rPr>
      </w:pPr>
      <w:r>
        <w:rPr>
          <w:noProof/>
          <w:lang w:eastAsia="pl-PL"/>
        </w:rPr>
        <w:lastRenderedPageBreak/>
        <w:drawing>
          <wp:inline distT="0" distB="0" distL="0" distR="0" wp14:anchorId="6FC315C5" wp14:editId="2A27299E">
            <wp:extent cx="5731510" cy="39624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962400"/>
                    </a:xfrm>
                    <a:prstGeom prst="rect">
                      <a:avLst/>
                    </a:prstGeom>
                  </pic:spPr>
                </pic:pic>
              </a:graphicData>
            </a:graphic>
          </wp:inline>
        </w:drawing>
      </w:r>
    </w:p>
    <w:p w14:paraId="7F433991" w14:textId="77777777" w:rsidR="000B3DBE" w:rsidRPr="00B074A0" w:rsidRDefault="000B3DBE" w:rsidP="000B3DBE">
      <w:pPr>
        <w:spacing w:after="0"/>
        <w:jc w:val="both"/>
        <w:rPr>
          <w:rFonts w:ascii="Times New Roman" w:hAnsi="Times New Roman"/>
          <w:sz w:val="28"/>
          <w:szCs w:val="28"/>
          <w:lang w:val="en-GB"/>
        </w:rPr>
      </w:pPr>
    </w:p>
    <w:p w14:paraId="51047100" w14:textId="77777777" w:rsidR="000B3DBE" w:rsidRPr="00B074A0" w:rsidRDefault="000B3DBE" w:rsidP="000B3DBE">
      <w:pPr>
        <w:pStyle w:val="Akapitzlist"/>
        <w:numPr>
          <w:ilvl w:val="0"/>
          <w:numId w:val="9"/>
        </w:numPr>
        <w:spacing w:after="0" w:line="240" w:lineRule="auto"/>
        <w:jc w:val="both"/>
        <w:rPr>
          <w:rFonts w:ascii="Times New Roman" w:hAnsi="Times New Roman"/>
          <w:sz w:val="28"/>
          <w:szCs w:val="28"/>
        </w:rPr>
      </w:pPr>
      <w:r>
        <w:rPr>
          <w:rFonts w:ascii="Times New Roman" w:hAnsi="Times New Roman"/>
          <w:sz w:val="28"/>
        </w:rPr>
        <w:t xml:space="preserve">Następnym krokiem jest wybór pomiędzy 2 opcjami. Wybierzemy, że znamy lokalizację – Ateny, gdzie przebywa ekspert. Następnie wybieramy sekcję </w:t>
      </w:r>
      <w:r>
        <w:rPr>
          <w:rFonts w:ascii="Times New Roman" w:hAnsi="Times New Roman"/>
          <w:b/>
          <w:sz w:val="28"/>
        </w:rPr>
        <w:t>Dalej</w:t>
      </w:r>
      <w:r>
        <w:rPr>
          <w:rFonts w:ascii="Times New Roman" w:hAnsi="Times New Roman"/>
          <w:sz w:val="28"/>
        </w:rPr>
        <w:t>, jak pokazano poniżej.</w:t>
      </w:r>
    </w:p>
    <w:p w14:paraId="326FFA9F"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0CEE75A4"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727960"/>
                    </a:xfrm>
                    <a:prstGeom prst="rect">
                      <a:avLst/>
                    </a:prstGeom>
                  </pic:spPr>
                </pic:pic>
              </a:graphicData>
            </a:graphic>
          </wp:inline>
        </w:drawing>
      </w:r>
    </w:p>
    <w:p w14:paraId="3323B9D2" w14:textId="77777777" w:rsidR="000B3DBE" w:rsidRPr="00B074A0" w:rsidRDefault="000B3DBE" w:rsidP="000B3DBE">
      <w:pPr>
        <w:spacing w:after="0"/>
        <w:jc w:val="both"/>
        <w:rPr>
          <w:rFonts w:ascii="Times New Roman" w:hAnsi="Times New Roman"/>
          <w:sz w:val="28"/>
          <w:szCs w:val="28"/>
          <w:lang w:val="en-GB"/>
        </w:rPr>
      </w:pPr>
    </w:p>
    <w:p w14:paraId="7C9C6B54" w14:textId="77777777" w:rsidR="000B3DBE" w:rsidRPr="00B074A0" w:rsidRDefault="000B3DBE" w:rsidP="000B3DBE">
      <w:pPr>
        <w:spacing w:after="0"/>
        <w:jc w:val="both"/>
        <w:rPr>
          <w:rFonts w:ascii="Times New Roman" w:hAnsi="Times New Roman"/>
          <w:sz w:val="28"/>
          <w:szCs w:val="28"/>
          <w:lang w:val="en-GB"/>
        </w:rPr>
      </w:pPr>
    </w:p>
    <w:p w14:paraId="17CE5EA5" w14:textId="77777777" w:rsidR="000B3DBE" w:rsidRPr="00B074A0" w:rsidRDefault="000B3DBE" w:rsidP="000B3DBE">
      <w:pPr>
        <w:pStyle w:val="Akapitzlist"/>
        <w:numPr>
          <w:ilvl w:val="0"/>
          <w:numId w:val="9"/>
        </w:numPr>
        <w:spacing w:after="0" w:line="240" w:lineRule="auto"/>
        <w:jc w:val="both"/>
        <w:rPr>
          <w:rFonts w:ascii="Times New Roman" w:hAnsi="Times New Roman"/>
          <w:sz w:val="28"/>
          <w:szCs w:val="28"/>
        </w:rPr>
      </w:pPr>
      <w:r>
        <w:rPr>
          <w:rFonts w:ascii="Times New Roman" w:hAnsi="Times New Roman"/>
          <w:sz w:val="28"/>
        </w:rPr>
        <w:t xml:space="preserve">Tutaj musimy wybrać pomiędzy dwiema opcjami – dyrektywą 2014/41 w sprawie END lub konwencją z 1959 r. (ponieważ w Grecji konwencja z 2000 r. nie obowiązuje, więc nie ma zastosowania). Aby dyrektywa </w:t>
      </w:r>
      <w:r>
        <w:rPr>
          <w:rFonts w:ascii="Times New Roman" w:hAnsi="Times New Roman"/>
          <w:sz w:val="28"/>
        </w:rPr>
        <w:lastRenderedPageBreak/>
        <w:t xml:space="preserve">mogła być stosowana, sprawdzamy </w:t>
      </w:r>
      <w:r>
        <w:rPr>
          <w:rFonts w:ascii="Times New Roman" w:hAnsi="Times New Roman"/>
          <w:b/>
          <w:sz w:val="28"/>
        </w:rPr>
        <w:t>status implementacji</w:t>
      </w:r>
      <w:r>
        <w:rPr>
          <w:rFonts w:ascii="Times New Roman" w:hAnsi="Times New Roman"/>
          <w:sz w:val="28"/>
        </w:rPr>
        <w:t xml:space="preserve"> (na stronie EJN) danego instrumentu prawnego. Wiemy, że tylko Dania i Irlandia nie są związane dyrektywą, a pozostałe państwa członkowskie ją wdrożyły. Wybierzemy dyrektywę 2014/41 w sprawie END. Następnie wybieramy sekcję </w:t>
      </w:r>
      <w:r>
        <w:rPr>
          <w:rFonts w:ascii="Times New Roman" w:hAnsi="Times New Roman"/>
          <w:b/>
          <w:sz w:val="28"/>
        </w:rPr>
        <w:t>Dalej</w:t>
      </w:r>
      <w:r>
        <w:rPr>
          <w:rFonts w:ascii="Times New Roman" w:hAnsi="Times New Roman"/>
          <w:sz w:val="28"/>
        </w:rPr>
        <w:t>, jak pokazano poniżej.</w:t>
      </w:r>
    </w:p>
    <w:p w14:paraId="63118D6C" w14:textId="77777777" w:rsidR="000B3DBE" w:rsidRPr="00B074A0" w:rsidRDefault="000B3DBE" w:rsidP="000B3DBE">
      <w:pPr>
        <w:spacing w:after="0"/>
        <w:jc w:val="both"/>
        <w:rPr>
          <w:rFonts w:ascii="Times New Roman" w:hAnsi="Times New Roman"/>
          <w:sz w:val="28"/>
          <w:szCs w:val="28"/>
          <w:lang w:val="en-GB"/>
        </w:rPr>
      </w:pPr>
    </w:p>
    <w:p w14:paraId="336B4BE4"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680335"/>
                    </a:xfrm>
                    <a:prstGeom prst="rect">
                      <a:avLst/>
                    </a:prstGeom>
                  </pic:spPr>
                </pic:pic>
              </a:graphicData>
            </a:graphic>
          </wp:inline>
        </w:drawing>
      </w:r>
    </w:p>
    <w:p w14:paraId="364B33A2" w14:textId="77777777" w:rsidR="000B3DBE" w:rsidRPr="00B074A0" w:rsidRDefault="000B3DBE" w:rsidP="000B3DBE">
      <w:pPr>
        <w:spacing w:after="0"/>
        <w:jc w:val="both"/>
        <w:rPr>
          <w:rFonts w:ascii="Times New Roman" w:hAnsi="Times New Roman"/>
          <w:sz w:val="28"/>
          <w:szCs w:val="28"/>
          <w:lang w:val="en-GB"/>
        </w:rPr>
      </w:pPr>
    </w:p>
    <w:p w14:paraId="7E08A477" w14:textId="77777777" w:rsidR="000B3DBE" w:rsidRPr="00B074A0" w:rsidRDefault="000B3DBE" w:rsidP="000B3DBE">
      <w:pPr>
        <w:spacing w:after="0"/>
        <w:jc w:val="both"/>
        <w:rPr>
          <w:rFonts w:ascii="Times New Roman" w:hAnsi="Times New Roman"/>
          <w:sz w:val="28"/>
          <w:szCs w:val="28"/>
          <w:lang w:val="en-GB"/>
        </w:rPr>
      </w:pPr>
    </w:p>
    <w:p w14:paraId="2C9A6889"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5.Przedstawiamy </w:t>
      </w:r>
      <w:r>
        <w:rPr>
          <w:rFonts w:ascii="Times New Roman" w:hAnsi="Times New Roman"/>
          <w:b/>
          <w:sz w:val="28"/>
        </w:rPr>
        <w:t>Ateny</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3AA91AA0"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046F3136"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375660"/>
                    </a:xfrm>
                    <a:prstGeom prst="rect">
                      <a:avLst/>
                    </a:prstGeom>
                  </pic:spPr>
                </pic:pic>
              </a:graphicData>
            </a:graphic>
          </wp:inline>
        </w:drawing>
      </w:r>
    </w:p>
    <w:p w14:paraId="38BFAA3A" w14:textId="77777777" w:rsidR="000B3DBE" w:rsidRPr="00B074A0" w:rsidRDefault="000B3DBE" w:rsidP="000B3DBE">
      <w:pPr>
        <w:spacing w:after="0"/>
        <w:jc w:val="both"/>
        <w:rPr>
          <w:rFonts w:ascii="Times New Roman" w:hAnsi="Times New Roman"/>
          <w:sz w:val="28"/>
          <w:szCs w:val="28"/>
          <w:lang w:val="en-GB"/>
        </w:rPr>
      </w:pPr>
    </w:p>
    <w:p w14:paraId="2BF24318"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lastRenderedPageBreak/>
        <w:t>6. Na koniec otrzymujemy wynik naszego wyszukiwania jak na rysunku poniżej.</w:t>
      </w:r>
    </w:p>
    <w:p w14:paraId="0804C943" w14:textId="77777777" w:rsidR="000B3DBE" w:rsidRPr="00B074A0" w:rsidRDefault="000B3DBE" w:rsidP="000B3DBE">
      <w:pPr>
        <w:spacing w:after="0"/>
        <w:jc w:val="both"/>
        <w:rPr>
          <w:rFonts w:ascii="Times New Roman" w:hAnsi="Times New Roman"/>
          <w:sz w:val="28"/>
          <w:szCs w:val="28"/>
          <w:lang w:val="en-GB"/>
        </w:rPr>
      </w:pPr>
    </w:p>
    <w:p w14:paraId="3AA9C524"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169920"/>
                    </a:xfrm>
                    <a:prstGeom prst="rect">
                      <a:avLst/>
                    </a:prstGeom>
                  </pic:spPr>
                </pic:pic>
              </a:graphicData>
            </a:graphic>
          </wp:inline>
        </w:drawing>
      </w:r>
    </w:p>
    <w:p w14:paraId="1DFCB997" w14:textId="77777777" w:rsidR="000B3DBE" w:rsidRPr="00B074A0" w:rsidRDefault="000B3DBE" w:rsidP="000B3DBE">
      <w:pPr>
        <w:pStyle w:val="Akapitzlist"/>
        <w:jc w:val="both"/>
        <w:rPr>
          <w:rFonts w:ascii="Times New Roman" w:hAnsi="Times New Roman" w:cs="Times New Roman"/>
          <w:i/>
          <w:iCs/>
          <w:sz w:val="28"/>
          <w:szCs w:val="28"/>
          <w:lang w:val="en-GB"/>
        </w:rPr>
      </w:pPr>
    </w:p>
    <w:p w14:paraId="0368A296" w14:textId="77777777" w:rsidR="000B3DBE" w:rsidRPr="00F619B4" w:rsidRDefault="000B3DBE" w:rsidP="00F619B4">
      <w:pPr>
        <w:pStyle w:val="Akapitzlist"/>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Rumuński właściwy organ wydający nakaz chce przechwycić połączenie telekomunikacyjne podejrzanego znajdującego się we Francji bez pomocy technicznej.</w:t>
      </w:r>
    </w:p>
    <w:p w14:paraId="603207F7" w14:textId="77777777" w:rsidR="000B3DBE" w:rsidRPr="00B074A0" w:rsidRDefault="000B3DBE" w:rsidP="000B3DBE">
      <w:pPr>
        <w:pStyle w:val="Akapitzlist"/>
        <w:jc w:val="both"/>
        <w:rPr>
          <w:rFonts w:ascii="Times New Roman" w:hAnsi="Times New Roman" w:cs="Times New Roman"/>
          <w:i/>
          <w:iCs/>
          <w:sz w:val="28"/>
          <w:szCs w:val="28"/>
          <w:lang w:val="en-GB"/>
        </w:rPr>
      </w:pPr>
    </w:p>
    <w:p w14:paraId="7A6886C3" w14:textId="77777777" w:rsidR="000B3DBE" w:rsidRPr="00B074A0" w:rsidRDefault="000B3DBE" w:rsidP="000B3DBE">
      <w:pPr>
        <w:pStyle w:val="Akapitzlist"/>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W celu określenia właściwego organu wybieramy </w:t>
      </w:r>
      <w:r>
        <w:rPr>
          <w:rFonts w:ascii="Times New Roman" w:hAnsi="Times New Roman"/>
          <w:b/>
          <w:sz w:val="28"/>
        </w:rPr>
        <w:t>Francję</w:t>
      </w:r>
      <w:r>
        <w:rPr>
          <w:rFonts w:ascii="Times New Roman" w:hAnsi="Times New Roman"/>
          <w:sz w:val="28"/>
        </w:rPr>
        <w:t xml:space="preserve"> jako wybrany kraj (FR). Następnie wybieramy sekcję </w:t>
      </w:r>
      <w:r>
        <w:rPr>
          <w:rFonts w:ascii="Times New Roman" w:hAnsi="Times New Roman"/>
          <w:b/>
          <w:sz w:val="28"/>
        </w:rPr>
        <w:t>Atlas</w:t>
      </w:r>
      <w:r>
        <w:rPr>
          <w:rFonts w:ascii="Times New Roman" w:hAnsi="Times New Roman"/>
          <w:sz w:val="28"/>
        </w:rPr>
        <w:t>, jak pokazano poniżej.</w:t>
      </w:r>
    </w:p>
    <w:p w14:paraId="1706E698"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7EC92384" w14:textId="77777777" w:rsidR="000B3DBE" w:rsidRPr="00B074A0" w:rsidRDefault="000B3DBE" w:rsidP="000B3DBE">
      <w:pPr>
        <w:spacing w:after="0" w:line="240" w:lineRule="auto"/>
        <w:jc w:val="both"/>
        <w:rPr>
          <w:rFonts w:ascii="Times New Roman" w:hAnsi="Times New Roman"/>
          <w:sz w:val="28"/>
          <w:szCs w:val="28"/>
        </w:rPr>
      </w:pPr>
      <w:r>
        <w:rPr>
          <w:noProof/>
          <w:lang w:eastAsia="pl-PL"/>
        </w:rPr>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276600"/>
                    </a:xfrm>
                    <a:prstGeom prst="rect">
                      <a:avLst/>
                    </a:prstGeom>
                  </pic:spPr>
                </pic:pic>
              </a:graphicData>
            </a:graphic>
          </wp:inline>
        </w:drawing>
      </w:r>
    </w:p>
    <w:p w14:paraId="0564780B" w14:textId="77777777" w:rsidR="000B3DBE" w:rsidRPr="00B074A0" w:rsidRDefault="000B3DBE" w:rsidP="000B3DBE">
      <w:pPr>
        <w:pStyle w:val="Akapitzlist"/>
        <w:numPr>
          <w:ilvl w:val="0"/>
          <w:numId w:val="10"/>
        </w:numPr>
        <w:spacing w:after="0" w:line="240" w:lineRule="auto"/>
        <w:jc w:val="both"/>
        <w:rPr>
          <w:rFonts w:ascii="Times New Roman" w:hAnsi="Times New Roman"/>
          <w:sz w:val="28"/>
          <w:szCs w:val="28"/>
        </w:rPr>
      </w:pPr>
      <w:r>
        <w:rPr>
          <w:rFonts w:ascii="Times New Roman" w:hAnsi="Times New Roman"/>
          <w:sz w:val="28"/>
        </w:rPr>
        <w:lastRenderedPageBreak/>
        <w:t xml:space="preserve">Wybieramy środek </w:t>
      </w:r>
      <w:r>
        <w:rPr>
          <w:rFonts w:ascii="Times New Roman" w:hAnsi="Times New Roman"/>
          <w:b/>
          <w:sz w:val="28"/>
        </w:rPr>
        <w:t>107</w:t>
      </w:r>
      <w:r>
        <w:rPr>
          <w:rFonts w:ascii="Times New Roman" w:hAnsi="Times New Roman"/>
          <w:sz w:val="28"/>
        </w:rPr>
        <w:t>.</w:t>
      </w:r>
      <w:r>
        <w:rPr>
          <w:rFonts w:ascii="Times New Roman" w:hAnsi="Times New Roman"/>
          <w:b/>
          <w:sz w:val="28"/>
        </w:rPr>
        <w:t xml:space="preserve"> Przechwytywanie przekazów telekomunikacyjnych bez pomocy technicznej innego państwa członkowskiego</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7A5DDF7C"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7E539FAA" w14:textId="77777777" w:rsidR="000B3DBE" w:rsidRPr="00B074A0" w:rsidRDefault="000B3DBE" w:rsidP="000B3DBE">
      <w:pPr>
        <w:spacing w:after="0" w:line="240" w:lineRule="auto"/>
        <w:ind w:left="360"/>
        <w:jc w:val="both"/>
        <w:rPr>
          <w:rFonts w:ascii="Times New Roman" w:hAnsi="Times New Roman"/>
          <w:sz w:val="28"/>
          <w:szCs w:val="28"/>
        </w:rPr>
      </w:pPr>
      <w:r>
        <w:rPr>
          <w:noProof/>
          <w:lang w:eastAsia="pl-PL"/>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642360"/>
                    </a:xfrm>
                    <a:prstGeom prst="rect">
                      <a:avLst/>
                    </a:prstGeom>
                  </pic:spPr>
                </pic:pic>
              </a:graphicData>
            </a:graphic>
          </wp:inline>
        </w:drawing>
      </w:r>
    </w:p>
    <w:p w14:paraId="69213444"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9DF0A1E" w14:textId="77777777" w:rsidR="000B3DBE" w:rsidRPr="00B074A0" w:rsidRDefault="000B3DBE" w:rsidP="000B3DBE">
      <w:pPr>
        <w:pStyle w:val="Akapitzlist"/>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Tutaj musimy wybrać pomiędzy 2 opcjami – dyrektywą 2014/41 w sprawie END lub konwencją z 1959 r. Aby dyrektywa mogła być stosowana, sprawdzamy </w:t>
      </w:r>
      <w:r>
        <w:rPr>
          <w:rFonts w:ascii="Times New Roman" w:hAnsi="Times New Roman"/>
          <w:b/>
          <w:sz w:val="28"/>
        </w:rPr>
        <w:t>status implementacji</w:t>
      </w:r>
      <w:r>
        <w:rPr>
          <w:rFonts w:ascii="Times New Roman" w:hAnsi="Times New Roman"/>
          <w:sz w:val="28"/>
        </w:rPr>
        <w:t xml:space="preserve"> (na stronie EJN) danego instrumentu prawnego. Wiemy, że tylko Dania i Irlandia nie są związane dyrektywą, a pozostałe państwa członkowskie ją wdrożyły. Wybierzemy dyrektywę 2014/41 w sprawie END. Następnie wybieramy sekcję </w:t>
      </w:r>
      <w:r>
        <w:rPr>
          <w:rFonts w:ascii="Times New Roman" w:hAnsi="Times New Roman"/>
          <w:b/>
          <w:sz w:val="28"/>
        </w:rPr>
        <w:t>Dalej</w:t>
      </w:r>
      <w:r>
        <w:rPr>
          <w:rFonts w:ascii="Times New Roman" w:hAnsi="Times New Roman"/>
          <w:sz w:val="28"/>
        </w:rPr>
        <w:t>, jak pokazano poniżej.</w:t>
      </w:r>
    </w:p>
    <w:p w14:paraId="3C93EC94" w14:textId="77777777" w:rsidR="000B3DBE" w:rsidRPr="00B074A0" w:rsidRDefault="000B3DBE" w:rsidP="000B3DBE">
      <w:pPr>
        <w:spacing w:after="0"/>
        <w:jc w:val="both"/>
        <w:rPr>
          <w:rFonts w:ascii="Times New Roman" w:hAnsi="Times New Roman"/>
          <w:sz w:val="28"/>
          <w:szCs w:val="28"/>
          <w:lang w:val="en-GB"/>
        </w:rPr>
      </w:pPr>
    </w:p>
    <w:p w14:paraId="11E7AEC7"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76DB766A" wp14:editId="5C5AAD9A">
            <wp:extent cx="5731510" cy="2499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499360"/>
                    </a:xfrm>
                    <a:prstGeom prst="rect">
                      <a:avLst/>
                    </a:prstGeom>
                  </pic:spPr>
                </pic:pic>
              </a:graphicData>
            </a:graphic>
          </wp:inline>
        </w:drawing>
      </w:r>
    </w:p>
    <w:p w14:paraId="0028C6F0"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4. Na koniec otrzymujemy wynik naszego wyszukiwania jak na rysunku poniżej.</w:t>
      </w:r>
    </w:p>
    <w:p w14:paraId="376492F8" w14:textId="77777777" w:rsidR="000B3DBE" w:rsidRPr="00B074A0" w:rsidRDefault="000B3DBE" w:rsidP="000B3DBE">
      <w:pPr>
        <w:spacing w:after="0"/>
        <w:jc w:val="both"/>
        <w:rPr>
          <w:rFonts w:ascii="Times New Roman" w:hAnsi="Times New Roman"/>
          <w:sz w:val="28"/>
          <w:szCs w:val="28"/>
          <w:lang w:val="en-GB"/>
        </w:rPr>
      </w:pPr>
    </w:p>
    <w:p w14:paraId="28670D43" w14:textId="77777777" w:rsidR="000B3DBE" w:rsidRPr="00B074A0" w:rsidRDefault="000B3DBE" w:rsidP="000B3DBE">
      <w:pPr>
        <w:spacing w:after="0"/>
        <w:jc w:val="both"/>
        <w:rPr>
          <w:rFonts w:ascii="Times New Roman" w:hAnsi="Times New Roman"/>
          <w:sz w:val="28"/>
          <w:szCs w:val="28"/>
          <w:lang w:val="en-GB"/>
        </w:rPr>
      </w:pPr>
    </w:p>
    <w:p w14:paraId="14748B0D" w14:textId="77777777" w:rsidR="000B3DBE" w:rsidRPr="00B074A0" w:rsidRDefault="000B3DBE" w:rsidP="000B3DBE">
      <w:pPr>
        <w:pStyle w:val="Akapitzlist"/>
        <w:jc w:val="both"/>
        <w:rPr>
          <w:rFonts w:ascii="Times New Roman" w:hAnsi="Times New Roman" w:cs="Times New Roman"/>
          <w:i/>
          <w:iCs/>
          <w:sz w:val="28"/>
          <w:szCs w:val="28"/>
        </w:rPr>
      </w:pPr>
      <w:r>
        <w:rPr>
          <w:noProof/>
          <w:lang w:eastAsia="pl-PL"/>
        </w:rPr>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658995"/>
                    </a:xfrm>
                    <a:prstGeom prst="rect">
                      <a:avLst/>
                    </a:prstGeom>
                  </pic:spPr>
                </pic:pic>
              </a:graphicData>
            </a:graphic>
          </wp:inline>
        </w:drawing>
      </w:r>
    </w:p>
    <w:p w14:paraId="56071EAE" w14:textId="77777777" w:rsidR="000B3DBE" w:rsidRPr="00B074A0" w:rsidRDefault="000B3DBE" w:rsidP="000B3DBE">
      <w:pPr>
        <w:pStyle w:val="Akapitzlist"/>
        <w:jc w:val="both"/>
        <w:rPr>
          <w:rFonts w:ascii="Times New Roman" w:hAnsi="Times New Roman" w:cs="Times New Roman"/>
          <w:i/>
          <w:iCs/>
          <w:sz w:val="28"/>
          <w:szCs w:val="28"/>
          <w:lang w:val="en-GB"/>
        </w:rPr>
      </w:pPr>
    </w:p>
    <w:p w14:paraId="6A30D273" w14:textId="77777777" w:rsidR="000B3DBE" w:rsidRPr="00B074A0" w:rsidRDefault="000B3DBE" w:rsidP="000B3DBE">
      <w:pPr>
        <w:pStyle w:val="Akapitzlist"/>
        <w:jc w:val="both"/>
        <w:rPr>
          <w:rFonts w:ascii="Times New Roman" w:hAnsi="Times New Roman" w:cs="Times New Roman"/>
          <w:i/>
          <w:iCs/>
          <w:sz w:val="28"/>
          <w:szCs w:val="28"/>
          <w:lang w:val="en-GB"/>
        </w:rPr>
      </w:pPr>
    </w:p>
    <w:p w14:paraId="6E066C6D" w14:textId="77777777" w:rsidR="000B3DBE" w:rsidRPr="00B074A0" w:rsidRDefault="000B3DBE" w:rsidP="000B3DBE">
      <w:pPr>
        <w:pStyle w:val="Akapitzlist"/>
        <w:jc w:val="both"/>
        <w:rPr>
          <w:rFonts w:ascii="Times New Roman" w:hAnsi="Times New Roman" w:cs="Times New Roman"/>
          <w:i/>
          <w:iCs/>
          <w:sz w:val="28"/>
          <w:szCs w:val="28"/>
          <w:lang w:val="en-GB"/>
        </w:rPr>
      </w:pPr>
    </w:p>
    <w:p w14:paraId="077A8BF6" w14:textId="77777777" w:rsidR="000B3DBE" w:rsidRPr="00B074A0" w:rsidRDefault="000B3DBE" w:rsidP="000B3DBE">
      <w:pPr>
        <w:pStyle w:val="Akapitzlist"/>
        <w:jc w:val="both"/>
        <w:rPr>
          <w:rFonts w:ascii="Times New Roman" w:hAnsi="Times New Roman" w:cs="Times New Roman"/>
          <w:i/>
          <w:iCs/>
          <w:sz w:val="28"/>
          <w:szCs w:val="28"/>
          <w:lang w:val="en-GB"/>
        </w:rPr>
      </w:pPr>
    </w:p>
    <w:p w14:paraId="03580150" w14:textId="77777777" w:rsidR="000B3DBE" w:rsidRPr="00B074A0" w:rsidRDefault="000B3DBE" w:rsidP="000B3DBE">
      <w:pPr>
        <w:pStyle w:val="Akapitzlist"/>
        <w:jc w:val="both"/>
        <w:rPr>
          <w:rFonts w:ascii="Times New Roman" w:hAnsi="Times New Roman" w:cs="Times New Roman"/>
          <w:i/>
          <w:iCs/>
          <w:sz w:val="28"/>
          <w:szCs w:val="28"/>
          <w:lang w:val="en-GB"/>
        </w:rPr>
      </w:pPr>
    </w:p>
    <w:p w14:paraId="6236FC3A" w14:textId="77777777" w:rsidR="000B3DBE" w:rsidRPr="00B074A0" w:rsidRDefault="000B3DBE" w:rsidP="000B3DBE">
      <w:pPr>
        <w:pStyle w:val="Akapitzlist"/>
        <w:jc w:val="both"/>
        <w:rPr>
          <w:rFonts w:ascii="Times New Roman" w:hAnsi="Times New Roman" w:cs="Times New Roman"/>
          <w:i/>
          <w:iCs/>
          <w:sz w:val="28"/>
          <w:szCs w:val="28"/>
          <w:lang w:val="en-GB"/>
        </w:rPr>
      </w:pPr>
    </w:p>
    <w:p w14:paraId="727736AD" w14:textId="77777777" w:rsidR="000B3DBE" w:rsidRPr="00B074A0" w:rsidRDefault="000B3DBE" w:rsidP="000B3DBE">
      <w:pPr>
        <w:pStyle w:val="Akapitzlist"/>
        <w:jc w:val="both"/>
        <w:rPr>
          <w:rFonts w:ascii="Times New Roman" w:hAnsi="Times New Roman" w:cs="Times New Roman"/>
          <w:i/>
          <w:iCs/>
          <w:sz w:val="28"/>
          <w:szCs w:val="28"/>
          <w:lang w:val="en-GB"/>
        </w:rPr>
      </w:pPr>
    </w:p>
    <w:p w14:paraId="6279837B" w14:textId="77777777" w:rsidR="000B3DBE" w:rsidRPr="00B074A0" w:rsidRDefault="000B3DBE" w:rsidP="000B3DBE">
      <w:pPr>
        <w:pStyle w:val="Akapitzlist"/>
        <w:jc w:val="both"/>
        <w:rPr>
          <w:rFonts w:ascii="Times New Roman" w:hAnsi="Times New Roman" w:cs="Times New Roman"/>
          <w:i/>
          <w:iCs/>
          <w:sz w:val="28"/>
          <w:szCs w:val="28"/>
          <w:lang w:val="en-GB"/>
        </w:rPr>
      </w:pPr>
    </w:p>
    <w:p w14:paraId="6AB5F09B" w14:textId="77777777" w:rsidR="000B3DBE" w:rsidRPr="00B074A0" w:rsidRDefault="000B3DBE" w:rsidP="000B3DBE">
      <w:pPr>
        <w:pStyle w:val="Akapitzlist"/>
        <w:jc w:val="both"/>
        <w:rPr>
          <w:rFonts w:ascii="Times New Roman" w:hAnsi="Times New Roman" w:cs="Times New Roman"/>
          <w:i/>
          <w:iCs/>
          <w:sz w:val="28"/>
          <w:szCs w:val="28"/>
          <w:lang w:val="en-GB"/>
        </w:rPr>
      </w:pPr>
    </w:p>
    <w:p w14:paraId="60DC4BDD" w14:textId="77777777" w:rsidR="000B3DBE" w:rsidRPr="00B074A0" w:rsidRDefault="000B3DBE" w:rsidP="000B3DBE">
      <w:pPr>
        <w:pStyle w:val="Akapitzlist"/>
        <w:jc w:val="both"/>
        <w:rPr>
          <w:rFonts w:ascii="Times New Roman" w:hAnsi="Times New Roman" w:cs="Times New Roman"/>
          <w:i/>
          <w:iCs/>
          <w:sz w:val="28"/>
          <w:szCs w:val="28"/>
          <w:lang w:val="en-GB"/>
        </w:rPr>
      </w:pPr>
    </w:p>
    <w:p w14:paraId="7E574A27" w14:textId="77777777" w:rsidR="000B3DBE" w:rsidRPr="00B074A0" w:rsidRDefault="000B3DBE" w:rsidP="000B3DBE">
      <w:pPr>
        <w:pStyle w:val="Akapitzlist"/>
        <w:jc w:val="both"/>
        <w:rPr>
          <w:rFonts w:ascii="Times New Roman" w:hAnsi="Times New Roman" w:cs="Times New Roman"/>
          <w:i/>
          <w:iCs/>
          <w:sz w:val="28"/>
          <w:szCs w:val="28"/>
          <w:lang w:val="en-GB"/>
        </w:rPr>
      </w:pPr>
    </w:p>
    <w:p w14:paraId="75C4B772" w14:textId="77777777" w:rsidR="000B3DBE" w:rsidRPr="00B074A0" w:rsidRDefault="000B3DBE" w:rsidP="000B3DBE">
      <w:pPr>
        <w:pStyle w:val="Akapitzlist"/>
        <w:jc w:val="both"/>
        <w:rPr>
          <w:rFonts w:ascii="Times New Roman" w:hAnsi="Times New Roman" w:cs="Times New Roman"/>
          <w:i/>
          <w:iCs/>
          <w:sz w:val="28"/>
          <w:szCs w:val="28"/>
          <w:lang w:val="en-GB"/>
        </w:rPr>
      </w:pPr>
    </w:p>
    <w:p w14:paraId="16BE853B" w14:textId="77777777" w:rsidR="000B3DBE" w:rsidRPr="00B074A0" w:rsidRDefault="000B3DBE" w:rsidP="000B3DBE">
      <w:pPr>
        <w:pStyle w:val="Akapitzlist"/>
        <w:jc w:val="both"/>
        <w:rPr>
          <w:rFonts w:ascii="Times New Roman" w:hAnsi="Times New Roman" w:cs="Times New Roman"/>
          <w:i/>
          <w:iCs/>
          <w:sz w:val="28"/>
          <w:szCs w:val="28"/>
          <w:lang w:val="en-GB"/>
        </w:rPr>
      </w:pPr>
    </w:p>
    <w:p w14:paraId="2609E2CE" w14:textId="77777777" w:rsidR="000B3DBE" w:rsidRPr="00B074A0" w:rsidRDefault="000B3DBE" w:rsidP="000B3DBE">
      <w:pPr>
        <w:pStyle w:val="Akapitzlist"/>
        <w:jc w:val="both"/>
        <w:rPr>
          <w:rFonts w:ascii="Times New Roman" w:hAnsi="Times New Roman" w:cs="Times New Roman"/>
          <w:i/>
          <w:iCs/>
          <w:sz w:val="28"/>
          <w:szCs w:val="28"/>
          <w:lang w:val="en-GB"/>
        </w:rPr>
      </w:pPr>
    </w:p>
    <w:p w14:paraId="644EBF6B" w14:textId="77777777" w:rsidR="000B3DBE" w:rsidRPr="00B074A0" w:rsidRDefault="000B3DBE" w:rsidP="000B3DBE">
      <w:pPr>
        <w:pStyle w:val="Akapitzlist"/>
        <w:jc w:val="both"/>
        <w:rPr>
          <w:rFonts w:ascii="Times New Roman" w:hAnsi="Times New Roman" w:cs="Times New Roman"/>
          <w:i/>
          <w:iCs/>
          <w:sz w:val="28"/>
          <w:szCs w:val="28"/>
          <w:lang w:val="en-GB"/>
        </w:rPr>
      </w:pPr>
    </w:p>
    <w:p w14:paraId="3C1249C2" w14:textId="1D54B415" w:rsidR="000B3DBE" w:rsidRPr="00F619B4" w:rsidRDefault="000B3DBE" w:rsidP="00F619B4">
      <w:pPr>
        <w:spacing w:after="0" w:line="240" w:lineRule="auto"/>
        <w:rPr>
          <w:rFonts w:ascii="Times New Roman" w:hAnsi="Times New Roman" w:cs="Times New Roman"/>
          <w:b/>
          <w:bCs/>
          <w:i/>
          <w:sz w:val="32"/>
          <w:szCs w:val="28"/>
        </w:rPr>
      </w:pPr>
      <w:r>
        <w:rPr>
          <w:rFonts w:ascii="Times New Roman" w:hAnsi="Times New Roman"/>
          <w:b/>
          <w:i/>
          <w:sz w:val="32"/>
        </w:rPr>
        <w:t>Rozwiązania dla punktów 1 i 2 ze scenariusza przypadku 2:</w:t>
      </w:r>
    </w:p>
    <w:p w14:paraId="24A461CF" w14:textId="77777777" w:rsidR="000B3DBE" w:rsidRPr="00B074A0" w:rsidRDefault="000B3DBE" w:rsidP="000B3DBE">
      <w:pPr>
        <w:pStyle w:val="Akapitzlist"/>
        <w:jc w:val="both"/>
        <w:rPr>
          <w:rFonts w:ascii="Times New Roman" w:hAnsi="Times New Roman" w:cs="Times New Roman"/>
          <w:i/>
          <w:iCs/>
          <w:sz w:val="28"/>
          <w:szCs w:val="28"/>
          <w:lang w:val="en-GB"/>
        </w:rPr>
      </w:pPr>
    </w:p>
    <w:p w14:paraId="5148FCDE" w14:textId="77777777" w:rsidR="000B3DBE" w:rsidRPr="00F619B4" w:rsidRDefault="000B3DBE" w:rsidP="00F619B4">
      <w:pPr>
        <w:pStyle w:val="Akapitzlist"/>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Znajdź niemiecki właściwy organ, do którego rumuński organ sądowy musi się zwrócić w sprawie przeszukania domu A.W.</w:t>
      </w:r>
    </w:p>
    <w:p w14:paraId="7819B31A" w14:textId="77777777" w:rsidR="000B3DBE" w:rsidRPr="00B074A0" w:rsidRDefault="000B3DBE" w:rsidP="000B3DBE">
      <w:pPr>
        <w:spacing w:after="0" w:line="240" w:lineRule="auto"/>
        <w:jc w:val="both"/>
        <w:rPr>
          <w:rFonts w:ascii="Times New Roman" w:hAnsi="Times New Roman" w:cs="Times New Roman"/>
          <w:i/>
          <w:iCs/>
          <w:sz w:val="28"/>
          <w:szCs w:val="28"/>
          <w:lang w:val="en-GB"/>
        </w:rPr>
      </w:pPr>
    </w:p>
    <w:p w14:paraId="0CF8E037" w14:textId="77777777" w:rsidR="000B3DBE" w:rsidRPr="00B074A0" w:rsidRDefault="000B3DBE" w:rsidP="000B3DBE">
      <w:pPr>
        <w:pStyle w:val="Akapitzlist"/>
        <w:numPr>
          <w:ilvl w:val="0"/>
          <w:numId w:val="11"/>
        </w:numPr>
        <w:spacing w:after="0" w:line="240" w:lineRule="auto"/>
        <w:jc w:val="both"/>
        <w:rPr>
          <w:rFonts w:ascii="Times New Roman" w:hAnsi="Times New Roman"/>
          <w:sz w:val="28"/>
          <w:szCs w:val="28"/>
        </w:rPr>
      </w:pPr>
      <w:r>
        <w:rPr>
          <w:rFonts w:ascii="Times New Roman" w:hAnsi="Times New Roman"/>
          <w:sz w:val="28"/>
        </w:rPr>
        <w:t xml:space="preserve">W celu określenia właściwego organu wybieramy </w:t>
      </w:r>
      <w:r>
        <w:rPr>
          <w:rFonts w:ascii="Times New Roman" w:hAnsi="Times New Roman"/>
          <w:b/>
          <w:sz w:val="28"/>
        </w:rPr>
        <w:t>Niemcy</w:t>
      </w:r>
      <w:r>
        <w:rPr>
          <w:rFonts w:ascii="Times New Roman" w:hAnsi="Times New Roman"/>
          <w:sz w:val="28"/>
        </w:rPr>
        <w:t xml:space="preserve"> jako wybrany kraj (DE). Następnie wybieramy sekcję </w:t>
      </w:r>
      <w:r>
        <w:rPr>
          <w:rFonts w:ascii="Times New Roman" w:hAnsi="Times New Roman"/>
          <w:b/>
          <w:sz w:val="28"/>
        </w:rPr>
        <w:t>Atlas</w:t>
      </w:r>
      <w:r>
        <w:rPr>
          <w:rFonts w:ascii="Times New Roman" w:hAnsi="Times New Roman"/>
          <w:sz w:val="28"/>
        </w:rPr>
        <w:t>, jak pokazano poniżej.</w:t>
      </w:r>
    </w:p>
    <w:p w14:paraId="42BE4385"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18311F3C" w14:textId="77777777" w:rsidR="000B3DBE" w:rsidRPr="00B074A0" w:rsidRDefault="000B3DBE" w:rsidP="000B3DBE">
      <w:pPr>
        <w:spacing w:after="0" w:line="240" w:lineRule="auto"/>
        <w:jc w:val="both"/>
        <w:rPr>
          <w:rFonts w:ascii="Times New Roman" w:hAnsi="Times New Roman"/>
          <w:sz w:val="28"/>
          <w:szCs w:val="28"/>
        </w:rPr>
      </w:pPr>
      <w:r>
        <w:rPr>
          <w:noProof/>
          <w:lang w:eastAsia="pl-PL"/>
        </w:rPr>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651760"/>
                    </a:xfrm>
                    <a:prstGeom prst="rect">
                      <a:avLst/>
                    </a:prstGeom>
                  </pic:spPr>
                </pic:pic>
              </a:graphicData>
            </a:graphic>
          </wp:inline>
        </w:drawing>
      </w:r>
    </w:p>
    <w:p w14:paraId="2F87F313" w14:textId="77777777" w:rsidR="000B3DBE" w:rsidRPr="00B074A0" w:rsidRDefault="000B3DBE" w:rsidP="000B3DBE">
      <w:pPr>
        <w:spacing w:after="0"/>
        <w:jc w:val="both"/>
        <w:rPr>
          <w:rFonts w:ascii="Times New Roman" w:hAnsi="Times New Roman"/>
          <w:sz w:val="28"/>
          <w:szCs w:val="28"/>
          <w:lang w:val="en-GB"/>
        </w:rPr>
      </w:pPr>
    </w:p>
    <w:p w14:paraId="0D84F52D" w14:textId="77777777" w:rsidR="000B3DBE" w:rsidRPr="00B074A0" w:rsidRDefault="000B3DBE" w:rsidP="000B3DBE">
      <w:pPr>
        <w:spacing w:after="0"/>
        <w:jc w:val="both"/>
        <w:rPr>
          <w:rFonts w:ascii="Times New Roman" w:hAnsi="Times New Roman"/>
          <w:sz w:val="28"/>
          <w:szCs w:val="28"/>
          <w:lang w:val="en-GB"/>
        </w:rPr>
      </w:pPr>
    </w:p>
    <w:p w14:paraId="40BE679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Wybieramy środek </w:t>
      </w:r>
      <w:r>
        <w:rPr>
          <w:rFonts w:ascii="Times New Roman" w:hAnsi="Times New Roman"/>
          <w:b/>
          <w:sz w:val="28"/>
        </w:rPr>
        <w:t>601</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Przeszukanie domu.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6398ADB9"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734D6FF1"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16BD605B" wp14:editId="7A2652B4">
            <wp:extent cx="5731510" cy="3368040"/>
            <wp:effectExtent l="0" t="0" r="254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368040"/>
                    </a:xfrm>
                    <a:prstGeom prst="rect">
                      <a:avLst/>
                    </a:prstGeom>
                  </pic:spPr>
                </pic:pic>
              </a:graphicData>
            </a:graphic>
          </wp:inline>
        </w:drawing>
      </w:r>
    </w:p>
    <w:p w14:paraId="7CCC534E" w14:textId="77777777" w:rsidR="000B3DBE" w:rsidRPr="00B074A0" w:rsidRDefault="000B3DBE" w:rsidP="000B3DBE">
      <w:pPr>
        <w:spacing w:after="0"/>
        <w:jc w:val="both"/>
        <w:rPr>
          <w:rFonts w:ascii="Times New Roman" w:hAnsi="Times New Roman"/>
          <w:sz w:val="28"/>
          <w:szCs w:val="28"/>
          <w:lang w:val="en-GB"/>
        </w:rPr>
      </w:pPr>
    </w:p>
    <w:p w14:paraId="45A4C0C3" w14:textId="77777777" w:rsidR="000B3DBE" w:rsidRPr="00B074A0" w:rsidRDefault="000B3DBE" w:rsidP="000B3DBE">
      <w:pPr>
        <w:spacing w:after="0"/>
        <w:jc w:val="both"/>
        <w:rPr>
          <w:rFonts w:ascii="Times New Roman" w:hAnsi="Times New Roman"/>
          <w:sz w:val="28"/>
          <w:szCs w:val="28"/>
          <w:lang w:val="en-GB"/>
        </w:rPr>
      </w:pPr>
    </w:p>
    <w:p w14:paraId="5C83C23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Tutaj musimy wybrać pomiędzy 2 opcjami. Wybierzemy, że znamy lokalizację w Niemczech, którą jest Stuttgart. Następnie wybieramy sekcję </w:t>
      </w:r>
      <w:r>
        <w:rPr>
          <w:rFonts w:ascii="Times New Roman" w:hAnsi="Times New Roman"/>
          <w:b/>
          <w:sz w:val="28"/>
        </w:rPr>
        <w:t>Dalej</w:t>
      </w:r>
      <w:r>
        <w:rPr>
          <w:rFonts w:ascii="Times New Roman" w:hAnsi="Times New Roman"/>
          <w:sz w:val="28"/>
        </w:rPr>
        <w:t>, jak pokazano poniżej.</w:t>
      </w:r>
    </w:p>
    <w:p w14:paraId="45BDCB56"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1D2E6D8C"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262505"/>
                    </a:xfrm>
                    <a:prstGeom prst="rect">
                      <a:avLst/>
                    </a:prstGeom>
                  </pic:spPr>
                </pic:pic>
              </a:graphicData>
            </a:graphic>
          </wp:inline>
        </w:drawing>
      </w:r>
    </w:p>
    <w:p w14:paraId="192D5C65" w14:textId="77777777" w:rsidR="000B3DBE" w:rsidRPr="00B074A0" w:rsidRDefault="000B3DBE" w:rsidP="000B3DBE">
      <w:pPr>
        <w:spacing w:after="0"/>
        <w:jc w:val="both"/>
        <w:rPr>
          <w:rFonts w:ascii="Times New Roman" w:hAnsi="Times New Roman"/>
          <w:sz w:val="28"/>
          <w:szCs w:val="28"/>
          <w:lang w:val="en-GB"/>
        </w:rPr>
      </w:pPr>
    </w:p>
    <w:p w14:paraId="7C3E3B9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Tutaj musimy wybrać pomiędzy 2 opcjami – konwencją z 2000 r. lub dyrektywą 2014/41 w sprawie END. Aby dyrektywa mogła być stosowana, sprawdzamy </w:t>
      </w:r>
      <w:r>
        <w:rPr>
          <w:rFonts w:ascii="Times New Roman" w:hAnsi="Times New Roman"/>
          <w:b/>
          <w:sz w:val="28"/>
        </w:rPr>
        <w:t>status implementacji</w:t>
      </w:r>
      <w:r>
        <w:rPr>
          <w:rFonts w:ascii="Times New Roman" w:hAnsi="Times New Roman"/>
          <w:sz w:val="28"/>
        </w:rPr>
        <w:t xml:space="preserve"> (na stronie EJN) danego instrumentu prawnego. Wiemy, że tylko Dania i Irlandia nie są związane dyrektywą, a pozostałe państwa członkowskie ją wdrożyły. Wybierzemy dyrektywę 2014/41 w sprawie END. Następnie wybieramy sekcję </w:t>
      </w:r>
      <w:r>
        <w:rPr>
          <w:rFonts w:ascii="Times New Roman" w:hAnsi="Times New Roman"/>
          <w:b/>
          <w:sz w:val="28"/>
        </w:rPr>
        <w:t>Dalej</w:t>
      </w:r>
      <w:r>
        <w:rPr>
          <w:rFonts w:ascii="Times New Roman" w:hAnsi="Times New Roman"/>
          <w:sz w:val="28"/>
        </w:rPr>
        <w:t>, jak pokazano poniżej.</w:t>
      </w:r>
    </w:p>
    <w:p w14:paraId="7A8048AC" w14:textId="77777777" w:rsidR="000B3DBE" w:rsidRPr="00B074A0" w:rsidRDefault="000B3DBE" w:rsidP="000B3DBE">
      <w:pPr>
        <w:spacing w:after="0"/>
        <w:jc w:val="both"/>
        <w:rPr>
          <w:rFonts w:ascii="Times New Roman" w:hAnsi="Times New Roman"/>
          <w:sz w:val="28"/>
          <w:szCs w:val="28"/>
          <w:lang w:val="en-GB"/>
        </w:rPr>
      </w:pPr>
    </w:p>
    <w:p w14:paraId="2670D969"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558540"/>
                    </a:xfrm>
                    <a:prstGeom prst="rect">
                      <a:avLst/>
                    </a:prstGeom>
                  </pic:spPr>
                </pic:pic>
              </a:graphicData>
            </a:graphic>
          </wp:inline>
        </w:drawing>
      </w:r>
    </w:p>
    <w:p w14:paraId="52514C69" w14:textId="77777777" w:rsidR="000B3DBE" w:rsidRPr="00B074A0" w:rsidRDefault="000B3DBE" w:rsidP="000B3DBE">
      <w:pPr>
        <w:spacing w:after="0"/>
        <w:jc w:val="both"/>
        <w:rPr>
          <w:rFonts w:ascii="Times New Roman" w:hAnsi="Times New Roman"/>
          <w:sz w:val="28"/>
          <w:szCs w:val="28"/>
          <w:lang w:val="en-GB"/>
        </w:rPr>
      </w:pPr>
    </w:p>
    <w:p w14:paraId="13ED4BFD"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5.Przedstawiamy tutaj </w:t>
      </w:r>
      <w:r>
        <w:rPr>
          <w:rFonts w:ascii="Times New Roman" w:hAnsi="Times New Roman"/>
          <w:b/>
          <w:sz w:val="28"/>
        </w:rPr>
        <w:t>Stuttgart</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1188D559"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496D5FCB"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489960"/>
                    </a:xfrm>
                    <a:prstGeom prst="rect">
                      <a:avLst/>
                    </a:prstGeom>
                  </pic:spPr>
                </pic:pic>
              </a:graphicData>
            </a:graphic>
          </wp:inline>
        </w:drawing>
      </w:r>
    </w:p>
    <w:p w14:paraId="0400CBE3"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Na koniec otrzymujemy wynik naszego wyszukiwania jak na rysunku poniżej.</w:t>
      </w:r>
    </w:p>
    <w:p w14:paraId="2D9A6E7A" w14:textId="77777777" w:rsidR="000B3DBE" w:rsidRPr="00B074A0" w:rsidRDefault="000B3DBE" w:rsidP="000B3DBE">
      <w:pPr>
        <w:spacing w:after="0"/>
        <w:jc w:val="both"/>
        <w:rPr>
          <w:rFonts w:ascii="Times New Roman" w:hAnsi="Times New Roman"/>
          <w:sz w:val="28"/>
          <w:szCs w:val="28"/>
          <w:lang w:val="en-GB"/>
        </w:rPr>
      </w:pPr>
    </w:p>
    <w:p w14:paraId="188CFBD7"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4198620"/>
                    </a:xfrm>
                    <a:prstGeom prst="rect">
                      <a:avLst/>
                    </a:prstGeom>
                  </pic:spPr>
                </pic:pic>
              </a:graphicData>
            </a:graphic>
          </wp:inline>
        </w:drawing>
      </w:r>
    </w:p>
    <w:p w14:paraId="73A61F73" w14:textId="77777777" w:rsidR="000B3DBE" w:rsidRPr="00F619B4" w:rsidRDefault="000B3DBE" w:rsidP="00F619B4">
      <w:pPr>
        <w:pStyle w:val="Akapitzlist"/>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Należy znaleźć właściwy organ austriacki, który pomoże rumuńskiemu organowi sądowemu w przesłuchaniu świadka w formie wideokonferencji.</w:t>
      </w:r>
    </w:p>
    <w:p w14:paraId="47116F65"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02EB4FD6" w14:textId="77777777" w:rsidR="000B3DBE" w:rsidRPr="00B074A0" w:rsidRDefault="000B3DBE" w:rsidP="000B3DBE">
      <w:pPr>
        <w:pStyle w:val="Akapitzlist"/>
        <w:numPr>
          <w:ilvl w:val="0"/>
          <w:numId w:val="13"/>
        </w:numPr>
        <w:spacing w:after="0" w:line="240" w:lineRule="auto"/>
        <w:jc w:val="both"/>
        <w:rPr>
          <w:rFonts w:ascii="Times New Roman" w:hAnsi="Times New Roman"/>
          <w:sz w:val="28"/>
          <w:szCs w:val="28"/>
        </w:rPr>
      </w:pPr>
      <w:r>
        <w:rPr>
          <w:rFonts w:ascii="Times New Roman" w:hAnsi="Times New Roman"/>
          <w:sz w:val="28"/>
        </w:rPr>
        <w:t xml:space="preserve">W celu określenia właściwego organu wybieramy </w:t>
      </w:r>
      <w:r>
        <w:rPr>
          <w:rFonts w:ascii="Times New Roman" w:hAnsi="Times New Roman"/>
          <w:b/>
          <w:sz w:val="28"/>
        </w:rPr>
        <w:t>Austrię</w:t>
      </w:r>
      <w:r>
        <w:rPr>
          <w:rFonts w:ascii="Times New Roman" w:hAnsi="Times New Roman"/>
          <w:sz w:val="28"/>
        </w:rPr>
        <w:t xml:space="preserve"> jako wybrany kraj (AT). Następnie wybieramy sekcję </w:t>
      </w:r>
      <w:r>
        <w:rPr>
          <w:rFonts w:ascii="Times New Roman" w:hAnsi="Times New Roman"/>
          <w:b/>
          <w:sz w:val="28"/>
        </w:rPr>
        <w:t>Atlas</w:t>
      </w:r>
      <w:r>
        <w:rPr>
          <w:rFonts w:ascii="Times New Roman" w:hAnsi="Times New Roman"/>
          <w:sz w:val="28"/>
        </w:rPr>
        <w:t>, jak pokazano poniżej.</w:t>
      </w:r>
    </w:p>
    <w:p w14:paraId="18626590" w14:textId="77777777" w:rsidR="000B3DBE" w:rsidRPr="00B074A0" w:rsidRDefault="000B3DBE" w:rsidP="000B3DBE">
      <w:pPr>
        <w:spacing w:after="0" w:line="240" w:lineRule="auto"/>
        <w:jc w:val="both"/>
        <w:rPr>
          <w:rFonts w:ascii="Times New Roman" w:hAnsi="Times New Roman"/>
          <w:sz w:val="28"/>
          <w:szCs w:val="28"/>
          <w:lang w:val="en-GB"/>
        </w:rPr>
      </w:pPr>
    </w:p>
    <w:p w14:paraId="11DF0E39"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025140"/>
                    </a:xfrm>
                    <a:prstGeom prst="rect">
                      <a:avLst/>
                    </a:prstGeom>
                  </pic:spPr>
                </pic:pic>
              </a:graphicData>
            </a:graphic>
          </wp:inline>
        </w:drawing>
      </w:r>
    </w:p>
    <w:p w14:paraId="35316112" w14:textId="77777777" w:rsidR="000B3DBE" w:rsidRPr="00B074A0" w:rsidRDefault="000B3DBE" w:rsidP="000B3DBE">
      <w:pPr>
        <w:spacing w:after="0"/>
        <w:jc w:val="both"/>
        <w:rPr>
          <w:rFonts w:ascii="Times New Roman" w:hAnsi="Times New Roman"/>
          <w:sz w:val="28"/>
          <w:szCs w:val="28"/>
          <w:lang w:val="en-GB"/>
        </w:rPr>
      </w:pPr>
    </w:p>
    <w:p w14:paraId="4265CA8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Wybieramy środek </w:t>
      </w:r>
      <w:r>
        <w:rPr>
          <w:rFonts w:ascii="Times New Roman" w:hAnsi="Times New Roman"/>
          <w:b/>
          <w:sz w:val="28"/>
        </w:rPr>
        <w:t>703</w:t>
      </w:r>
      <w:r>
        <w:rPr>
          <w:rFonts w:ascii="Times New Roman" w:hAnsi="Times New Roman"/>
          <w:sz w:val="28"/>
        </w:rPr>
        <w:t>.</w:t>
      </w:r>
      <w:r>
        <w:rPr>
          <w:rFonts w:ascii="Times New Roman" w:hAnsi="Times New Roman"/>
          <w:b/>
          <w:sz w:val="28"/>
        </w:rPr>
        <w:t xml:space="preserve"> Przesłuchania świadków: w formie wideokonferencji</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56167DF8"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7EB7B65"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4EA3F8CD" wp14:editId="038CA9B7">
            <wp:extent cx="5731510" cy="338328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383280"/>
                    </a:xfrm>
                    <a:prstGeom prst="rect">
                      <a:avLst/>
                    </a:prstGeom>
                  </pic:spPr>
                </pic:pic>
              </a:graphicData>
            </a:graphic>
          </wp:inline>
        </w:drawing>
      </w:r>
    </w:p>
    <w:p w14:paraId="5FE9A589" w14:textId="77777777" w:rsidR="000B3DBE" w:rsidRPr="00B074A0" w:rsidRDefault="000B3DBE" w:rsidP="000B3DBE">
      <w:pPr>
        <w:spacing w:after="0"/>
        <w:jc w:val="both"/>
        <w:rPr>
          <w:rFonts w:ascii="Times New Roman" w:hAnsi="Times New Roman"/>
          <w:sz w:val="28"/>
          <w:szCs w:val="28"/>
          <w:lang w:val="en-GB"/>
        </w:rPr>
      </w:pPr>
    </w:p>
    <w:p w14:paraId="21805C6D" w14:textId="77777777" w:rsidR="000B3DBE" w:rsidRPr="00B074A0" w:rsidRDefault="000B3DBE" w:rsidP="000B3DBE">
      <w:pPr>
        <w:spacing w:after="0"/>
        <w:jc w:val="both"/>
        <w:rPr>
          <w:rFonts w:ascii="Times New Roman" w:hAnsi="Times New Roman"/>
          <w:sz w:val="28"/>
          <w:szCs w:val="28"/>
        </w:rPr>
      </w:pPr>
      <w:r>
        <w:rPr>
          <w:rFonts w:ascii="Times New Roman" w:hAnsi="Times New Roman"/>
          <w:sz w:val="28"/>
        </w:rPr>
        <w:t xml:space="preserve">3. Tutaj musimy wybrać, czy przestępstwo z naszej sprawy dotyczy spraw korupcyjnych. W naszym przypadku tak </w:t>
      </w:r>
      <w:r>
        <w:rPr>
          <w:rFonts w:ascii="Times New Roman" w:hAnsi="Times New Roman"/>
          <w:b/>
          <w:sz w:val="28"/>
        </w:rPr>
        <w:t>nie</w:t>
      </w:r>
      <w:r>
        <w:rPr>
          <w:rFonts w:ascii="Times New Roman" w:hAnsi="Times New Roman"/>
          <w:sz w:val="28"/>
        </w:rPr>
        <w:t xml:space="preserve"> jest, więc zaznaczamy tę opcję i klikamy </w:t>
      </w:r>
      <w:r>
        <w:rPr>
          <w:rFonts w:ascii="Times New Roman" w:hAnsi="Times New Roman"/>
          <w:b/>
          <w:sz w:val="28"/>
        </w:rPr>
        <w:t>Dalej</w:t>
      </w:r>
      <w:r>
        <w:rPr>
          <w:rFonts w:ascii="Times New Roman" w:hAnsi="Times New Roman"/>
          <w:sz w:val="28"/>
        </w:rPr>
        <w:t>, jak pokazano poniżej.</w:t>
      </w:r>
    </w:p>
    <w:p w14:paraId="54668B67" w14:textId="77777777" w:rsidR="000B3DBE" w:rsidRPr="00B074A0" w:rsidRDefault="000B3DBE" w:rsidP="000B3DBE">
      <w:pPr>
        <w:spacing w:after="0"/>
        <w:jc w:val="both"/>
        <w:rPr>
          <w:rFonts w:ascii="Times New Roman" w:hAnsi="Times New Roman"/>
          <w:sz w:val="28"/>
          <w:szCs w:val="28"/>
          <w:lang w:val="en-GB"/>
        </w:rPr>
      </w:pPr>
    </w:p>
    <w:p w14:paraId="7CFEC508"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872740"/>
                    </a:xfrm>
                    <a:prstGeom prst="rect">
                      <a:avLst/>
                    </a:prstGeom>
                  </pic:spPr>
                </pic:pic>
              </a:graphicData>
            </a:graphic>
          </wp:inline>
        </w:drawing>
      </w:r>
    </w:p>
    <w:p w14:paraId="54D9C335" w14:textId="77777777" w:rsidR="000B3DBE" w:rsidRPr="00B074A0" w:rsidRDefault="000B3DBE" w:rsidP="000B3DBE">
      <w:pPr>
        <w:spacing w:after="0"/>
        <w:jc w:val="both"/>
        <w:rPr>
          <w:rFonts w:ascii="Times New Roman" w:hAnsi="Times New Roman"/>
          <w:sz w:val="28"/>
          <w:szCs w:val="28"/>
          <w:lang w:val="en-GB"/>
        </w:rPr>
      </w:pPr>
    </w:p>
    <w:p w14:paraId="4122B979" w14:textId="77777777" w:rsidR="000B3DBE" w:rsidRPr="00B074A0" w:rsidRDefault="000B3DBE" w:rsidP="000B3DBE">
      <w:pPr>
        <w:spacing w:after="0"/>
        <w:jc w:val="both"/>
        <w:rPr>
          <w:rFonts w:ascii="Times New Roman" w:hAnsi="Times New Roman"/>
          <w:sz w:val="28"/>
          <w:szCs w:val="28"/>
          <w:lang w:val="en-GB"/>
        </w:rPr>
      </w:pPr>
    </w:p>
    <w:p w14:paraId="6C321C0A" w14:textId="77777777" w:rsidR="000B3DBE" w:rsidRPr="00B074A0" w:rsidRDefault="000B3DBE" w:rsidP="000B3DBE">
      <w:pPr>
        <w:pStyle w:val="Akapitzlist"/>
        <w:numPr>
          <w:ilvl w:val="0"/>
          <w:numId w:val="10"/>
        </w:numPr>
        <w:spacing w:after="0"/>
        <w:jc w:val="both"/>
        <w:rPr>
          <w:rFonts w:ascii="Times New Roman" w:hAnsi="Times New Roman"/>
          <w:sz w:val="28"/>
          <w:szCs w:val="28"/>
        </w:rPr>
      </w:pPr>
      <w:r>
        <w:rPr>
          <w:rFonts w:ascii="Times New Roman" w:hAnsi="Times New Roman"/>
          <w:sz w:val="28"/>
        </w:rPr>
        <w:t xml:space="preserve">Tutaj wybieramy, że </w:t>
      </w:r>
      <w:r>
        <w:rPr>
          <w:rFonts w:ascii="Times New Roman" w:hAnsi="Times New Roman"/>
          <w:b/>
          <w:sz w:val="28"/>
        </w:rPr>
        <w:t>wiemy,</w:t>
      </w:r>
      <w:r>
        <w:rPr>
          <w:rFonts w:ascii="Times New Roman" w:hAnsi="Times New Roman"/>
          <w:sz w:val="28"/>
        </w:rPr>
        <w:t xml:space="preserve"> gdzie świadek przebywa w Austrii i </w:t>
      </w:r>
      <w:r>
        <w:rPr>
          <w:rFonts w:ascii="Times New Roman" w:hAnsi="Times New Roman"/>
          <w:b/>
          <w:sz w:val="28"/>
        </w:rPr>
        <w:t>klikamy Dalej</w:t>
      </w:r>
      <w:r>
        <w:rPr>
          <w:rFonts w:ascii="Times New Roman" w:hAnsi="Times New Roman"/>
          <w:sz w:val="28"/>
        </w:rPr>
        <w:t>, jak pokazano poniżej.</w:t>
      </w:r>
    </w:p>
    <w:p w14:paraId="596A979A" w14:textId="77777777" w:rsidR="000B3DBE" w:rsidRPr="00B074A0" w:rsidRDefault="000B3DBE" w:rsidP="000B3DBE">
      <w:pPr>
        <w:spacing w:after="0"/>
        <w:jc w:val="both"/>
        <w:rPr>
          <w:rFonts w:ascii="Times New Roman" w:hAnsi="Times New Roman"/>
          <w:sz w:val="28"/>
          <w:szCs w:val="28"/>
          <w:lang w:val="en-GB"/>
        </w:rPr>
      </w:pPr>
    </w:p>
    <w:p w14:paraId="6946E568"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53740"/>
                    </a:xfrm>
                    <a:prstGeom prst="rect">
                      <a:avLst/>
                    </a:prstGeom>
                  </pic:spPr>
                </pic:pic>
              </a:graphicData>
            </a:graphic>
          </wp:inline>
        </w:drawing>
      </w:r>
    </w:p>
    <w:p w14:paraId="5FDBA74A" w14:textId="77777777" w:rsidR="000B3DBE" w:rsidRPr="00B074A0" w:rsidRDefault="000B3DBE" w:rsidP="000B3DBE">
      <w:pPr>
        <w:spacing w:after="0"/>
        <w:jc w:val="both"/>
        <w:rPr>
          <w:rFonts w:ascii="Times New Roman" w:hAnsi="Times New Roman"/>
          <w:sz w:val="28"/>
          <w:szCs w:val="28"/>
          <w:lang w:val="en-GB"/>
        </w:rPr>
      </w:pPr>
    </w:p>
    <w:p w14:paraId="08AD99ED" w14:textId="77777777" w:rsidR="000B3DBE" w:rsidRPr="00B074A0" w:rsidRDefault="000B3DBE" w:rsidP="000B3DBE">
      <w:pPr>
        <w:spacing w:after="0"/>
        <w:jc w:val="both"/>
        <w:rPr>
          <w:rFonts w:ascii="Times New Roman" w:hAnsi="Times New Roman"/>
          <w:sz w:val="28"/>
          <w:szCs w:val="28"/>
          <w:lang w:val="en-GB"/>
        </w:rPr>
      </w:pPr>
    </w:p>
    <w:p w14:paraId="06F6DCFD"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Tutaj mamy do wyboru wiele opcji dla instrumentów prawnych. Wiemy, że dyrektywa 2014/41 w sprawie END </w:t>
      </w:r>
      <w:r>
        <w:rPr>
          <w:rFonts w:ascii="Times New Roman" w:hAnsi="Times New Roman"/>
          <w:b/>
          <w:sz w:val="28"/>
          <w:u w:val="single"/>
        </w:rPr>
        <w:t>zastąpiła</w:t>
      </w:r>
      <w:r>
        <w:rPr>
          <w:rFonts w:ascii="Times New Roman" w:hAnsi="Times New Roman"/>
          <w:sz w:val="28"/>
        </w:rPr>
        <w:t xml:space="preserve"> wszystkie odpowiednie przepisy konwencji z 1959 r., konwencji z 2000 r. i układu z </w:t>
      </w:r>
      <w:proofErr w:type="spellStart"/>
      <w:r>
        <w:rPr>
          <w:rFonts w:ascii="Times New Roman" w:hAnsi="Times New Roman"/>
          <w:sz w:val="28"/>
        </w:rPr>
        <w:t>Schengen</w:t>
      </w:r>
      <w:proofErr w:type="spellEnd"/>
      <w:r>
        <w:rPr>
          <w:rFonts w:ascii="Times New Roman" w:hAnsi="Times New Roman"/>
          <w:sz w:val="28"/>
        </w:rPr>
        <w:t xml:space="preserve">. Aby dyrektywa mogła być stosowana, sprawdzamy </w:t>
      </w:r>
      <w:r>
        <w:rPr>
          <w:rFonts w:ascii="Times New Roman" w:hAnsi="Times New Roman"/>
          <w:b/>
          <w:sz w:val="28"/>
        </w:rPr>
        <w:t>status implementacji</w:t>
      </w:r>
      <w:r>
        <w:rPr>
          <w:rFonts w:ascii="Times New Roman" w:hAnsi="Times New Roman"/>
          <w:sz w:val="28"/>
        </w:rPr>
        <w:t xml:space="preserve"> (na stronie EJN) danego instrumentu prawnego. Wiemy, że tylko Dania i Irlandia nie są związane dyrektywą, a pozostałe państwa członkowskie ją wdrożyły. Wybierzemy dyrektywę 2014/41 w sprawie END. Następnie wybieramy sekcję </w:t>
      </w:r>
      <w:r>
        <w:rPr>
          <w:rFonts w:ascii="Times New Roman" w:hAnsi="Times New Roman"/>
          <w:b/>
          <w:sz w:val="28"/>
        </w:rPr>
        <w:t>Dalej</w:t>
      </w:r>
      <w:r>
        <w:rPr>
          <w:rFonts w:ascii="Times New Roman" w:hAnsi="Times New Roman"/>
          <w:sz w:val="28"/>
        </w:rPr>
        <w:t>, jak pokazano poniżej.</w:t>
      </w:r>
    </w:p>
    <w:p w14:paraId="478878C0" w14:textId="77777777" w:rsidR="000B3DBE" w:rsidRPr="00B074A0" w:rsidRDefault="000B3DBE" w:rsidP="000B3DBE">
      <w:pPr>
        <w:spacing w:after="0"/>
        <w:jc w:val="both"/>
        <w:rPr>
          <w:rFonts w:ascii="Times New Roman" w:hAnsi="Times New Roman"/>
          <w:sz w:val="28"/>
          <w:szCs w:val="28"/>
          <w:lang w:val="en-GB"/>
        </w:rPr>
      </w:pPr>
    </w:p>
    <w:p w14:paraId="598D4959"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964180"/>
                    </a:xfrm>
                    <a:prstGeom prst="rect">
                      <a:avLst/>
                    </a:prstGeom>
                  </pic:spPr>
                </pic:pic>
              </a:graphicData>
            </a:graphic>
          </wp:inline>
        </w:drawing>
      </w:r>
    </w:p>
    <w:p w14:paraId="1C43AEE1" w14:textId="77777777" w:rsidR="000B3DBE" w:rsidRPr="00B074A0" w:rsidRDefault="000B3DBE" w:rsidP="000B3DBE">
      <w:pPr>
        <w:spacing w:after="0"/>
        <w:jc w:val="both"/>
        <w:rPr>
          <w:rFonts w:ascii="Times New Roman" w:hAnsi="Times New Roman"/>
          <w:sz w:val="28"/>
          <w:szCs w:val="28"/>
          <w:lang w:val="en-GB"/>
        </w:rPr>
      </w:pPr>
    </w:p>
    <w:p w14:paraId="6B98B584"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6.Przedstawiamy </w:t>
      </w:r>
      <w:r>
        <w:rPr>
          <w:rFonts w:ascii="Times New Roman" w:hAnsi="Times New Roman"/>
          <w:b/>
          <w:sz w:val="28"/>
        </w:rPr>
        <w:t>Wiedeń</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5C78899B" w14:textId="77777777" w:rsidR="000B3DBE" w:rsidRPr="00B074A0" w:rsidRDefault="000B3DBE" w:rsidP="000B3DBE">
      <w:pPr>
        <w:pStyle w:val="Akapitzlist"/>
        <w:spacing w:after="0" w:line="240" w:lineRule="auto"/>
        <w:jc w:val="both"/>
        <w:rPr>
          <w:rFonts w:ascii="Times New Roman" w:hAnsi="Times New Roman"/>
          <w:sz w:val="28"/>
          <w:szCs w:val="28"/>
          <w:lang w:val="en-GB"/>
        </w:rPr>
      </w:pPr>
    </w:p>
    <w:p w14:paraId="1743D481" w14:textId="77777777" w:rsidR="000B3DBE" w:rsidRPr="00B074A0" w:rsidRDefault="000B3DBE" w:rsidP="000B3DBE">
      <w:pPr>
        <w:spacing w:after="0"/>
        <w:jc w:val="both"/>
        <w:rPr>
          <w:rFonts w:ascii="Times New Roman" w:hAnsi="Times New Roman"/>
          <w:sz w:val="28"/>
          <w:szCs w:val="28"/>
        </w:rPr>
      </w:pPr>
      <w:r>
        <w:rPr>
          <w:noProof/>
          <w:lang w:eastAsia="pl-PL"/>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750820"/>
                    </a:xfrm>
                    <a:prstGeom prst="rect">
                      <a:avLst/>
                    </a:prstGeom>
                  </pic:spPr>
                </pic:pic>
              </a:graphicData>
            </a:graphic>
          </wp:inline>
        </w:drawing>
      </w:r>
    </w:p>
    <w:p w14:paraId="203C207F" w14:textId="77777777" w:rsidR="000B3DBE" w:rsidRPr="00B074A0" w:rsidRDefault="000B3DBE" w:rsidP="000B3DBE">
      <w:pPr>
        <w:spacing w:after="0"/>
        <w:jc w:val="both"/>
        <w:rPr>
          <w:rFonts w:ascii="Times New Roman" w:hAnsi="Times New Roman"/>
          <w:sz w:val="28"/>
          <w:szCs w:val="28"/>
          <w:lang w:val="en-GB"/>
        </w:rPr>
      </w:pPr>
    </w:p>
    <w:p w14:paraId="3DB7747D" w14:textId="77777777" w:rsidR="000B3DBE" w:rsidRPr="00B074A0" w:rsidRDefault="000B3DBE" w:rsidP="000B3DBE">
      <w:pPr>
        <w:spacing w:after="0"/>
        <w:jc w:val="both"/>
        <w:rPr>
          <w:rFonts w:ascii="Times New Roman" w:hAnsi="Times New Roman"/>
          <w:sz w:val="28"/>
          <w:szCs w:val="28"/>
          <w:lang w:val="en-GB"/>
        </w:rPr>
      </w:pPr>
    </w:p>
    <w:p w14:paraId="41FCBCC5"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Na koniec otrzymujemy wynik naszego wyszukiwania jak na rysunku poniżej.</w:t>
      </w:r>
    </w:p>
    <w:p w14:paraId="17E2B7D9" w14:textId="77777777" w:rsidR="000B3DBE" w:rsidRPr="00B074A0" w:rsidRDefault="000B3DBE" w:rsidP="000B3DBE">
      <w:pPr>
        <w:spacing w:after="0"/>
        <w:jc w:val="both"/>
        <w:rPr>
          <w:rFonts w:ascii="Times New Roman" w:hAnsi="Times New Roman"/>
          <w:sz w:val="28"/>
          <w:szCs w:val="28"/>
          <w:lang w:val="en-GB"/>
        </w:rPr>
      </w:pPr>
    </w:p>
    <w:p w14:paraId="6FB3B0FB" w14:textId="77777777" w:rsidR="000B3DBE" w:rsidRPr="00B074A0" w:rsidRDefault="000B3DBE" w:rsidP="000B3DBE">
      <w:pPr>
        <w:spacing w:after="0"/>
        <w:jc w:val="both"/>
        <w:rPr>
          <w:rFonts w:ascii="Times New Roman" w:hAnsi="Times New Roman"/>
          <w:sz w:val="28"/>
          <w:szCs w:val="28"/>
        </w:rPr>
      </w:pPr>
      <w:r>
        <w:rPr>
          <w:noProof/>
          <w:lang w:eastAsia="pl-PL"/>
        </w:rPr>
        <w:lastRenderedPageBreak/>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642485"/>
                    </a:xfrm>
                    <a:prstGeom prst="rect">
                      <a:avLst/>
                    </a:prstGeom>
                  </pic:spPr>
                </pic:pic>
              </a:graphicData>
            </a:graphic>
          </wp:inline>
        </w:drawing>
      </w:r>
    </w:p>
    <w:p w14:paraId="5B999361" w14:textId="77777777" w:rsidR="000B3DBE" w:rsidRPr="00B074A0" w:rsidRDefault="000B3DBE" w:rsidP="000B3DBE">
      <w:pPr>
        <w:spacing w:after="0"/>
        <w:jc w:val="both"/>
        <w:rPr>
          <w:rFonts w:ascii="Times New Roman" w:hAnsi="Times New Roman"/>
          <w:sz w:val="28"/>
          <w:szCs w:val="28"/>
          <w:lang w:val="en-GB"/>
        </w:rPr>
      </w:pPr>
    </w:p>
    <w:p w14:paraId="2DB7D65E" w14:textId="77777777" w:rsidR="000B3DBE" w:rsidRPr="00B074A0" w:rsidRDefault="000B3DBE" w:rsidP="000B3DBE">
      <w:pPr>
        <w:pStyle w:val="Akapitzlist"/>
        <w:jc w:val="both"/>
        <w:rPr>
          <w:rFonts w:ascii="Times New Roman" w:hAnsi="Times New Roman" w:cs="Times New Roman"/>
          <w:i/>
          <w:iCs/>
          <w:sz w:val="28"/>
          <w:szCs w:val="28"/>
          <w:lang w:val="en-GB"/>
        </w:rPr>
      </w:pPr>
    </w:p>
    <w:p w14:paraId="00A79DBB"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395AD0A5" w14:textId="77777777" w:rsidR="000B3DBE" w:rsidRPr="00B074A0" w:rsidRDefault="000B3DBE" w:rsidP="000B3DBE">
      <w:pPr>
        <w:pStyle w:val="Akapitzlist"/>
        <w:jc w:val="both"/>
        <w:rPr>
          <w:rFonts w:ascii="Times New Roman" w:hAnsi="Times New Roman" w:cs="Times New Roman"/>
          <w:color w:val="FF0000"/>
          <w:sz w:val="28"/>
          <w:szCs w:val="28"/>
          <w:u w:val="single"/>
          <w:lang w:val="en-GB"/>
        </w:rPr>
      </w:pPr>
    </w:p>
    <w:p w14:paraId="6C032F3E" w14:textId="77777777" w:rsidR="000B3DBE" w:rsidRPr="00B074A0" w:rsidRDefault="000B3DBE" w:rsidP="000B3DBE">
      <w:pPr>
        <w:pStyle w:val="Akapitzlist"/>
        <w:jc w:val="both"/>
        <w:rPr>
          <w:rFonts w:ascii="Times New Roman" w:hAnsi="Times New Roman" w:cs="Times New Roman"/>
          <w:i/>
          <w:iCs/>
          <w:sz w:val="28"/>
          <w:szCs w:val="28"/>
          <w:lang w:val="en-GB"/>
        </w:rPr>
      </w:pPr>
    </w:p>
    <w:p w14:paraId="51385901" w14:textId="77777777" w:rsidR="000B3DBE" w:rsidRPr="00B074A0" w:rsidRDefault="000B3DBE" w:rsidP="000B3DBE">
      <w:pPr>
        <w:pStyle w:val="Akapitzlist"/>
        <w:jc w:val="both"/>
        <w:rPr>
          <w:rFonts w:ascii="Times New Roman" w:hAnsi="Times New Roman" w:cs="Times New Roman"/>
          <w:i/>
          <w:iCs/>
          <w:sz w:val="28"/>
          <w:szCs w:val="28"/>
          <w:lang w:val="en-GB"/>
        </w:rPr>
      </w:pPr>
    </w:p>
    <w:p w14:paraId="79BB6263" w14:textId="77777777" w:rsidR="000B3DBE" w:rsidRPr="00B074A0" w:rsidRDefault="000B3DBE" w:rsidP="000B3DBE">
      <w:pPr>
        <w:pStyle w:val="Akapitzlist"/>
        <w:jc w:val="both"/>
        <w:rPr>
          <w:rFonts w:ascii="Times New Roman" w:hAnsi="Times New Roman" w:cs="Times New Roman"/>
          <w:i/>
          <w:iCs/>
          <w:sz w:val="28"/>
          <w:szCs w:val="28"/>
          <w:lang w:val="en-GB"/>
        </w:rPr>
      </w:pPr>
    </w:p>
    <w:p w14:paraId="6DB3D247" w14:textId="2C913F0A" w:rsidR="007A6FFD" w:rsidRPr="00B074A0" w:rsidRDefault="007A6FFD" w:rsidP="006A27CE">
      <w:pPr>
        <w:spacing w:line="240" w:lineRule="auto"/>
        <w:jc w:val="both"/>
        <w:rPr>
          <w:rFonts w:ascii="Times New Roman" w:hAnsi="Times New Roman" w:cs="Times New Roman"/>
          <w:sz w:val="28"/>
          <w:szCs w:val="28"/>
          <w:lang w:val="en-GB"/>
        </w:rPr>
      </w:pPr>
    </w:p>
    <w:sectPr w:rsidR="007A6FFD" w:rsidRPr="00B074A0" w:rsidSect="00281CC5">
      <w:footerReference w:type="default" r:id="rId6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24F87" w14:textId="77777777" w:rsidR="004A5BAA" w:rsidRDefault="004A5BAA" w:rsidP="00303894">
      <w:pPr>
        <w:spacing w:after="0" w:line="240" w:lineRule="auto"/>
      </w:pPr>
      <w:r>
        <w:separator/>
      </w:r>
    </w:p>
  </w:endnote>
  <w:endnote w:type="continuationSeparator" w:id="0">
    <w:p w14:paraId="76B13C10" w14:textId="77777777" w:rsidR="004A5BAA" w:rsidRDefault="004A5BAA"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4640EC35" w:rsidR="00BA38D7" w:rsidRPr="00094A90" w:rsidRDefault="00BA38D7">
        <w:pPr>
          <w:pStyle w:val="Stopka"/>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006D0F70">
          <w:rPr>
            <w:rFonts w:ascii="Times New Roman" w:hAnsi="Times New Roman" w:cs="Times New Roman"/>
            <w:b/>
            <w:noProof/>
          </w:rPr>
          <w:t>9</w:t>
        </w:r>
        <w:r w:rsidRPr="00094A90">
          <w:rPr>
            <w:rFonts w:ascii="Times New Roman" w:hAnsi="Times New Roman" w:cs="Times New Roman"/>
            <w:b/>
          </w:rPr>
          <w:fldChar w:fldCharType="end"/>
        </w:r>
      </w:p>
    </w:sdtContent>
  </w:sdt>
  <w:p w14:paraId="25455D26" w14:textId="77777777" w:rsidR="00BA38D7" w:rsidRDefault="00BA38D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5DED4" w14:textId="77777777" w:rsidR="004A5BAA" w:rsidRDefault="004A5BAA" w:rsidP="00303894">
      <w:pPr>
        <w:spacing w:after="0" w:line="240" w:lineRule="auto"/>
      </w:pPr>
      <w:r>
        <w:separator/>
      </w:r>
    </w:p>
  </w:footnote>
  <w:footnote w:type="continuationSeparator" w:id="0">
    <w:p w14:paraId="0DEC14E8" w14:textId="77777777" w:rsidR="004A5BAA" w:rsidRDefault="004A5BAA" w:rsidP="00303894">
      <w:pPr>
        <w:spacing w:after="0" w:line="240" w:lineRule="auto"/>
      </w:pPr>
      <w:r>
        <w:continuationSeparator/>
      </w:r>
    </w:p>
  </w:footnote>
  <w:footnote w:id="1">
    <w:p w14:paraId="67B473F8" w14:textId="66E8DD22" w:rsidR="00BA38D7" w:rsidRPr="009F364F" w:rsidRDefault="00BA38D7">
      <w:pPr>
        <w:pStyle w:val="Tekstprzypisudolnego"/>
        <w:rPr>
          <w:rFonts w:ascii="Times New Roman" w:hAnsi="Times New Roman" w:cs="Times New Roman"/>
          <w:sz w:val="18"/>
          <w:szCs w:val="18"/>
        </w:rPr>
      </w:pPr>
      <w:r>
        <w:rPr>
          <w:rStyle w:val="Odwoanieprzypisudolnego"/>
        </w:rPr>
        <w:footnoteRef/>
      </w:r>
      <w:r>
        <w:t xml:space="preserve"> </w:t>
      </w:r>
      <w:r>
        <w:rPr>
          <w:rFonts w:ascii="Times New Roman" w:hAnsi="Times New Roman"/>
          <w:sz w:val="18"/>
        </w:rPr>
        <w:t>Dz.U. L 130 z 1.5.2014, s. 1-36</w:t>
      </w:r>
    </w:p>
  </w:footnote>
  <w:footnote w:id="2">
    <w:p w14:paraId="1A54A67D" w14:textId="387DC692" w:rsidR="00BA38D7" w:rsidRPr="009F364F" w:rsidRDefault="00BA38D7">
      <w:pPr>
        <w:pStyle w:val="Tekstprzypisudolnego"/>
        <w:rPr>
          <w:rFonts w:ascii="Times New Roman" w:hAnsi="Times New Roman" w:cs="Times New Roman"/>
          <w:sz w:val="18"/>
          <w:szCs w:val="18"/>
        </w:rPr>
      </w:pPr>
      <w:r>
        <w:rPr>
          <w:rStyle w:val="Odwoanieprzypisudolnego"/>
        </w:rPr>
        <w:footnoteRef/>
      </w:r>
      <w:r>
        <w:t xml:space="preserve"> </w:t>
      </w:r>
      <w:r>
        <w:rPr>
          <w:rFonts w:ascii="Times New Roman" w:hAnsi="Times New Roman"/>
          <w:sz w:val="18"/>
        </w:rPr>
        <w:t>Dz.U C 197 z 12.7.2000, str. 3-23</w:t>
      </w:r>
    </w:p>
  </w:footnote>
  <w:footnote w:id="3">
    <w:p w14:paraId="416A074A" w14:textId="60DED630" w:rsidR="00BA38D7" w:rsidRPr="009F364F" w:rsidRDefault="00BA38D7">
      <w:pPr>
        <w:pStyle w:val="Tekstprzypisudolnego"/>
        <w:rPr>
          <w:rFonts w:ascii="Times New Roman" w:hAnsi="Times New Roman" w:cs="Times New Roman"/>
          <w:sz w:val="18"/>
          <w:szCs w:val="18"/>
        </w:rPr>
      </w:pPr>
      <w:r>
        <w:rPr>
          <w:rStyle w:val="Odwoanieprzypisudolnego"/>
        </w:rPr>
        <w:footnoteRef/>
      </w:r>
      <w:r>
        <w:t xml:space="preserve"> </w:t>
      </w:r>
      <w:r>
        <w:rPr>
          <w:rFonts w:ascii="Times New Roman" w:hAnsi="Times New Roman"/>
          <w:sz w:val="18"/>
        </w:rPr>
        <w:t>Dz.U. L 162 z 20.6.2002, s. 1-3</w:t>
      </w:r>
    </w:p>
  </w:footnote>
  <w:footnote w:id="4">
    <w:p w14:paraId="5265B008" w14:textId="23587F02" w:rsidR="00BA38D7" w:rsidRPr="00BD730A" w:rsidRDefault="00BA38D7">
      <w:pPr>
        <w:pStyle w:val="Tekstprzypisudolnego"/>
        <w:rPr>
          <w:rFonts w:ascii="Times New Roman" w:hAnsi="Times New Roman" w:cs="Times New Roman"/>
          <w:sz w:val="18"/>
          <w:szCs w:val="18"/>
        </w:rPr>
      </w:pPr>
      <w:r>
        <w:rPr>
          <w:rStyle w:val="Odwoanieprzypisudolnego"/>
        </w:rPr>
        <w:footnoteRef/>
      </w:r>
      <w:r>
        <w:t xml:space="preserve"> </w:t>
      </w:r>
      <w:r>
        <w:rPr>
          <w:rFonts w:ascii="Times New Roman" w:hAnsi="Times New Roman"/>
          <w:sz w:val="18"/>
        </w:rPr>
        <w:t>Dz.U. L 196 z 2.8.2003, s. 45-55</w:t>
      </w:r>
    </w:p>
  </w:footnote>
  <w:footnote w:id="5">
    <w:p w14:paraId="1FCD77E3" w14:textId="5B7D1D35" w:rsidR="00BA38D7" w:rsidRPr="00883F75" w:rsidRDefault="00BA38D7">
      <w:pPr>
        <w:pStyle w:val="Tekstprzypisudolnego"/>
        <w:rPr>
          <w:rFonts w:ascii="Times New Roman" w:hAnsi="Times New Roman" w:cs="Times New Roman"/>
          <w:sz w:val="18"/>
          <w:szCs w:val="18"/>
        </w:rPr>
      </w:pPr>
      <w:r>
        <w:rPr>
          <w:rStyle w:val="Odwoanieprzypisudolnego"/>
        </w:rPr>
        <w:footnoteRef/>
      </w:r>
      <w:r>
        <w:t xml:space="preserve"> </w:t>
      </w:r>
      <w:r>
        <w:rPr>
          <w:rFonts w:ascii="Times New Roman" w:hAnsi="Times New Roman"/>
          <w:sz w:val="18"/>
        </w:rPr>
        <w:t>Dz.U. L 303 z 28.11.2018, s. 1-38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216"/>
    <w:rsid w:val="0000323F"/>
    <w:rsid w:val="00003D40"/>
    <w:rsid w:val="00017217"/>
    <w:rsid w:val="0002091E"/>
    <w:rsid w:val="000279C5"/>
    <w:rsid w:val="00032E83"/>
    <w:rsid w:val="00055D1B"/>
    <w:rsid w:val="000562EB"/>
    <w:rsid w:val="00075B69"/>
    <w:rsid w:val="00076998"/>
    <w:rsid w:val="000805AF"/>
    <w:rsid w:val="00094A90"/>
    <w:rsid w:val="00095894"/>
    <w:rsid w:val="000961A4"/>
    <w:rsid w:val="000A19CB"/>
    <w:rsid w:val="000A62C0"/>
    <w:rsid w:val="000A6D06"/>
    <w:rsid w:val="000B1031"/>
    <w:rsid w:val="000B3DBE"/>
    <w:rsid w:val="000B4189"/>
    <w:rsid w:val="000C0B2B"/>
    <w:rsid w:val="000C18D2"/>
    <w:rsid w:val="000C1A5E"/>
    <w:rsid w:val="000D3F0B"/>
    <w:rsid w:val="000D7735"/>
    <w:rsid w:val="000E53E5"/>
    <w:rsid w:val="000E56C9"/>
    <w:rsid w:val="000E77C8"/>
    <w:rsid w:val="000F5CD5"/>
    <w:rsid w:val="00100047"/>
    <w:rsid w:val="00120BAC"/>
    <w:rsid w:val="00120E23"/>
    <w:rsid w:val="001403A8"/>
    <w:rsid w:val="0014132C"/>
    <w:rsid w:val="00143083"/>
    <w:rsid w:val="00143774"/>
    <w:rsid w:val="001526F3"/>
    <w:rsid w:val="00152A9B"/>
    <w:rsid w:val="0016623A"/>
    <w:rsid w:val="00171F62"/>
    <w:rsid w:val="00177859"/>
    <w:rsid w:val="00182E4B"/>
    <w:rsid w:val="00183F20"/>
    <w:rsid w:val="001845AB"/>
    <w:rsid w:val="001858D8"/>
    <w:rsid w:val="001A572D"/>
    <w:rsid w:val="001B2134"/>
    <w:rsid w:val="001C1323"/>
    <w:rsid w:val="001C1B53"/>
    <w:rsid w:val="001C1D15"/>
    <w:rsid w:val="001C47AF"/>
    <w:rsid w:val="001C5A7D"/>
    <w:rsid w:val="001C7244"/>
    <w:rsid w:val="001D0803"/>
    <w:rsid w:val="001D6833"/>
    <w:rsid w:val="001E7C63"/>
    <w:rsid w:val="001F14A3"/>
    <w:rsid w:val="001F2513"/>
    <w:rsid w:val="00203CA0"/>
    <w:rsid w:val="00204CBB"/>
    <w:rsid w:val="00204F7B"/>
    <w:rsid w:val="00211641"/>
    <w:rsid w:val="00212DDF"/>
    <w:rsid w:val="002162FC"/>
    <w:rsid w:val="00230842"/>
    <w:rsid w:val="002321A2"/>
    <w:rsid w:val="002322F7"/>
    <w:rsid w:val="00236FA2"/>
    <w:rsid w:val="00257633"/>
    <w:rsid w:val="002640EB"/>
    <w:rsid w:val="00271E8A"/>
    <w:rsid w:val="002775A4"/>
    <w:rsid w:val="00281CC5"/>
    <w:rsid w:val="00287E92"/>
    <w:rsid w:val="00296B99"/>
    <w:rsid w:val="00297A63"/>
    <w:rsid w:val="002B0573"/>
    <w:rsid w:val="002B4CF6"/>
    <w:rsid w:val="002B6144"/>
    <w:rsid w:val="002C14BD"/>
    <w:rsid w:val="002C2974"/>
    <w:rsid w:val="002C2A2E"/>
    <w:rsid w:val="002C3B49"/>
    <w:rsid w:val="002D0A3E"/>
    <w:rsid w:val="002D0E67"/>
    <w:rsid w:val="002D6C12"/>
    <w:rsid w:val="002D72C0"/>
    <w:rsid w:val="002D7BE0"/>
    <w:rsid w:val="002E78DD"/>
    <w:rsid w:val="00303894"/>
    <w:rsid w:val="00313F92"/>
    <w:rsid w:val="00320CD6"/>
    <w:rsid w:val="00321019"/>
    <w:rsid w:val="003226EB"/>
    <w:rsid w:val="00333D90"/>
    <w:rsid w:val="003350D8"/>
    <w:rsid w:val="00346B2C"/>
    <w:rsid w:val="003509D4"/>
    <w:rsid w:val="00357271"/>
    <w:rsid w:val="003604E4"/>
    <w:rsid w:val="003615C2"/>
    <w:rsid w:val="00361FF2"/>
    <w:rsid w:val="003757ED"/>
    <w:rsid w:val="00377CE2"/>
    <w:rsid w:val="003824F9"/>
    <w:rsid w:val="003835C2"/>
    <w:rsid w:val="00383AF0"/>
    <w:rsid w:val="003875CB"/>
    <w:rsid w:val="0039356B"/>
    <w:rsid w:val="00393855"/>
    <w:rsid w:val="003A38EC"/>
    <w:rsid w:val="003C6F0F"/>
    <w:rsid w:val="003D2974"/>
    <w:rsid w:val="003E0BC8"/>
    <w:rsid w:val="003F09BE"/>
    <w:rsid w:val="003F0BCD"/>
    <w:rsid w:val="0040261F"/>
    <w:rsid w:val="004030E2"/>
    <w:rsid w:val="00403DB5"/>
    <w:rsid w:val="004342D6"/>
    <w:rsid w:val="00434BF2"/>
    <w:rsid w:val="0043610D"/>
    <w:rsid w:val="00445218"/>
    <w:rsid w:val="004474C0"/>
    <w:rsid w:val="004652B9"/>
    <w:rsid w:val="00470FCD"/>
    <w:rsid w:val="0047298E"/>
    <w:rsid w:val="00473A58"/>
    <w:rsid w:val="004754C3"/>
    <w:rsid w:val="0047693F"/>
    <w:rsid w:val="00480ABD"/>
    <w:rsid w:val="00493822"/>
    <w:rsid w:val="004970F8"/>
    <w:rsid w:val="004A2E7B"/>
    <w:rsid w:val="004A5BAA"/>
    <w:rsid w:val="004A74F4"/>
    <w:rsid w:val="004A77B7"/>
    <w:rsid w:val="004B2369"/>
    <w:rsid w:val="004B777A"/>
    <w:rsid w:val="004C085F"/>
    <w:rsid w:val="004C2E5A"/>
    <w:rsid w:val="004C514A"/>
    <w:rsid w:val="004C61F0"/>
    <w:rsid w:val="004E0E30"/>
    <w:rsid w:val="004F2DFD"/>
    <w:rsid w:val="00504A79"/>
    <w:rsid w:val="00507A84"/>
    <w:rsid w:val="005144FA"/>
    <w:rsid w:val="00514741"/>
    <w:rsid w:val="00520E53"/>
    <w:rsid w:val="0053012D"/>
    <w:rsid w:val="00531E4A"/>
    <w:rsid w:val="00531E4C"/>
    <w:rsid w:val="00535B7B"/>
    <w:rsid w:val="00535E83"/>
    <w:rsid w:val="00543D0D"/>
    <w:rsid w:val="00544C4D"/>
    <w:rsid w:val="005627BB"/>
    <w:rsid w:val="00565C22"/>
    <w:rsid w:val="0057047F"/>
    <w:rsid w:val="00571A84"/>
    <w:rsid w:val="005814A4"/>
    <w:rsid w:val="00594403"/>
    <w:rsid w:val="00595CA9"/>
    <w:rsid w:val="00597877"/>
    <w:rsid w:val="005A0B03"/>
    <w:rsid w:val="005A3F00"/>
    <w:rsid w:val="005A6CD0"/>
    <w:rsid w:val="005B1BDB"/>
    <w:rsid w:val="005B38E9"/>
    <w:rsid w:val="005C1EAE"/>
    <w:rsid w:val="005C2660"/>
    <w:rsid w:val="005E3A8C"/>
    <w:rsid w:val="005E4A6D"/>
    <w:rsid w:val="005F0AD7"/>
    <w:rsid w:val="005F0E3F"/>
    <w:rsid w:val="005F19DE"/>
    <w:rsid w:val="006029FA"/>
    <w:rsid w:val="00606182"/>
    <w:rsid w:val="00607A4B"/>
    <w:rsid w:val="006162A1"/>
    <w:rsid w:val="006203D3"/>
    <w:rsid w:val="00626A9B"/>
    <w:rsid w:val="00635B64"/>
    <w:rsid w:val="006377A2"/>
    <w:rsid w:val="0063793B"/>
    <w:rsid w:val="00641043"/>
    <w:rsid w:val="006510B3"/>
    <w:rsid w:val="00666B26"/>
    <w:rsid w:val="00694517"/>
    <w:rsid w:val="006A08CD"/>
    <w:rsid w:val="006A232B"/>
    <w:rsid w:val="006A27CE"/>
    <w:rsid w:val="006A3BEC"/>
    <w:rsid w:val="006A6577"/>
    <w:rsid w:val="006A77D1"/>
    <w:rsid w:val="006B06B0"/>
    <w:rsid w:val="006C39B2"/>
    <w:rsid w:val="006C5806"/>
    <w:rsid w:val="006D0F70"/>
    <w:rsid w:val="006D7F79"/>
    <w:rsid w:val="006E32A6"/>
    <w:rsid w:val="006E4CFA"/>
    <w:rsid w:val="006F3025"/>
    <w:rsid w:val="006F62C0"/>
    <w:rsid w:val="00701EAA"/>
    <w:rsid w:val="00702245"/>
    <w:rsid w:val="00702402"/>
    <w:rsid w:val="0071776D"/>
    <w:rsid w:val="00721863"/>
    <w:rsid w:val="0072212E"/>
    <w:rsid w:val="00724F2A"/>
    <w:rsid w:val="007332A3"/>
    <w:rsid w:val="0073488D"/>
    <w:rsid w:val="00737CC9"/>
    <w:rsid w:val="0074138D"/>
    <w:rsid w:val="00746C33"/>
    <w:rsid w:val="00751DE6"/>
    <w:rsid w:val="0075255E"/>
    <w:rsid w:val="00755216"/>
    <w:rsid w:val="0075677B"/>
    <w:rsid w:val="00756FFF"/>
    <w:rsid w:val="00760406"/>
    <w:rsid w:val="00766317"/>
    <w:rsid w:val="007709EF"/>
    <w:rsid w:val="0077645B"/>
    <w:rsid w:val="00777517"/>
    <w:rsid w:val="007803A0"/>
    <w:rsid w:val="00782FE7"/>
    <w:rsid w:val="0078370C"/>
    <w:rsid w:val="00791051"/>
    <w:rsid w:val="007A424A"/>
    <w:rsid w:val="007A591C"/>
    <w:rsid w:val="007A6FFD"/>
    <w:rsid w:val="007B7E8D"/>
    <w:rsid w:val="007C251C"/>
    <w:rsid w:val="007C270D"/>
    <w:rsid w:val="007C3996"/>
    <w:rsid w:val="007F4E72"/>
    <w:rsid w:val="007F5C92"/>
    <w:rsid w:val="008037E8"/>
    <w:rsid w:val="00820C0A"/>
    <w:rsid w:val="00820C35"/>
    <w:rsid w:val="00836202"/>
    <w:rsid w:val="00844021"/>
    <w:rsid w:val="00854D27"/>
    <w:rsid w:val="00863F3C"/>
    <w:rsid w:val="008702D6"/>
    <w:rsid w:val="008767AE"/>
    <w:rsid w:val="008807FC"/>
    <w:rsid w:val="0088115D"/>
    <w:rsid w:val="00883101"/>
    <w:rsid w:val="00883F75"/>
    <w:rsid w:val="00890513"/>
    <w:rsid w:val="008B18BC"/>
    <w:rsid w:val="008B2C00"/>
    <w:rsid w:val="008B3A29"/>
    <w:rsid w:val="008C6563"/>
    <w:rsid w:val="008C7D83"/>
    <w:rsid w:val="008E01F6"/>
    <w:rsid w:val="00906A0B"/>
    <w:rsid w:val="00912D41"/>
    <w:rsid w:val="00920479"/>
    <w:rsid w:val="00922325"/>
    <w:rsid w:val="0092447A"/>
    <w:rsid w:val="00926F8F"/>
    <w:rsid w:val="009270D9"/>
    <w:rsid w:val="00933FD6"/>
    <w:rsid w:val="00936791"/>
    <w:rsid w:val="00952A93"/>
    <w:rsid w:val="00954C3D"/>
    <w:rsid w:val="00955329"/>
    <w:rsid w:val="00971C79"/>
    <w:rsid w:val="00974DC8"/>
    <w:rsid w:val="00976B2E"/>
    <w:rsid w:val="0098115D"/>
    <w:rsid w:val="00996993"/>
    <w:rsid w:val="009B49A2"/>
    <w:rsid w:val="009C48FB"/>
    <w:rsid w:val="009E766A"/>
    <w:rsid w:val="009F364F"/>
    <w:rsid w:val="009F3C84"/>
    <w:rsid w:val="009F6C00"/>
    <w:rsid w:val="00A0015D"/>
    <w:rsid w:val="00A007EA"/>
    <w:rsid w:val="00A00CC5"/>
    <w:rsid w:val="00A0139C"/>
    <w:rsid w:val="00A138AD"/>
    <w:rsid w:val="00A33F9F"/>
    <w:rsid w:val="00A34C99"/>
    <w:rsid w:val="00A4036B"/>
    <w:rsid w:val="00A50994"/>
    <w:rsid w:val="00A52CD4"/>
    <w:rsid w:val="00A5333D"/>
    <w:rsid w:val="00A54BA8"/>
    <w:rsid w:val="00A54C6C"/>
    <w:rsid w:val="00A60EA5"/>
    <w:rsid w:val="00A639EB"/>
    <w:rsid w:val="00A712EB"/>
    <w:rsid w:val="00A75065"/>
    <w:rsid w:val="00A77627"/>
    <w:rsid w:val="00A821F7"/>
    <w:rsid w:val="00A82813"/>
    <w:rsid w:val="00A871DF"/>
    <w:rsid w:val="00A87436"/>
    <w:rsid w:val="00A90EDA"/>
    <w:rsid w:val="00A93039"/>
    <w:rsid w:val="00A93269"/>
    <w:rsid w:val="00AA4E0E"/>
    <w:rsid w:val="00AB3BD2"/>
    <w:rsid w:val="00AC03D8"/>
    <w:rsid w:val="00AC6D73"/>
    <w:rsid w:val="00AC7677"/>
    <w:rsid w:val="00AD7D85"/>
    <w:rsid w:val="00AE0910"/>
    <w:rsid w:val="00AE3040"/>
    <w:rsid w:val="00AE4FA6"/>
    <w:rsid w:val="00AE52CF"/>
    <w:rsid w:val="00AE54CD"/>
    <w:rsid w:val="00AF567C"/>
    <w:rsid w:val="00B00321"/>
    <w:rsid w:val="00B00AFB"/>
    <w:rsid w:val="00B020DC"/>
    <w:rsid w:val="00B03988"/>
    <w:rsid w:val="00B074A0"/>
    <w:rsid w:val="00B35D4E"/>
    <w:rsid w:val="00B42619"/>
    <w:rsid w:val="00B4499E"/>
    <w:rsid w:val="00B54ECD"/>
    <w:rsid w:val="00B7457D"/>
    <w:rsid w:val="00B84D86"/>
    <w:rsid w:val="00B8587F"/>
    <w:rsid w:val="00BA1EDF"/>
    <w:rsid w:val="00BA38D7"/>
    <w:rsid w:val="00BA4131"/>
    <w:rsid w:val="00BA6AA1"/>
    <w:rsid w:val="00BC0071"/>
    <w:rsid w:val="00BC03A0"/>
    <w:rsid w:val="00BC5DD7"/>
    <w:rsid w:val="00BD14DC"/>
    <w:rsid w:val="00BD730A"/>
    <w:rsid w:val="00BF084C"/>
    <w:rsid w:val="00C02FEB"/>
    <w:rsid w:val="00C10590"/>
    <w:rsid w:val="00C115D1"/>
    <w:rsid w:val="00C17258"/>
    <w:rsid w:val="00C22352"/>
    <w:rsid w:val="00C23080"/>
    <w:rsid w:val="00C250CC"/>
    <w:rsid w:val="00C27C79"/>
    <w:rsid w:val="00C31FC0"/>
    <w:rsid w:val="00C34EC8"/>
    <w:rsid w:val="00C37192"/>
    <w:rsid w:val="00C441BC"/>
    <w:rsid w:val="00C474AE"/>
    <w:rsid w:val="00C72E39"/>
    <w:rsid w:val="00C82364"/>
    <w:rsid w:val="00C84416"/>
    <w:rsid w:val="00C92889"/>
    <w:rsid w:val="00CA3588"/>
    <w:rsid w:val="00CA3949"/>
    <w:rsid w:val="00CA74A0"/>
    <w:rsid w:val="00CB425E"/>
    <w:rsid w:val="00CC18AE"/>
    <w:rsid w:val="00CC62E5"/>
    <w:rsid w:val="00CD083E"/>
    <w:rsid w:val="00CD78D1"/>
    <w:rsid w:val="00CE1965"/>
    <w:rsid w:val="00CE4C95"/>
    <w:rsid w:val="00CE654B"/>
    <w:rsid w:val="00CF0D90"/>
    <w:rsid w:val="00CF40C1"/>
    <w:rsid w:val="00D06F1C"/>
    <w:rsid w:val="00D108A8"/>
    <w:rsid w:val="00D21A57"/>
    <w:rsid w:val="00D237AB"/>
    <w:rsid w:val="00D2739A"/>
    <w:rsid w:val="00D3089A"/>
    <w:rsid w:val="00D31EA6"/>
    <w:rsid w:val="00D35E70"/>
    <w:rsid w:val="00D376F2"/>
    <w:rsid w:val="00D423F8"/>
    <w:rsid w:val="00D42BC8"/>
    <w:rsid w:val="00D42DB3"/>
    <w:rsid w:val="00D43010"/>
    <w:rsid w:val="00D47351"/>
    <w:rsid w:val="00D51541"/>
    <w:rsid w:val="00D5289D"/>
    <w:rsid w:val="00D52C7C"/>
    <w:rsid w:val="00D540DB"/>
    <w:rsid w:val="00D67D9C"/>
    <w:rsid w:val="00D714D5"/>
    <w:rsid w:val="00D7154C"/>
    <w:rsid w:val="00D7241D"/>
    <w:rsid w:val="00D7735F"/>
    <w:rsid w:val="00D80B15"/>
    <w:rsid w:val="00D81319"/>
    <w:rsid w:val="00D90A7E"/>
    <w:rsid w:val="00D9473B"/>
    <w:rsid w:val="00DA3669"/>
    <w:rsid w:val="00DB5DB3"/>
    <w:rsid w:val="00DB68A0"/>
    <w:rsid w:val="00DC2B7B"/>
    <w:rsid w:val="00DC3E56"/>
    <w:rsid w:val="00DC6A70"/>
    <w:rsid w:val="00DC6CCA"/>
    <w:rsid w:val="00DD0D6C"/>
    <w:rsid w:val="00DD1826"/>
    <w:rsid w:val="00DE1491"/>
    <w:rsid w:val="00DE7591"/>
    <w:rsid w:val="00DF5AC3"/>
    <w:rsid w:val="00DF7DF8"/>
    <w:rsid w:val="00E10088"/>
    <w:rsid w:val="00E21928"/>
    <w:rsid w:val="00E22E03"/>
    <w:rsid w:val="00E241CA"/>
    <w:rsid w:val="00E31F30"/>
    <w:rsid w:val="00E4323C"/>
    <w:rsid w:val="00E4356B"/>
    <w:rsid w:val="00E44D49"/>
    <w:rsid w:val="00E53FC8"/>
    <w:rsid w:val="00E5457B"/>
    <w:rsid w:val="00E57758"/>
    <w:rsid w:val="00E61464"/>
    <w:rsid w:val="00E649E7"/>
    <w:rsid w:val="00E66B1D"/>
    <w:rsid w:val="00E670B2"/>
    <w:rsid w:val="00E746F9"/>
    <w:rsid w:val="00E84734"/>
    <w:rsid w:val="00E90F4D"/>
    <w:rsid w:val="00E95222"/>
    <w:rsid w:val="00EA12F7"/>
    <w:rsid w:val="00EB02D5"/>
    <w:rsid w:val="00EB0478"/>
    <w:rsid w:val="00EB6BD5"/>
    <w:rsid w:val="00ED1285"/>
    <w:rsid w:val="00ED58DC"/>
    <w:rsid w:val="00ED5E6B"/>
    <w:rsid w:val="00ED65B6"/>
    <w:rsid w:val="00ED6782"/>
    <w:rsid w:val="00EE5082"/>
    <w:rsid w:val="00EE532D"/>
    <w:rsid w:val="00EE6A3D"/>
    <w:rsid w:val="00F00EA7"/>
    <w:rsid w:val="00F03FB0"/>
    <w:rsid w:val="00F05981"/>
    <w:rsid w:val="00F145E0"/>
    <w:rsid w:val="00F30E75"/>
    <w:rsid w:val="00F348CE"/>
    <w:rsid w:val="00F363E4"/>
    <w:rsid w:val="00F37D51"/>
    <w:rsid w:val="00F4148C"/>
    <w:rsid w:val="00F47252"/>
    <w:rsid w:val="00F619B4"/>
    <w:rsid w:val="00F73F85"/>
    <w:rsid w:val="00F745E4"/>
    <w:rsid w:val="00F77E6D"/>
    <w:rsid w:val="00F82656"/>
    <w:rsid w:val="00FA3CB2"/>
    <w:rsid w:val="00FA424A"/>
    <w:rsid w:val="00FB0E94"/>
    <w:rsid w:val="00FB2AA6"/>
    <w:rsid w:val="00FB79F2"/>
    <w:rsid w:val="00FC155C"/>
    <w:rsid w:val="00FC183E"/>
    <w:rsid w:val="00FD3F9F"/>
    <w:rsid w:val="00FE03F7"/>
    <w:rsid w:val="00FE258B"/>
    <w:rsid w:val="00FE35AA"/>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6D0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06182"/>
    <w:pPr>
      <w:ind w:left="720"/>
      <w:contextualSpacing/>
    </w:pPr>
  </w:style>
  <w:style w:type="paragraph" w:styleId="Nagwek">
    <w:name w:val="header"/>
    <w:basedOn w:val="Normalny"/>
    <w:link w:val="NagwekZnak"/>
    <w:uiPriority w:val="99"/>
    <w:unhideWhenUsed/>
    <w:rsid w:val="0030389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303894"/>
    <w:rPr>
      <w:lang w:val="pl-PL"/>
    </w:rPr>
  </w:style>
  <w:style w:type="paragraph" w:styleId="Stopka">
    <w:name w:val="footer"/>
    <w:basedOn w:val="Normalny"/>
    <w:link w:val="StopkaZnak"/>
    <w:uiPriority w:val="99"/>
    <w:unhideWhenUsed/>
    <w:rsid w:val="0030389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303894"/>
    <w:rPr>
      <w:lang w:val="pl-PL"/>
    </w:rPr>
  </w:style>
  <w:style w:type="character" w:styleId="Hipercze">
    <w:name w:val="Hyperlink"/>
    <w:basedOn w:val="Domylnaczcionkaakapitu"/>
    <w:uiPriority w:val="99"/>
    <w:unhideWhenUsed/>
    <w:rsid w:val="00F00EA7"/>
    <w:rPr>
      <w:color w:val="0563C1" w:themeColor="hyperlink"/>
      <w:u w:val="single"/>
    </w:rPr>
  </w:style>
  <w:style w:type="character" w:customStyle="1" w:styleId="UnresolvedMention">
    <w:name w:val="Unresolved Mention"/>
    <w:basedOn w:val="Domylnaczcionkaakapitu"/>
    <w:uiPriority w:val="99"/>
    <w:semiHidden/>
    <w:unhideWhenUsed/>
    <w:rsid w:val="00F00EA7"/>
    <w:rPr>
      <w:color w:val="605E5C"/>
      <w:shd w:val="clear" w:color="auto" w:fill="E1DFDD"/>
    </w:rPr>
  </w:style>
  <w:style w:type="character" w:styleId="UyteHipercze">
    <w:name w:val="FollowedHyperlink"/>
    <w:basedOn w:val="Domylnaczcionkaakapitu"/>
    <w:uiPriority w:val="99"/>
    <w:semiHidden/>
    <w:unhideWhenUsed/>
    <w:rsid w:val="00F00EA7"/>
    <w:rPr>
      <w:color w:val="954F72" w:themeColor="followedHyperlink"/>
      <w:u w:val="single"/>
    </w:rPr>
  </w:style>
  <w:style w:type="paragraph" w:styleId="Tekstprzypisudolnego">
    <w:name w:val="footnote text"/>
    <w:basedOn w:val="Normalny"/>
    <w:link w:val="TekstprzypisudolnegoZnak"/>
    <w:uiPriority w:val="99"/>
    <w:semiHidden/>
    <w:unhideWhenUsed/>
    <w:rsid w:val="00BA1ED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A1EDF"/>
    <w:rPr>
      <w:sz w:val="20"/>
      <w:szCs w:val="20"/>
      <w:lang w:val="pl-PL"/>
    </w:rPr>
  </w:style>
  <w:style w:type="character" w:styleId="Odwoanieprzypisudolnego">
    <w:name w:val="footnote reference"/>
    <w:basedOn w:val="Domylnaczcionkaakapitu"/>
    <w:uiPriority w:val="99"/>
    <w:semiHidden/>
    <w:unhideWhenUsed/>
    <w:rsid w:val="00BA1EDF"/>
    <w:rPr>
      <w:vertAlign w:val="superscript"/>
    </w:rPr>
  </w:style>
  <w:style w:type="paragraph" w:styleId="Tekstdymka">
    <w:name w:val="Balloon Text"/>
    <w:basedOn w:val="Normalny"/>
    <w:link w:val="TekstdymkaZnak"/>
    <w:uiPriority w:val="99"/>
    <w:semiHidden/>
    <w:unhideWhenUsed/>
    <w:rsid w:val="00D108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108A8"/>
    <w:rPr>
      <w:rFonts w:ascii="Segoe UI" w:hAnsi="Segoe UI" w:cs="Segoe UI"/>
      <w:sz w:val="18"/>
      <w:szCs w:val="18"/>
      <w:lang w:val="pl-PL"/>
    </w:rPr>
  </w:style>
  <w:style w:type="character" w:styleId="Pogrubienie">
    <w:name w:val="Strong"/>
    <w:basedOn w:val="Domylnaczcionkaakapitu"/>
    <w:uiPriority w:val="22"/>
    <w:qFormat/>
    <w:rsid w:val="00FE35AA"/>
    <w:rPr>
      <w:b/>
      <w:bCs/>
    </w:rPr>
  </w:style>
  <w:style w:type="paragraph" w:customStyle="1" w:styleId="Test">
    <w:name w:val="Test!"/>
    <w:basedOn w:val="Normalny"/>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6D0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06182"/>
    <w:pPr>
      <w:ind w:left="720"/>
      <w:contextualSpacing/>
    </w:pPr>
  </w:style>
  <w:style w:type="paragraph" w:styleId="Nagwek">
    <w:name w:val="header"/>
    <w:basedOn w:val="Normalny"/>
    <w:link w:val="NagwekZnak"/>
    <w:uiPriority w:val="99"/>
    <w:unhideWhenUsed/>
    <w:rsid w:val="0030389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303894"/>
    <w:rPr>
      <w:lang w:val="pl-PL"/>
    </w:rPr>
  </w:style>
  <w:style w:type="paragraph" w:styleId="Stopka">
    <w:name w:val="footer"/>
    <w:basedOn w:val="Normalny"/>
    <w:link w:val="StopkaZnak"/>
    <w:uiPriority w:val="99"/>
    <w:unhideWhenUsed/>
    <w:rsid w:val="0030389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303894"/>
    <w:rPr>
      <w:lang w:val="pl-PL"/>
    </w:rPr>
  </w:style>
  <w:style w:type="character" w:styleId="Hipercze">
    <w:name w:val="Hyperlink"/>
    <w:basedOn w:val="Domylnaczcionkaakapitu"/>
    <w:uiPriority w:val="99"/>
    <w:unhideWhenUsed/>
    <w:rsid w:val="00F00EA7"/>
    <w:rPr>
      <w:color w:val="0563C1" w:themeColor="hyperlink"/>
      <w:u w:val="single"/>
    </w:rPr>
  </w:style>
  <w:style w:type="character" w:customStyle="1" w:styleId="UnresolvedMention">
    <w:name w:val="Unresolved Mention"/>
    <w:basedOn w:val="Domylnaczcionkaakapitu"/>
    <w:uiPriority w:val="99"/>
    <w:semiHidden/>
    <w:unhideWhenUsed/>
    <w:rsid w:val="00F00EA7"/>
    <w:rPr>
      <w:color w:val="605E5C"/>
      <w:shd w:val="clear" w:color="auto" w:fill="E1DFDD"/>
    </w:rPr>
  </w:style>
  <w:style w:type="character" w:styleId="UyteHipercze">
    <w:name w:val="FollowedHyperlink"/>
    <w:basedOn w:val="Domylnaczcionkaakapitu"/>
    <w:uiPriority w:val="99"/>
    <w:semiHidden/>
    <w:unhideWhenUsed/>
    <w:rsid w:val="00F00EA7"/>
    <w:rPr>
      <w:color w:val="954F72" w:themeColor="followedHyperlink"/>
      <w:u w:val="single"/>
    </w:rPr>
  </w:style>
  <w:style w:type="paragraph" w:styleId="Tekstprzypisudolnego">
    <w:name w:val="footnote text"/>
    <w:basedOn w:val="Normalny"/>
    <w:link w:val="TekstprzypisudolnegoZnak"/>
    <w:uiPriority w:val="99"/>
    <w:semiHidden/>
    <w:unhideWhenUsed/>
    <w:rsid w:val="00BA1ED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A1EDF"/>
    <w:rPr>
      <w:sz w:val="20"/>
      <w:szCs w:val="20"/>
      <w:lang w:val="pl-PL"/>
    </w:rPr>
  </w:style>
  <w:style w:type="character" w:styleId="Odwoanieprzypisudolnego">
    <w:name w:val="footnote reference"/>
    <w:basedOn w:val="Domylnaczcionkaakapitu"/>
    <w:uiPriority w:val="99"/>
    <w:semiHidden/>
    <w:unhideWhenUsed/>
    <w:rsid w:val="00BA1EDF"/>
    <w:rPr>
      <w:vertAlign w:val="superscript"/>
    </w:rPr>
  </w:style>
  <w:style w:type="paragraph" w:styleId="Tekstdymka">
    <w:name w:val="Balloon Text"/>
    <w:basedOn w:val="Normalny"/>
    <w:link w:val="TekstdymkaZnak"/>
    <w:uiPriority w:val="99"/>
    <w:semiHidden/>
    <w:unhideWhenUsed/>
    <w:rsid w:val="00D108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108A8"/>
    <w:rPr>
      <w:rFonts w:ascii="Segoe UI" w:hAnsi="Segoe UI" w:cs="Segoe UI"/>
      <w:sz w:val="18"/>
      <w:szCs w:val="18"/>
      <w:lang w:val="pl-PL"/>
    </w:rPr>
  </w:style>
  <w:style w:type="character" w:styleId="Pogrubienie">
    <w:name w:val="Strong"/>
    <w:basedOn w:val="Domylnaczcionkaakapitu"/>
    <w:uiPriority w:val="22"/>
    <w:qFormat/>
    <w:rsid w:val="00FE35AA"/>
    <w:rPr>
      <w:b/>
      <w:bCs/>
    </w:rPr>
  </w:style>
  <w:style w:type="paragraph" w:customStyle="1" w:styleId="Test">
    <w:name w:val="Test!"/>
    <w:basedOn w:val="Normalny"/>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Home.aspx" TargetMode="External"/><Relationship Id="rId18" Type="http://schemas.openxmlformats.org/officeDocument/2006/relationships/hyperlink" Target="https://www.ejn-crimjust.europa.eu/ejn/libcategories/EN/32/-1/-1/-1" TargetMode="External"/><Relationship Id="rId26" Type="http://schemas.openxmlformats.org/officeDocument/2006/relationships/hyperlink" Target="https://www.ejn-crimjust.europa.eu/ejn/libdocumentproperties/EN/1720" TargetMode="External"/><Relationship Id="rId39" Type="http://schemas.openxmlformats.org/officeDocument/2006/relationships/image" Target="media/image11.png"/><Relationship Id="rId21" Type="http://schemas.openxmlformats.org/officeDocument/2006/relationships/hyperlink" Target="https://www.ejn-crimjust.europa.eu/ejn/AtlasChooseCountry/EN"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jn-crimjust.europa.eu/ejn/libcategories/EN/32/-1/-1/-1"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jn-crimjust.europa.eu/ejn/libdocumentproperties/EN/1720" TargetMode="External"/><Relationship Id="rId24" Type="http://schemas.openxmlformats.org/officeDocument/2006/relationships/hyperlink" Target="https://www.ejn-crimjust.europa.eu/ejn/AtlasChooseCountry/EN"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jn-crimjust.europa.eu/ejn/libcategories/EN/32/-1/-1/-1" TargetMode="External"/><Relationship Id="rId23" Type="http://schemas.openxmlformats.org/officeDocument/2006/relationships/hyperlink" Target="https://www.ejn-crimjust.europa.eu/ejn/AtlasChooseCountry/EN" TargetMode="External"/><Relationship Id="rId28" Type="http://schemas.openxmlformats.org/officeDocument/2006/relationships/hyperlink" Target="https://www.ejn-crimjust.europa.eu/ejn/libdocumentproperties/EN/3152"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yperlink" Target="https://www.ejn-crimjust.europa.eu/ejn/libdocumentproperties/EN/3155" TargetMode="External"/><Relationship Id="rId19" Type="http://schemas.openxmlformats.org/officeDocument/2006/relationships/hyperlink" Target="https://www.ejn-crimjust.europa.eu/ejn/libcategories/EN/32/-1/-1/-1"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ejn-crimjust.europa.eu/ejn/libdocumentproperties/EN/2120" TargetMode="External"/><Relationship Id="rId14" Type="http://schemas.openxmlformats.org/officeDocument/2006/relationships/hyperlink" Target="https://www.ejn-crimjust.europa.eu/ejn/EJN_Library_StatusOfImpByCat.aspx?l=EN&amp;CategoryId=120" TargetMode="External"/><Relationship Id="rId22" Type="http://schemas.openxmlformats.org/officeDocument/2006/relationships/hyperlink" Target="mailto:cis.bxl@just.fgov.be" TargetMode="External"/><Relationship Id="rId27" Type="http://schemas.openxmlformats.org/officeDocument/2006/relationships/hyperlink" Target="https://www.ejn-crimjust.europa.eu/ejn/libdocumentproperties/EN/3155"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ww.ejn-crimjust.europa.eu" TargetMode="External"/><Relationship Id="rId17" Type="http://schemas.openxmlformats.org/officeDocument/2006/relationships/hyperlink" Target="https://www.ejn-crimjust.europa.eu/ejn/EJN_Library_RatificationsByCou/EN" TargetMode="External"/><Relationship Id="rId25" Type="http://schemas.openxmlformats.org/officeDocument/2006/relationships/hyperlink" Target="https://www.ejn-crimjust.europa.eu/ejn/libdocumentproperties/EN/2120"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hyperlink" Target="https://www.ejn-crimjust.europa.eu/ejn/libdocumentproperties/EN/2131"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13548-C3F6-4EF1-A7D8-4BF44DEC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7032</Words>
  <Characters>42193</Characters>
  <Application>Microsoft Office Word</Application>
  <DocSecurity>0</DocSecurity>
  <Lines>351</Lines>
  <Paragraphs>98</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www.vivalang.pl</Company>
  <LinksUpToDate>false</LinksUpToDate>
  <CharactersWithSpaces>49127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www.vivalang.pl</dc:creator>
  <cp:keywords/>
  <dc:description/>
  <cp:lastModifiedBy>Grzegorz Kucharczyk</cp:lastModifiedBy>
  <cp:revision>531</cp:revision>
  <cp:lastPrinted>2020-05-05T15:31:00Z</cp:lastPrinted>
  <dcterms:created xsi:type="dcterms:W3CDTF">2020-02-17T12:44:00Z</dcterms:created>
  <dcterms:modified xsi:type="dcterms:W3CDTF">2021-03-31T07:07:00Z</dcterms:modified>
</cp:coreProperties>
</file>