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EC303C" w14:textId="6DF95489" w:rsidR="00C203AA" w:rsidRPr="000A4609" w:rsidRDefault="00C203AA" w:rsidP="000A4609">
      <w:pPr>
        <w:jc w:val="center"/>
        <w:rPr>
          <w:rFonts w:ascii="Times New Roman" w:hAnsi="Times New Roman" w:cs="Times New Roman"/>
          <w:b/>
          <w:bCs/>
          <w:sz w:val="32"/>
          <w:szCs w:val="32"/>
        </w:rPr>
      </w:pPr>
      <w:bookmarkStart w:id="0" w:name="_GoBack"/>
    </w:p>
    <w:p w14:paraId="112CFFB0" w14:textId="77777777" w:rsidR="00C203AA" w:rsidRPr="000A4609" w:rsidRDefault="00C203AA" w:rsidP="000A4609">
      <w:pPr>
        <w:jc w:val="center"/>
        <w:rPr>
          <w:rFonts w:ascii="Times New Roman" w:hAnsi="Times New Roman" w:cs="Times New Roman"/>
          <w:b/>
          <w:bCs/>
          <w:sz w:val="32"/>
          <w:szCs w:val="32"/>
        </w:rPr>
      </w:pPr>
    </w:p>
    <w:p w14:paraId="6030B7E4" w14:textId="068E7413" w:rsidR="00C32F52" w:rsidRPr="000A4609" w:rsidRDefault="00C203AA" w:rsidP="000A4609">
      <w:pPr>
        <w:jc w:val="center"/>
        <w:rPr>
          <w:rFonts w:ascii="Times New Roman" w:hAnsi="Times New Roman" w:cs="Times New Roman"/>
          <w:b/>
          <w:bCs/>
          <w:sz w:val="36"/>
          <w:szCs w:val="28"/>
        </w:rPr>
      </w:pPr>
      <w:r>
        <w:rPr>
          <w:rFonts w:ascii="Times New Roman" w:hAnsi="Times New Roman"/>
          <w:b/>
          <w:sz w:val="36"/>
        </w:rPr>
        <w:t>Wzajemne uznawanie II.</w:t>
      </w:r>
    </w:p>
    <w:p w14:paraId="015AB92E" w14:textId="1DC86DAC" w:rsidR="00C32F52" w:rsidRPr="000A4609" w:rsidRDefault="00C32F52" w:rsidP="000A4609">
      <w:pPr>
        <w:jc w:val="center"/>
        <w:rPr>
          <w:rFonts w:ascii="Times New Roman" w:hAnsi="Times New Roman" w:cs="Times New Roman"/>
          <w:b/>
          <w:bCs/>
          <w:sz w:val="28"/>
          <w:szCs w:val="28"/>
        </w:rPr>
      </w:pPr>
      <w:r>
        <w:rPr>
          <w:rFonts w:ascii="Times New Roman" w:hAnsi="Times New Roman"/>
          <w:b/>
          <w:sz w:val="28"/>
        </w:rPr>
        <w:t xml:space="preserve">Decyzja ramowa Rady 2009/829/WSiSW z dnia 23 października 2009 r. </w:t>
      </w:r>
      <w:bookmarkStart w:id="1" w:name="_Hlk35245859"/>
      <w:r>
        <w:rPr>
          <w:rFonts w:ascii="Times New Roman" w:hAnsi="Times New Roman"/>
          <w:b/>
          <w:sz w:val="28"/>
        </w:rPr>
        <w:t>w sprawie stosowania przez państwa członkowskie UE zasady wzajemnego uznawania do decyzji w sprawie środków nadzoru stanowiących alternatywę dla tymczasowego aresztowania</w:t>
      </w:r>
      <w:bookmarkEnd w:id="1"/>
    </w:p>
    <w:p w14:paraId="066BAD24" w14:textId="2A1E60EC" w:rsidR="00C203AA" w:rsidRPr="000A4609" w:rsidRDefault="00C203AA" w:rsidP="000A4609">
      <w:pPr>
        <w:jc w:val="center"/>
        <w:rPr>
          <w:rFonts w:ascii="Times New Roman" w:hAnsi="Times New Roman" w:cs="Times New Roman"/>
          <w:bCs/>
          <w:i/>
          <w:sz w:val="28"/>
          <w:szCs w:val="28"/>
        </w:rPr>
      </w:pPr>
      <w:r>
        <w:rPr>
          <w:rFonts w:ascii="Times New Roman" w:hAnsi="Times New Roman"/>
          <w:i/>
          <w:sz w:val="28"/>
        </w:rPr>
        <w:t>Zestaw studiów przypadku – przewodnik dla prowadzących szkolenie</w:t>
      </w:r>
    </w:p>
    <w:p w14:paraId="14DC724C" w14:textId="2D241090" w:rsidR="00C32F52" w:rsidRPr="000A4609" w:rsidRDefault="00C32F52" w:rsidP="000A4609">
      <w:pPr>
        <w:rPr>
          <w:rFonts w:ascii="Times New Roman" w:hAnsi="Times New Roman" w:cs="Times New Roman"/>
          <w:b/>
          <w:bCs/>
          <w:sz w:val="28"/>
          <w:szCs w:val="28"/>
        </w:rPr>
      </w:pPr>
    </w:p>
    <w:p w14:paraId="5B9C3D2D" w14:textId="77777777" w:rsidR="00C203AA" w:rsidRPr="000A4609" w:rsidRDefault="00C203AA" w:rsidP="000A4609">
      <w:pPr>
        <w:rPr>
          <w:rFonts w:ascii="Times New Roman" w:hAnsi="Times New Roman" w:cs="Times New Roman"/>
          <w:b/>
          <w:bCs/>
          <w:sz w:val="28"/>
          <w:szCs w:val="28"/>
        </w:rPr>
      </w:pPr>
    </w:p>
    <w:p w14:paraId="7EE3B2E2" w14:textId="77777777" w:rsidR="00C203AA" w:rsidRPr="000A4609" w:rsidRDefault="00C203AA" w:rsidP="000A4609">
      <w:pPr>
        <w:spacing w:after="0"/>
        <w:rPr>
          <w:rFonts w:ascii="Times New Roman" w:hAnsi="Times New Roman" w:cs="Times New Roman"/>
          <w:bCs/>
          <w:sz w:val="32"/>
          <w:szCs w:val="28"/>
        </w:rPr>
      </w:pPr>
      <w:bookmarkStart w:id="2" w:name="_Hlk54274199"/>
      <w:r>
        <w:rPr>
          <w:rFonts w:ascii="Times New Roman" w:hAnsi="Times New Roman"/>
          <w:sz w:val="32"/>
        </w:rPr>
        <w:t>Autor:</w:t>
      </w:r>
    </w:p>
    <w:p w14:paraId="0052969F" w14:textId="77777777" w:rsidR="00C203AA" w:rsidRPr="000A4609" w:rsidRDefault="00C203AA" w:rsidP="000A4609">
      <w:pPr>
        <w:spacing w:after="0"/>
        <w:rPr>
          <w:rFonts w:ascii="Times New Roman" w:hAnsi="Times New Roman" w:cs="Times New Roman"/>
          <w:bCs/>
          <w:i/>
          <w:sz w:val="28"/>
          <w:szCs w:val="28"/>
        </w:rPr>
      </w:pPr>
      <w:r>
        <w:rPr>
          <w:rFonts w:ascii="Times New Roman" w:hAnsi="Times New Roman"/>
          <w:i/>
          <w:sz w:val="28"/>
        </w:rPr>
        <w:t>Daniel Constantin Motoi</w:t>
      </w:r>
    </w:p>
    <w:p w14:paraId="7B68F174" w14:textId="77777777" w:rsidR="00C203AA" w:rsidRPr="000A4609" w:rsidRDefault="00C203AA" w:rsidP="000A4609">
      <w:pPr>
        <w:spacing w:after="0"/>
        <w:rPr>
          <w:rFonts w:ascii="Times New Roman" w:hAnsi="Times New Roman" w:cs="Times New Roman"/>
          <w:bCs/>
          <w:i/>
          <w:sz w:val="28"/>
          <w:szCs w:val="28"/>
        </w:rPr>
      </w:pPr>
      <w:r>
        <w:rPr>
          <w:rFonts w:ascii="Times New Roman" w:hAnsi="Times New Roman"/>
          <w:i/>
          <w:sz w:val="28"/>
        </w:rPr>
        <w:t xml:space="preserve">Sędzia, </w:t>
      </w:r>
    </w:p>
    <w:p w14:paraId="0403E8FB" w14:textId="77777777" w:rsidR="00C203AA" w:rsidRPr="000A4609" w:rsidRDefault="00C203AA" w:rsidP="000A4609">
      <w:pPr>
        <w:spacing w:after="0"/>
        <w:rPr>
          <w:rFonts w:ascii="Times New Roman" w:hAnsi="Times New Roman" w:cs="Times New Roman"/>
          <w:bCs/>
          <w:i/>
          <w:sz w:val="28"/>
          <w:szCs w:val="28"/>
        </w:rPr>
      </w:pPr>
      <w:r>
        <w:rPr>
          <w:rFonts w:ascii="Times New Roman" w:hAnsi="Times New Roman"/>
          <w:i/>
          <w:sz w:val="28"/>
        </w:rPr>
        <w:t>Sąd Pierwszej Instancji, IV okręg, Bukareszt</w:t>
      </w:r>
    </w:p>
    <w:p w14:paraId="250D8E06" w14:textId="77777777" w:rsidR="00C203AA" w:rsidRPr="000A4609" w:rsidRDefault="00C203AA" w:rsidP="000A4609">
      <w:pPr>
        <w:rPr>
          <w:rFonts w:ascii="Times New Roman" w:hAnsi="Times New Roman" w:cs="Times New Roman"/>
          <w:bCs/>
          <w:sz w:val="28"/>
          <w:szCs w:val="28"/>
          <w:lang w:val="en-US"/>
        </w:rPr>
      </w:pPr>
    </w:p>
    <w:p w14:paraId="140E2F6F" w14:textId="77777777" w:rsidR="00C203AA" w:rsidRPr="000A4609" w:rsidRDefault="00C203AA" w:rsidP="000A4609">
      <w:pPr>
        <w:pBdr>
          <w:top w:val="single" w:sz="4" w:space="1" w:color="auto"/>
          <w:left w:val="single" w:sz="4" w:space="4" w:color="auto"/>
          <w:bottom w:val="single" w:sz="4" w:space="1" w:color="auto"/>
          <w:right w:val="single" w:sz="4" w:space="4" w:color="auto"/>
        </w:pBdr>
        <w:spacing w:after="0" w:line="276" w:lineRule="auto"/>
        <w:jc w:val="center"/>
        <w:rPr>
          <w:rStyle w:val="Pogrubienie"/>
          <w:rFonts w:ascii="Times New Roman" w:hAnsi="Times New Roman" w:cs="Times New Roman"/>
          <w:i/>
          <w:color w:val="000000"/>
          <w:sz w:val="32"/>
          <w:szCs w:val="28"/>
        </w:rPr>
      </w:pPr>
      <w:r>
        <w:rPr>
          <w:rStyle w:val="Pogrubienie"/>
          <w:rFonts w:ascii="Times New Roman" w:hAnsi="Times New Roman"/>
          <w:i/>
          <w:color w:val="000000"/>
          <w:sz w:val="32"/>
        </w:rPr>
        <w:t>Spis treści</w:t>
      </w:r>
    </w:p>
    <w:p w14:paraId="7F3E7216" w14:textId="77777777" w:rsidR="00C203AA" w:rsidRPr="000A4609" w:rsidRDefault="00C203AA" w:rsidP="000A4609">
      <w:pPr>
        <w:pBdr>
          <w:top w:val="single" w:sz="4" w:space="1" w:color="auto"/>
          <w:left w:val="single" w:sz="4" w:space="4" w:color="auto"/>
          <w:bottom w:val="single" w:sz="4" w:space="1" w:color="auto"/>
          <w:right w:val="single" w:sz="4" w:space="4" w:color="auto"/>
        </w:pBdr>
        <w:spacing w:after="0" w:line="276" w:lineRule="auto"/>
        <w:rPr>
          <w:rStyle w:val="Pogrubienie"/>
          <w:rFonts w:ascii="Times New Roman" w:hAnsi="Times New Roman" w:cs="Times New Roman"/>
          <w:color w:val="000000"/>
          <w:sz w:val="28"/>
          <w:szCs w:val="28"/>
        </w:rPr>
      </w:pPr>
    </w:p>
    <w:p w14:paraId="19ABC21C"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color w:val="000000"/>
          <w:sz w:val="28"/>
          <w:szCs w:val="28"/>
        </w:rPr>
      </w:pPr>
      <w:r>
        <w:rPr>
          <w:rStyle w:val="Pogrubienie"/>
          <w:rFonts w:ascii="Times New Roman" w:hAnsi="Times New Roman"/>
          <w:color w:val="000000"/>
          <w:sz w:val="28"/>
        </w:rPr>
        <w:t xml:space="preserve">A. </w:t>
      </w:r>
      <w:r>
        <w:rPr>
          <w:rStyle w:val="Pogrubienie"/>
          <w:rFonts w:ascii="Times New Roman" w:hAnsi="Times New Roman"/>
          <w:color w:val="000000"/>
          <w:sz w:val="28"/>
        </w:rPr>
        <w:tab/>
        <w:t>Studia przypadku</w:t>
      </w:r>
      <w:r>
        <w:rPr>
          <w:rStyle w:val="Pogrubienie"/>
          <w:rFonts w:ascii="Times New Roman" w:hAnsi="Times New Roman"/>
          <w:color w:val="000000"/>
          <w:sz w:val="28"/>
        </w:rPr>
        <w:tab/>
        <w:t>1</w:t>
      </w:r>
    </w:p>
    <w:p w14:paraId="6D42796C" w14:textId="061F8B4A"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rPr>
      </w:pPr>
      <w:r>
        <w:rPr>
          <w:rStyle w:val="Pogrubienie"/>
          <w:rFonts w:ascii="Times New Roman" w:hAnsi="Times New Roman"/>
          <w:b w:val="0"/>
          <w:color w:val="000000"/>
          <w:sz w:val="28"/>
        </w:rPr>
        <w:t xml:space="preserve">I. </w:t>
      </w:r>
      <w:r w:rsidR="00B86907">
        <w:rPr>
          <w:rStyle w:val="Pogrubienie"/>
          <w:rFonts w:ascii="Times New Roman" w:hAnsi="Times New Roman"/>
          <w:b w:val="0"/>
          <w:color w:val="000000"/>
          <w:sz w:val="28"/>
        </w:rPr>
        <w:tab/>
      </w:r>
      <w:r>
        <w:rPr>
          <w:rStyle w:val="Pogrubienie"/>
          <w:rFonts w:ascii="Times New Roman" w:hAnsi="Times New Roman"/>
          <w:b w:val="0"/>
          <w:color w:val="000000"/>
          <w:sz w:val="28"/>
        </w:rPr>
        <w:t xml:space="preserve">Scenariusz wprowadzający; Pytania </w:t>
      </w:r>
      <w:r w:rsidR="00B86907">
        <w:rPr>
          <w:rStyle w:val="Pogrubienie"/>
          <w:rFonts w:ascii="Times New Roman" w:hAnsi="Times New Roman"/>
          <w:b w:val="0"/>
          <w:color w:val="000000"/>
          <w:sz w:val="28"/>
        </w:rPr>
        <w:tab/>
      </w:r>
      <w:r>
        <w:rPr>
          <w:rStyle w:val="Pogrubienie"/>
          <w:rFonts w:ascii="Times New Roman" w:hAnsi="Times New Roman"/>
          <w:b w:val="0"/>
          <w:color w:val="000000"/>
          <w:sz w:val="28"/>
        </w:rPr>
        <w:t>1</w:t>
      </w:r>
    </w:p>
    <w:p w14:paraId="2A39087D" w14:textId="032F3F06"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rPr>
      </w:pPr>
      <w:r>
        <w:rPr>
          <w:rStyle w:val="Pogrubienie"/>
          <w:rFonts w:ascii="Times New Roman" w:hAnsi="Times New Roman"/>
          <w:b w:val="0"/>
          <w:color w:val="000000"/>
          <w:sz w:val="28"/>
        </w:rPr>
        <w:t xml:space="preserve">II. </w:t>
      </w:r>
      <w:r>
        <w:rPr>
          <w:rStyle w:val="Pogrubienie"/>
          <w:rFonts w:ascii="Times New Roman" w:hAnsi="Times New Roman"/>
          <w:b w:val="0"/>
          <w:color w:val="000000"/>
          <w:sz w:val="28"/>
        </w:rPr>
        <w:tab/>
        <w:t xml:space="preserve">Ćwiczenia </w:t>
      </w:r>
      <w:r w:rsidR="00B86907">
        <w:rPr>
          <w:rStyle w:val="Pogrubienie"/>
          <w:rFonts w:ascii="Times New Roman" w:hAnsi="Times New Roman"/>
          <w:b w:val="0"/>
          <w:color w:val="000000"/>
          <w:sz w:val="28"/>
        </w:rPr>
        <w:tab/>
      </w:r>
      <w:r>
        <w:rPr>
          <w:rStyle w:val="Pogrubienie"/>
          <w:rFonts w:ascii="Times New Roman" w:hAnsi="Times New Roman"/>
          <w:b w:val="0"/>
          <w:color w:val="000000"/>
          <w:sz w:val="28"/>
        </w:rPr>
        <w:t>2</w:t>
      </w:r>
    </w:p>
    <w:p w14:paraId="69077EBF" w14:textId="469171F1"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rPr>
      </w:pPr>
      <w:r>
        <w:rPr>
          <w:rStyle w:val="Pogrubienie"/>
          <w:rFonts w:ascii="Times New Roman" w:hAnsi="Times New Roman"/>
          <w:b w:val="0"/>
          <w:color w:val="000000"/>
          <w:sz w:val="28"/>
        </w:rPr>
        <w:t xml:space="preserve">III. </w:t>
      </w:r>
      <w:r>
        <w:rPr>
          <w:rStyle w:val="Pogrubienie"/>
          <w:rFonts w:ascii="Times New Roman" w:hAnsi="Times New Roman"/>
          <w:b w:val="0"/>
          <w:color w:val="000000"/>
          <w:sz w:val="28"/>
        </w:rPr>
        <w:tab/>
        <w:t xml:space="preserve">Scenariusz przypadku; Pytania </w:t>
      </w:r>
      <w:r w:rsidR="00B86907">
        <w:rPr>
          <w:rStyle w:val="Pogrubienie"/>
          <w:rFonts w:ascii="Times New Roman" w:hAnsi="Times New Roman"/>
          <w:b w:val="0"/>
          <w:color w:val="000000"/>
          <w:sz w:val="28"/>
        </w:rPr>
        <w:tab/>
      </w:r>
      <w:r>
        <w:rPr>
          <w:rStyle w:val="Pogrubienie"/>
          <w:rFonts w:ascii="Times New Roman" w:hAnsi="Times New Roman"/>
          <w:b w:val="0"/>
          <w:color w:val="000000"/>
          <w:sz w:val="28"/>
        </w:rPr>
        <w:t>2</w:t>
      </w:r>
    </w:p>
    <w:p w14:paraId="5F964F55"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rPr>
      </w:pPr>
    </w:p>
    <w:p w14:paraId="246E69F0" w14:textId="571A656B"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color w:val="000000"/>
          <w:sz w:val="28"/>
          <w:szCs w:val="28"/>
        </w:rPr>
      </w:pPr>
      <w:r>
        <w:rPr>
          <w:rStyle w:val="Pogrubienie"/>
          <w:rFonts w:ascii="Times New Roman" w:hAnsi="Times New Roman"/>
          <w:color w:val="000000"/>
          <w:sz w:val="28"/>
        </w:rPr>
        <w:t xml:space="preserve">B. </w:t>
      </w:r>
      <w:r w:rsidR="00B86907">
        <w:rPr>
          <w:rStyle w:val="Pogrubienie"/>
          <w:rFonts w:ascii="Times New Roman" w:hAnsi="Times New Roman"/>
          <w:color w:val="000000"/>
          <w:sz w:val="28"/>
        </w:rPr>
        <w:tab/>
      </w:r>
      <w:r>
        <w:rPr>
          <w:rStyle w:val="Pogrubienie"/>
          <w:rFonts w:ascii="Times New Roman" w:hAnsi="Times New Roman"/>
          <w:color w:val="000000"/>
          <w:sz w:val="28"/>
        </w:rPr>
        <w:t xml:space="preserve">Dodatkowe uwagi dla prowadzących szkolenie dotyczące przypadków </w:t>
      </w:r>
      <w:r w:rsidR="00B86907">
        <w:rPr>
          <w:rStyle w:val="Pogrubienie"/>
          <w:rFonts w:ascii="Times New Roman" w:hAnsi="Times New Roman"/>
          <w:color w:val="000000"/>
          <w:sz w:val="28"/>
        </w:rPr>
        <w:tab/>
      </w:r>
      <w:r>
        <w:rPr>
          <w:rStyle w:val="Pogrubienie"/>
          <w:rFonts w:ascii="Times New Roman" w:hAnsi="Times New Roman"/>
          <w:color w:val="000000"/>
          <w:sz w:val="28"/>
        </w:rPr>
        <w:t>4</w:t>
      </w:r>
    </w:p>
    <w:p w14:paraId="3AE2F1E8"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rPr>
      </w:pPr>
    </w:p>
    <w:p w14:paraId="2F672354" w14:textId="79DB5A85"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color w:val="000000"/>
          <w:sz w:val="28"/>
          <w:szCs w:val="28"/>
        </w:rPr>
      </w:pPr>
      <w:r>
        <w:rPr>
          <w:rStyle w:val="Pogrubienie"/>
          <w:rFonts w:ascii="Times New Roman" w:hAnsi="Times New Roman"/>
          <w:color w:val="000000"/>
          <w:sz w:val="28"/>
        </w:rPr>
        <w:t xml:space="preserve">C. </w:t>
      </w:r>
      <w:r w:rsidR="00B86907">
        <w:rPr>
          <w:rStyle w:val="Pogrubienie"/>
          <w:rFonts w:ascii="Times New Roman" w:hAnsi="Times New Roman"/>
          <w:color w:val="000000"/>
          <w:sz w:val="28"/>
        </w:rPr>
        <w:tab/>
      </w:r>
      <w:r>
        <w:rPr>
          <w:rStyle w:val="Pogrubienie"/>
          <w:rFonts w:ascii="Times New Roman" w:hAnsi="Times New Roman"/>
          <w:color w:val="000000"/>
          <w:sz w:val="28"/>
        </w:rPr>
        <w:t xml:space="preserve">Podejście metodologiczne </w:t>
      </w:r>
      <w:r w:rsidR="00B86907">
        <w:rPr>
          <w:rStyle w:val="Pogrubienie"/>
          <w:rFonts w:ascii="Times New Roman" w:hAnsi="Times New Roman"/>
          <w:color w:val="000000"/>
          <w:sz w:val="28"/>
        </w:rPr>
        <w:tab/>
      </w:r>
      <w:r>
        <w:rPr>
          <w:rStyle w:val="Pogrubienie"/>
          <w:rFonts w:ascii="Times New Roman" w:hAnsi="Times New Roman"/>
          <w:color w:val="000000"/>
          <w:sz w:val="28"/>
        </w:rPr>
        <w:t>5</w:t>
      </w:r>
    </w:p>
    <w:p w14:paraId="22C32363" w14:textId="6F2C8B29"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rPr>
      </w:pPr>
      <w:r>
        <w:rPr>
          <w:rStyle w:val="Pogrubienie"/>
          <w:rFonts w:ascii="Times New Roman" w:hAnsi="Times New Roman"/>
          <w:b w:val="0"/>
          <w:color w:val="000000"/>
          <w:sz w:val="28"/>
        </w:rPr>
        <w:t>I.</w:t>
      </w:r>
      <w:r>
        <w:rPr>
          <w:rStyle w:val="Pogrubienie"/>
          <w:rFonts w:ascii="Times New Roman" w:hAnsi="Times New Roman"/>
          <w:b w:val="0"/>
          <w:color w:val="000000"/>
          <w:sz w:val="28"/>
        </w:rPr>
        <w:tab/>
        <w:t xml:space="preserve">Ogólna idea i podstawowe tematy </w:t>
      </w:r>
      <w:r w:rsidR="00B86907">
        <w:rPr>
          <w:rStyle w:val="Pogrubienie"/>
          <w:rFonts w:ascii="Times New Roman" w:hAnsi="Times New Roman"/>
          <w:b w:val="0"/>
          <w:color w:val="000000"/>
          <w:sz w:val="28"/>
        </w:rPr>
        <w:tab/>
      </w:r>
      <w:r>
        <w:rPr>
          <w:rStyle w:val="Pogrubienie"/>
          <w:rFonts w:ascii="Times New Roman" w:hAnsi="Times New Roman"/>
          <w:b w:val="0"/>
          <w:color w:val="000000"/>
          <w:sz w:val="28"/>
        </w:rPr>
        <w:t>5</w:t>
      </w:r>
    </w:p>
    <w:p w14:paraId="33314696" w14:textId="1AE3A500"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rPr>
      </w:pPr>
      <w:r>
        <w:rPr>
          <w:rStyle w:val="Pogrubienie"/>
          <w:rFonts w:ascii="Times New Roman" w:hAnsi="Times New Roman"/>
          <w:b w:val="0"/>
          <w:color w:val="000000"/>
          <w:sz w:val="28"/>
        </w:rPr>
        <w:t>II.</w:t>
      </w:r>
      <w:r>
        <w:rPr>
          <w:rStyle w:val="Pogrubienie"/>
          <w:rFonts w:ascii="Times New Roman" w:hAnsi="Times New Roman"/>
          <w:b w:val="0"/>
          <w:color w:val="000000"/>
          <w:sz w:val="28"/>
        </w:rPr>
        <w:tab/>
        <w:t xml:space="preserve">Grupy robocze i struktura seminarium </w:t>
      </w:r>
      <w:r w:rsidR="00B86907">
        <w:rPr>
          <w:rStyle w:val="Pogrubienie"/>
          <w:rFonts w:ascii="Times New Roman" w:hAnsi="Times New Roman"/>
          <w:b w:val="0"/>
          <w:color w:val="000000"/>
          <w:sz w:val="28"/>
        </w:rPr>
        <w:tab/>
      </w:r>
      <w:r>
        <w:rPr>
          <w:rStyle w:val="Pogrubienie"/>
          <w:rFonts w:ascii="Times New Roman" w:hAnsi="Times New Roman"/>
          <w:b w:val="0"/>
          <w:color w:val="000000"/>
          <w:sz w:val="28"/>
        </w:rPr>
        <w:t>6</w:t>
      </w:r>
    </w:p>
    <w:p w14:paraId="046DB61F" w14:textId="2A3DA34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rPr>
      </w:pPr>
      <w:r>
        <w:rPr>
          <w:rStyle w:val="Pogrubienie"/>
          <w:rFonts w:ascii="Times New Roman" w:hAnsi="Times New Roman"/>
          <w:b w:val="0"/>
          <w:color w:val="000000"/>
          <w:sz w:val="28"/>
        </w:rPr>
        <w:t>III.</w:t>
      </w:r>
      <w:r>
        <w:rPr>
          <w:rStyle w:val="Pogrubienie"/>
          <w:rFonts w:ascii="Times New Roman" w:hAnsi="Times New Roman"/>
          <w:b w:val="0"/>
          <w:color w:val="000000"/>
          <w:sz w:val="28"/>
        </w:rPr>
        <w:tab/>
        <w:t xml:space="preserve">Materiał dodatkowy </w:t>
      </w:r>
      <w:r w:rsidR="00B86907">
        <w:rPr>
          <w:rStyle w:val="Pogrubienie"/>
          <w:rFonts w:ascii="Times New Roman" w:hAnsi="Times New Roman"/>
          <w:b w:val="0"/>
          <w:color w:val="000000"/>
          <w:sz w:val="28"/>
        </w:rPr>
        <w:tab/>
      </w:r>
      <w:r>
        <w:rPr>
          <w:rStyle w:val="Pogrubienie"/>
          <w:rFonts w:ascii="Times New Roman" w:hAnsi="Times New Roman"/>
          <w:b w:val="0"/>
          <w:color w:val="000000"/>
          <w:sz w:val="28"/>
        </w:rPr>
        <w:t>6</w:t>
      </w:r>
    </w:p>
    <w:p w14:paraId="7FF07DA1"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b w:val="0"/>
          <w:color w:val="000000"/>
          <w:sz w:val="28"/>
          <w:szCs w:val="28"/>
        </w:rPr>
      </w:pPr>
    </w:p>
    <w:p w14:paraId="4810766F" w14:textId="3748246A" w:rsidR="00C203AA"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color w:val="000000"/>
          <w:sz w:val="28"/>
          <w:szCs w:val="28"/>
        </w:rPr>
      </w:pPr>
      <w:r>
        <w:rPr>
          <w:rStyle w:val="Pogrubienie"/>
          <w:rFonts w:ascii="Times New Roman" w:hAnsi="Times New Roman"/>
          <w:color w:val="000000"/>
          <w:sz w:val="28"/>
        </w:rPr>
        <w:t xml:space="preserve">D. </w:t>
      </w:r>
      <w:r w:rsidR="00B86907">
        <w:rPr>
          <w:rStyle w:val="Pogrubienie"/>
          <w:rFonts w:ascii="Times New Roman" w:hAnsi="Times New Roman"/>
          <w:color w:val="000000"/>
          <w:sz w:val="28"/>
        </w:rPr>
        <w:tab/>
      </w:r>
      <w:r>
        <w:rPr>
          <w:rStyle w:val="Pogrubienie"/>
          <w:rFonts w:ascii="Times New Roman" w:hAnsi="Times New Roman"/>
          <w:color w:val="000000"/>
          <w:sz w:val="28"/>
        </w:rPr>
        <w:t xml:space="preserve">Rozwiązania </w:t>
      </w:r>
      <w:r w:rsidR="00B86907">
        <w:rPr>
          <w:rStyle w:val="Pogrubienie"/>
          <w:rFonts w:ascii="Times New Roman" w:hAnsi="Times New Roman"/>
          <w:color w:val="000000"/>
          <w:sz w:val="28"/>
        </w:rPr>
        <w:tab/>
      </w:r>
      <w:r>
        <w:rPr>
          <w:rStyle w:val="Pogrubienie"/>
          <w:rFonts w:ascii="Times New Roman" w:hAnsi="Times New Roman"/>
          <w:color w:val="000000"/>
          <w:sz w:val="28"/>
        </w:rPr>
        <w:t>7</w:t>
      </w:r>
    </w:p>
    <w:p w14:paraId="3CCD4C22" w14:textId="4A901F8D" w:rsidR="00C66F1B" w:rsidRDefault="00C66F1B"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Pogrubienie"/>
          <w:rFonts w:ascii="Times New Roman" w:hAnsi="Times New Roman" w:cs="Times New Roman"/>
          <w:color w:val="000000"/>
          <w:sz w:val="28"/>
          <w:szCs w:val="28"/>
        </w:rPr>
      </w:pPr>
    </w:p>
    <w:p w14:paraId="16174B54" w14:textId="65A9BEBD" w:rsidR="00C66F1B" w:rsidRPr="000A4609" w:rsidRDefault="00C66F1B"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rPr>
      </w:pPr>
      <w:r>
        <w:rPr>
          <w:rStyle w:val="Pogrubienie"/>
          <w:rFonts w:ascii="Times New Roman" w:hAnsi="Times New Roman"/>
          <w:color w:val="000000"/>
          <w:sz w:val="28"/>
        </w:rPr>
        <w:tab/>
        <w:t xml:space="preserve">Załącznik </w:t>
      </w:r>
      <w:r w:rsidR="00B86907">
        <w:rPr>
          <w:rStyle w:val="Pogrubienie"/>
          <w:rFonts w:ascii="Times New Roman" w:hAnsi="Times New Roman"/>
          <w:color w:val="000000"/>
          <w:sz w:val="28"/>
        </w:rPr>
        <w:tab/>
      </w:r>
      <w:r>
        <w:rPr>
          <w:rStyle w:val="Pogrubienie"/>
          <w:rFonts w:ascii="Times New Roman" w:hAnsi="Times New Roman"/>
          <w:color w:val="000000"/>
          <w:sz w:val="28"/>
        </w:rPr>
        <w:t>22</w:t>
      </w:r>
    </w:p>
    <w:bookmarkEnd w:id="2"/>
    <w:p w14:paraId="6B8AF1B1" w14:textId="22FB59C7" w:rsidR="00C203AA" w:rsidRPr="000A4609" w:rsidRDefault="00C203AA" w:rsidP="000A4609">
      <w:pPr>
        <w:rPr>
          <w:rFonts w:ascii="Times New Roman" w:hAnsi="Times New Roman" w:cs="Times New Roman"/>
          <w:bCs/>
          <w:sz w:val="28"/>
          <w:szCs w:val="28"/>
        </w:rPr>
      </w:pPr>
      <w:r>
        <w:br w:type="page"/>
      </w:r>
    </w:p>
    <w:p w14:paraId="261CB360" w14:textId="2207B45A" w:rsidR="00C203AA" w:rsidRPr="000A4609" w:rsidRDefault="00C203AA" w:rsidP="000A4609">
      <w:pPr>
        <w:pStyle w:val="Test"/>
        <w:shd w:val="clear" w:color="auto" w:fill="DED888"/>
        <w:spacing w:after="160"/>
        <w:jc w:val="center"/>
        <w:rPr>
          <w:rStyle w:val="Pogrubienie"/>
          <w:rFonts w:ascii="Times New Roman" w:hAnsi="Times New Roman"/>
          <w:b/>
          <w:bCs w:val="0"/>
          <w:color w:val="2F5496" w:themeColor="accent1" w:themeShade="BF"/>
          <w:sz w:val="32"/>
          <w:szCs w:val="32"/>
        </w:rPr>
      </w:pPr>
      <w:r>
        <w:rPr>
          <w:rStyle w:val="Pogrubienie"/>
          <w:rFonts w:ascii="Times New Roman" w:hAnsi="Times New Roman"/>
          <w:b/>
          <w:color w:val="2F5496" w:themeColor="accent1" w:themeShade="BF"/>
          <w:sz w:val="32"/>
        </w:rPr>
        <w:lastRenderedPageBreak/>
        <w:t>Wzajemne uznawanie II.</w:t>
      </w:r>
    </w:p>
    <w:p w14:paraId="05681744" w14:textId="77777777" w:rsidR="000A4609" w:rsidRDefault="000A4609" w:rsidP="000A4609">
      <w:pPr>
        <w:rPr>
          <w:rFonts w:ascii="Times New Roman" w:hAnsi="Times New Roman" w:cs="Times New Roman"/>
          <w:b/>
          <w:bCs/>
          <w:color w:val="2F5496" w:themeColor="accent1" w:themeShade="BF"/>
          <w:sz w:val="28"/>
          <w:szCs w:val="28"/>
        </w:rPr>
      </w:pPr>
      <w:bookmarkStart w:id="3" w:name="_Hlk35245670"/>
    </w:p>
    <w:p w14:paraId="116100F8" w14:textId="73F47CE3" w:rsidR="00A41040" w:rsidRPr="000A4609" w:rsidRDefault="00383507" w:rsidP="000A4609">
      <w:pPr>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 I. Scenariusz wprowadzający</w:t>
      </w:r>
    </w:p>
    <w:p w14:paraId="647DAD7D" w14:textId="77777777" w:rsidR="009A666E" w:rsidRDefault="009A666E" w:rsidP="009A666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rPr>
      </w:pPr>
      <w:r>
        <w:rPr>
          <w:rFonts w:ascii="Times New Roman" w:hAnsi="Times New Roman"/>
          <w:sz w:val="28"/>
        </w:rPr>
        <w:t>Załóżmy, że przestępca popełnił przestępstwo w Twoim kraju, a właściwy organ zajmujący się sprawą (w zależności od przepisów prawa krajowego – prokurator, sędzia śledczy, sędzia itp.) chce podjąć/złożyć wniosek o wydanie decyzji w sprawie środków nadzoru jako alternatywy dla tymczasowego aresztowania w fazie dochodzenia (mimo że np. warunki do zastosowania tymczasowego aresztowania są również spełnione).</w:t>
      </w:r>
    </w:p>
    <w:p w14:paraId="021A9234" w14:textId="77777777" w:rsidR="002F05D2" w:rsidRPr="000A4609" w:rsidRDefault="002F05D2" w:rsidP="000A4609">
      <w:pPr>
        <w:spacing w:line="240" w:lineRule="auto"/>
        <w:jc w:val="both"/>
        <w:rPr>
          <w:rFonts w:ascii="Times New Roman" w:hAnsi="Times New Roman" w:cs="Times New Roman"/>
          <w:sz w:val="28"/>
          <w:szCs w:val="28"/>
        </w:rPr>
      </w:pPr>
    </w:p>
    <w:p w14:paraId="122AC405" w14:textId="0D1B1E00" w:rsidR="00E0065A" w:rsidRPr="000A4609" w:rsidRDefault="002F05D2" w:rsidP="000A4609">
      <w:pPr>
        <w:spacing w:line="240" w:lineRule="auto"/>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Pytania:</w:t>
      </w:r>
    </w:p>
    <w:p w14:paraId="27AF5F43" w14:textId="4B0B4436" w:rsidR="00A41040" w:rsidRPr="000A4609" w:rsidRDefault="00A41040" w:rsidP="000A4609">
      <w:pPr>
        <w:pStyle w:val="Akapitzlist"/>
        <w:numPr>
          <w:ilvl w:val="0"/>
          <w:numId w:val="2"/>
        </w:numPr>
        <w:spacing w:line="240" w:lineRule="auto"/>
        <w:contextualSpacing w:val="0"/>
        <w:jc w:val="both"/>
        <w:rPr>
          <w:rFonts w:ascii="Times New Roman" w:hAnsi="Times New Roman" w:cs="Times New Roman"/>
          <w:i/>
          <w:sz w:val="28"/>
          <w:szCs w:val="28"/>
        </w:rPr>
      </w:pPr>
      <w:r>
        <w:rPr>
          <w:rFonts w:ascii="Times New Roman" w:hAnsi="Times New Roman"/>
          <w:i/>
          <w:sz w:val="28"/>
        </w:rPr>
        <w:t>Czy w Twoim systemie prawnym istnieją jakieś alternatywne środki wobec tymczasowego aresztowania, które można zastosować w takich przypadkach? Proszę je wskazać i krótko opisać.</w:t>
      </w:r>
    </w:p>
    <w:p w14:paraId="42599A97" w14:textId="0A44A097" w:rsidR="002F05D2" w:rsidRPr="000A4609" w:rsidRDefault="002F05D2" w:rsidP="000A4609">
      <w:pPr>
        <w:pStyle w:val="Akapitzlist"/>
        <w:numPr>
          <w:ilvl w:val="0"/>
          <w:numId w:val="2"/>
        </w:numPr>
        <w:spacing w:line="240" w:lineRule="auto"/>
        <w:contextualSpacing w:val="0"/>
        <w:jc w:val="both"/>
        <w:rPr>
          <w:rFonts w:ascii="Times New Roman" w:hAnsi="Times New Roman" w:cs="Times New Roman"/>
          <w:i/>
          <w:sz w:val="28"/>
          <w:szCs w:val="28"/>
        </w:rPr>
      </w:pPr>
      <w:r>
        <w:rPr>
          <w:rFonts w:ascii="Times New Roman" w:hAnsi="Times New Roman"/>
          <w:i/>
          <w:sz w:val="28"/>
        </w:rPr>
        <w:t xml:space="preserve">Jeżeli takie środki alternatywne istnieją w Twoim systemie prawnym, </w:t>
      </w:r>
      <w:r>
        <w:rPr>
          <w:rFonts w:ascii="Times New Roman" w:hAnsi="Times New Roman"/>
          <w:b/>
          <w:i/>
          <w:sz w:val="28"/>
        </w:rPr>
        <w:t xml:space="preserve">czy mają one zastosowanie na tych samych warunkach do przestępcy, który legalnie przebywa w innym Państwie Członkowskim </w:t>
      </w:r>
      <w:r>
        <w:rPr>
          <w:rFonts w:ascii="Times New Roman" w:hAnsi="Times New Roman"/>
          <w:i/>
          <w:sz w:val="28"/>
        </w:rPr>
        <w:t>i popełnił przestępstwo, a Twoje organy sądowe są właściwe do prowadzenia dochodzenia w tej sprawie? Czy istnieją jakieś szczególne przepisy dotyczące sprawcy przestępstwa, który zgodnie z prawem przebywa w innym państwie członkowskim? Proszę je wskazać i krótko opisać.</w:t>
      </w:r>
    </w:p>
    <w:p w14:paraId="319EE305" w14:textId="7A3EB42A" w:rsidR="00BE5B00" w:rsidRPr="000A4609" w:rsidRDefault="00044EBD" w:rsidP="000A4609">
      <w:pPr>
        <w:pStyle w:val="Akapitzlist"/>
        <w:numPr>
          <w:ilvl w:val="0"/>
          <w:numId w:val="2"/>
        </w:numPr>
        <w:spacing w:line="240" w:lineRule="auto"/>
        <w:contextualSpacing w:val="0"/>
        <w:jc w:val="both"/>
        <w:rPr>
          <w:rFonts w:ascii="Times New Roman" w:hAnsi="Times New Roman" w:cs="Times New Roman"/>
          <w:i/>
          <w:sz w:val="28"/>
          <w:szCs w:val="28"/>
        </w:rPr>
      </w:pPr>
      <w:r>
        <w:rPr>
          <w:rFonts w:ascii="Times New Roman" w:hAnsi="Times New Roman"/>
          <w:i/>
          <w:sz w:val="28"/>
        </w:rPr>
        <w:t xml:space="preserve">Jeżeli właściwy organ w Twoim kraju nałożył na sprawcę środki nadzoru, czy zgodnie z Twoim prawem krajowym możliwe jest wystąpienie o przeniesienie nadzoru, tak aby sprawca zamieszkujący zgodnie z prawem w innym państwie członkowskim </w:t>
      </w:r>
      <w:r>
        <w:rPr>
          <w:rFonts w:ascii="Times New Roman" w:hAnsi="Times New Roman"/>
          <w:b/>
          <w:i/>
          <w:sz w:val="28"/>
        </w:rPr>
        <w:t>był nadzorowany w swoim</w:t>
      </w:r>
      <w:r>
        <w:rPr>
          <w:rFonts w:ascii="Times New Roman" w:hAnsi="Times New Roman"/>
          <w:i/>
          <w:sz w:val="28"/>
        </w:rPr>
        <w:t xml:space="preserve"> kraju przez właściwy organ w oczekiwaniu na proces w Twoim kraju? Jaki instrument prawny ma zastosowanie w tym przypadku?</w:t>
      </w:r>
    </w:p>
    <w:p w14:paraId="4A91E8CF" w14:textId="035BA45C" w:rsidR="002F05D2" w:rsidRPr="000A4609" w:rsidRDefault="002F05D2" w:rsidP="000A4609">
      <w:pPr>
        <w:spacing w:line="240" w:lineRule="auto"/>
        <w:jc w:val="both"/>
        <w:rPr>
          <w:rFonts w:ascii="Times New Roman" w:hAnsi="Times New Roman" w:cs="Times New Roman"/>
          <w:i/>
          <w:iCs/>
          <w:sz w:val="28"/>
          <w:szCs w:val="28"/>
        </w:rPr>
      </w:pPr>
    </w:p>
    <w:p w14:paraId="17A42863" w14:textId="73F2CE72" w:rsidR="00C203AA" w:rsidRPr="000A4609" w:rsidRDefault="000A4609" w:rsidP="000A4609">
      <w:pPr>
        <w:rPr>
          <w:rFonts w:ascii="Times New Roman" w:hAnsi="Times New Roman" w:cs="Times New Roman"/>
          <w:i/>
          <w:iCs/>
          <w:sz w:val="28"/>
          <w:szCs w:val="28"/>
        </w:rPr>
      </w:pPr>
      <w:r>
        <w:br w:type="page"/>
      </w:r>
    </w:p>
    <w:p w14:paraId="3956E015" w14:textId="31AB7204" w:rsidR="00C203AA" w:rsidRPr="000A4609" w:rsidRDefault="00C203AA" w:rsidP="000A4609">
      <w:pPr>
        <w:pStyle w:val="Akapitzlist"/>
        <w:spacing w:line="240" w:lineRule="auto"/>
        <w:ind w:left="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lastRenderedPageBreak/>
        <w:t xml:space="preserve">A. II. Ćwiczenia: </w:t>
      </w:r>
    </w:p>
    <w:p w14:paraId="6E81A71F" w14:textId="7C6E06D5" w:rsidR="00C203AA" w:rsidRPr="000A4609" w:rsidRDefault="00383507" w:rsidP="000A4609">
      <w:pPr>
        <w:pStyle w:val="Akapitzlist"/>
        <w:spacing w:line="240" w:lineRule="auto"/>
        <w:ind w:left="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Znajdź następujące właściwe organy wykonujące i języki, których należy używać w zaświadczeniu (dla ogólnych spraw karnych):</w:t>
      </w:r>
    </w:p>
    <w:p w14:paraId="11AAB578" w14:textId="09F6C43E" w:rsidR="00383507" w:rsidRPr="000A4609" w:rsidRDefault="00C203AA" w:rsidP="000A4609">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1. Właściwy organ niemiecki chce przekazać nadzór nad skazanym A.N., który legalnie i zwyczajowo przebywa w Brukseli (Belgia).</w:t>
      </w:r>
    </w:p>
    <w:p w14:paraId="1FCCE8A4" w14:textId="54D8730C" w:rsidR="00C203AA" w:rsidRPr="000A4609" w:rsidRDefault="00C203AA" w:rsidP="000A4609">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Pr>
          <w:rFonts w:ascii="Times New Roman" w:hAnsi="Times New Roman"/>
          <w:i/>
          <w:sz w:val="28"/>
        </w:rPr>
        <w:t>Właściwy organ:</w:t>
      </w:r>
    </w:p>
    <w:p w14:paraId="0EC28601" w14:textId="2CF639FA" w:rsidR="00C203AA" w:rsidRPr="000A4609" w:rsidRDefault="00C203AA" w:rsidP="000A4609">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Pr>
          <w:rFonts w:ascii="Times New Roman" w:hAnsi="Times New Roman"/>
          <w:i/>
          <w:sz w:val="28"/>
        </w:rPr>
        <w:t>Język:</w:t>
      </w:r>
    </w:p>
    <w:p w14:paraId="7D1B06EE" w14:textId="77777777" w:rsidR="00C203AA" w:rsidRPr="000A4609" w:rsidRDefault="00C203AA" w:rsidP="000A4609">
      <w:pPr>
        <w:spacing w:line="240" w:lineRule="auto"/>
        <w:jc w:val="both"/>
        <w:rPr>
          <w:rFonts w:ascii="Times New Roman" w:hAnsi="Times New Roman" w:cs="Times New Roman"/>
          <w:sz w:val="28"/>
          <w:szCs w:val="28"/>
          <w:lang w:val="en-US"/>
        </w:rPr>
      </w:pPr>
    </w:p>
    <w:p w14:paraId="5D0065CE" w14:textId="22E28D89" w:rsidR="00383507"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sz w:val="28"/>
          <w:szCs w:val="28"/>
        </w:rPr>
      </w:pPr>
      <w:r>
        <w:rPr>
          <w:rFonts w:ascii="Times New Roman" w:hAnsi="Times New Roman"/>
          <w:sz w:val="28"/>
        </w:rPr>
        <w:t>2. Właściwy organ francuski chce przekazać nadzór nad oskarżonym B.C., który legalnie i zwyczajowo przebywa w Vigo w Hiszpanii.</w:t>
      </w:r>
    </w:p>
    <w:p w14:paraId="70D0EE6D" w14:textId="77777777" w:rsidR="00C203AA"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i/>
          <w:sz w:val="28"/>
          <w:szCs w:val="28"/>
        </w:rPr>
      </w:pPr>
      <w:r>
        <w:rPr>
          <w:rFonts w:ascii="Times New Roman" w:hAnsi="Times New Roman"/>
          <w:i/>
          <w:sz w:val="28"/>
        </w:rPr>
        <w:t>Właściwy organ:</w:t>
      </w:r>
    </w:p>
    <w:p w14:paraId="1A57B134" w14:textId="77777777" w:rsidR="00C203AA"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i/>
          <w:sz w:val="28"/>
          <w:szCs w:val="28"/>
        </w:rPr>
      </w:pPr>
      <w:r>
        <w:rPr>
          <w:rFonts w:ascii="Times New Roman" w:hAnsi="Times New Roman"/>
          <w:i/>
          <w:sz w:val="28"/>
        </w:rPr>
        <w:t>Język:</w:t>
      </w:r>
    </w:p>
    <w:p w14:paraId="1DD789DF" w14:textId="77777777" w:rsidR="00C203AA" w:rsidRPr="000A4609" w:rsidRDefault="00C203AA" w:rsidP="000A4609">
      <w:pPr>
        <w:spacing w:line="240" w:lineRule="auto"/>
        <w:jc w:val="both"/>
        <w:rPr>
          <w:rFonts w:ascii="Times New Roman" w:hAnsi="Times New Roman" w:cs="Times New Roman"/>
          <w:sz w:val="28"/>
          <w:szCs w:val="28"/>
          <w:lang w:val="en-US"/>
        </w:rPr>
      </w:pPr>
    </w:p>
    <w:p w14:paraId="734E65ED" w14:textId="685C9297" w:rsidR="00383507"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sz w:val="28"/>
          <w:szCs w:val="28"/>
        </w:rPr>
      </w:pPr>
      <w:r>
        <w:rPr>
          <w:rFonts w:ascii="Times New Roman" w:hAnsi="Times New Roman"/>
          <w:sz w:val="28"/>
        </w:rPr>
        <w:t>3. Właściwy organ hiszpański chce przekazać nadzór nad oskarżonym M.M., który legalnie i zwyczajowo przebywa we Wiedniu (Austria).</w:t>
      </w:r>
    </w:p>
    <w:p w14:paraId="12005233" w14:textId="77777777" w:rsidR="00C203AA"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i/>
          <w:sz w:val="28"/>
          <w:szCs w:val="28"/>
        </w:rPr>
      </w:pPr>
      <w:r>
        <w:rPr>
          <w:rFonts w:ascii="Times New Roman" w:hAnsi="Times New Roman"/>
          <w:i/>
          <w:sz w:val="28"/>
        </w:rPr>
        <w:t>Właściwy organ:</w:t>
      </w:r>
    </w:p>
    <w:p w14:paraId="66D845F2" w14:textId="27BEA692" w:rsidR="00C203AA"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i/>
          <w:sz w:val="28"/>
          <w:szCs w:val="28"/>
        </w:rPr>
      </w:pPr>
      <w:r>
        <w:rPr>
          <w:rFonts w:ascii="Times New Roman" w:hAnsi="Times New Roman"/>
          <w:i/>
          <w:sz w:val="28"/>
        </w:rPr>
        <w:t>Język:</w:t>
      </w:r>
    </w:p>
    <w:p w14:paraId="19B20FF1" w14:textId="77777777" w:rsidR="000A4609" w:rsidRDefault="000A4609" w:rsidP="000A4609">
      <w:pPr>
        <w:rPr>
          <w:rFonts w:ascii="Times New Roman" w:hAnsi="Times New Roman" w:cs="Times New Roman"/>
          <w:b/>
          <w:bCs/>
          <w:color w:val="2F5496" w:themeColor="accent1" w:themeShade="BF"/>
          <w:sz w:val="28"/>
          <w:szCs w:val="28"/>
        </w:rPr>
      </w:pPr>
    </w:p>
    <w:p w14:paraId="076FDBDE" w14:textId="6CAF3C88" w:rsidR="002A2A0D" w:rsidRPr="000A4609" w:rsidRDefault="00C203AA" w:rsidP="000A4609">
      <w:pPr>
        <w:rPr>
          <w:rFonts w:ascii="Times New Roman" w:hAnsi="Times New Roman" w:cs="Times New Roman"/>
          <w:sz w:val="28"/>
          <w:szCs w:val="28"/>
        </w:rPr>
      </w:pPr>
      <w:r>
        <w:rPr>
          <w:rFonts w:ascii="Times New Roman" w:hAnsi="Times New Roman"/>
          <w:b/>
          <w:color w:val="2F5496" w:themeColor="accent1" w:themeShade="BF"/>
          <w:sz w:val="28"/>
        </w:rPr>
        <w:t xml:space="preserve">A. III. Scenariusz przypadku: </w:t>
      </w:r>
    </w:p>
    <w:p w14:paraId="790FAD05" w14:textId="34769F35" w:rsidR="00DC54B7" w:rsidRPr="000A4609" w:rsidRDefault="00482403"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 xml:space="preserve">A.W., obywatel austriacki, zamieszkały we Wiedniu (Austria) przebywał na dwutygodniowym urlopie w Braszowie (Rumunia), aby odwiedzić rumuńskich przyjaciół. W dniu 6 stycznia 2020 r. A.W. wraz z przyjaciółmi poszedł do baru w Braszowie. W pewnym momencie A.W. prowadził dyskusję z osobą z innej grupy i obaj zaczęli sobie grozić. A.W. zdenerwował się i podszedł do pokrzywdzonego A.B. i uderzył go butelką w głowę. A.B. upadł nieprzytomny i w tym momencie z baru wybiegł A.W. A.B. został przewieziony do miejscowego szpitala, gdzie przez dwa tygodnie pozostawał pod opieką lekarską. </w:t>
      </w:r>
    </w:p>
    <w:p w14:paraId="74D67DAA" w14:textId="696D7ECB" w:rsidR="00482403" w:rsidRPr="000A4609" w:rsidRDefault="00DC54B7"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W wydanym dokumencie sądowym stwierdzono, że A.B. doznał obrażeń, które będą wymagały 100 dni opieki medycznej.</w:t>
      </w:r>
    </w:p>
    <w:p w14:paraId="0CE19B88" w14:textId="59A14238" w:rsidR="000A4609" w:rsidRDefault="00DC54B7"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Zgodnie z rumuńskim prawem karnym fakty te stanowią przestępstwo uszkodzenia ciała, o którym mowa w art. 194 rumuńskiego kodeksu karnego (maksymalna kara wynosi 7 lat pozbawienia wolności).</w:t>
      </w:r>
    </w:p>
    <w:p w14:paraId="254816D9" w14:textId="3C073665" w:rsidR="000A4609" w:rsidRPr="000A4609" w:rsidRDefault="000A4609" w:rsidP="000A4609">
      <w:pPr>
        <w:rPr>
          <w:rFonts w:ascii="Times New Roman" w:hAnsi="Times New Roman" w:cs="Times New Roman"/>
          <w:sz w:val="28"/>
          <w:szCs w:val="28"/>
        </w:rPr>
      </w:pPr>
    </w:p>
    <w:p w14:paraId="7D5881EB" w14:textId="77777777" w:rsidR="00D6452C" w:rsidRPr="000A4609" w:rsidRDefault="009F391D"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 xml:space="preserve">W dniu 10 stycznia A.W. został oskarżony przez prokuraturę działającą przy Sądzie Pierwszej Instancji w Braszowie. </w:t>
      </w:r>
    </w:p>
    <w:p w14:paraId="3FE3F38F" w14:textId="4F940A35" w:rsidR="009F391D" w:rsidRPr="000A4609" w:rsidRDefault="00D6452C"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A.W. przyznał się do popełnienia zarzucanego mu czynu, ale uznał, że został sprowokowany przez pokrzywdzonego A.B. i jego kolegów i że była to reakcja niekontrolowana.</w:t>
      </w:r>
    </w:p>
    <w:p w14:paraId="363096A5" w14:textId="02ACE57B" w:rsidR="006B4AFF" w:rsidRPr="000A4609" w:rsidRDefault="00D6452C"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Biorąc pod uwagę wagę czynu oraz fakt, że A. W.</w:t>
      </w:r>
      <w:r w:rsidR="007628A1">
        <w:rPr>
          <w:rFonts w:ascii="Times New Roman" w:hAnsi="Times New Roman"/>
          <w:sz w:val="28"/>
        </w:rPr>
        <w:t xml:space="preserve"> </w:t>
      </w:r>
      <w:r>
        <w:rPr>
          <w:rFonts w:ascii="Times New Roman" w:hAnsi="Times New Roman"/>
          <w:sz w:val="28"/>
        </w:rPr>
        <w:t xml:space="preserve">wydaje się legalnie przebywać w Austrii, rumuński prokurator zajmujący się sprawą </w:t>
      </w:r>
      <w:r>
        <w:rPr>
          <w:rFonts w:ascii="Times New Roman" w:hAnsi="Times New Roman"/>
          <w:i/>
          <w:sz w:val="28"/>
        </w:rPr>
        <w:t>chce zastosować środek tymczasowy</w:t>
      </w:r>
      <w:r>
        <w:rPr>
          <w:rFonts w:ascii="Times New Roman" w:hAnsi="Times New Roman"/>
          <w:sz w:val="28"/>
        </w:rPr>
        <w:t>, odpowiednio 60-dniową kontrolę sądową wobec sprawcy A.W., w ramach której musi on przestrzegać następujących zobowiązań:</w:t>
      </w:r>
    </w:p>
    <w:p w14:paraId="5DD9D30E" w14:textId="2F6DBB9E" w:rsidR="006B4AFF" w:rsidRPr="000A4609" w:rsidRDefault="00522EBA"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a) zgłosić się do Prokuratury przy Sądzie Pierwszej Instancji w Braszowie lub do sędziego na każde wezwanie.</w:t>
      </w:r>
    </w:p>
    <w:p w14:paraId="4694813F" w14:textId="3018A910" w:rsidR="00522EBA" w:rsidRPr="000A4609" w:rsidRDefault="00522EBA"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b) informować wyznaczony organ odpowiedzialny za nadzór o każdej zmianie miejsca pobytu.</w:t>
      </w:r>
    </w:p>
    <w:p w14:paraId="79271A69" w14:textId="6BBA4569" w:rsidR="00522EBA" w:rsidRPr="000A4609" w:rsidRDefault="00522EBA"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c) zgłosić się na wyznaczony posterunek policji zgodnie z ustalonym planem nadzoru lub na każde wezwanie.</w:t>
      </w:r>
    </w:p>
    <w:p w14:paraId="77EC1300" w14:textId="371BD637" w:rsidR="00E0065A" w:rsidRPr="000A4609" w:rsidRDefault="00522EBA"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d) nie zbliżać się na odległość mniejszą niż 200 metrów do ofiary A.B.</w:t>
      </w:r>
    </w:p>
    <w:p w14:paraId="0FE7A1A7" w14:textId="77777777" w:rsidR="000A4609" w:rsidRDefault="000A4609" w:rsidP="000A4609">
      <w:pPr>
        <w:autoSpaceDN w:val="0"/>
        <w:spacing w:line="240" w:lineRule="auto"/>
        <w:jc w:val="both"/>
        <w:rPr>
          <w:rFonts w:ascii="Times New Roman" w:hAnsi="Times New Roman" w:cs="Times New Roman"/>
          <w:b/>
          <w:bCs/>
          <w:color w:val="2F5496" w:themeColor="accent1" w:themeShade="BF"/>
          <w:sz w:val="28"/>
          <w:szCs w:val="28"/>
        </w:rPr>
      </w:pPr>
    </w:p>
    <w:p w14:paraId="184589CB" w14:textId="41F5DB37" w:rsidR="00C82B13" w:rsidRPr="000A4609" w:rsidRDefault="00C82B13" w:rsidP="000A4609">
      <w:pPr>
        <w:autoSpaceDN w:val="0"/>
        <w:spacing w:line="240" w:lineRule="auto"/>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Pytania:</w:t>
      </w:r>
    </w:p>
    <w:p w14:paraId="7D3C632F" w14:textId="21FAAB03" w:rsidR="00C82B13" w:rsidRPr="000A4609" w:rsidRDefault="00854A40" w:rsidP="000A4609">
      <w:pPr>
        <w:pStyle w:val="Akapitzlist"/>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i/>
          <w:sz w:val="28"/>
        </w:rPr>
        <w:t xml:space="preserve">Czy nadzór nad zobowiązaniami nałożonymi na A.W. może być wykonywany w Austrii? </w:t>
      </w:r>
    </w:p>
    <w:p w14:paraId="3BC6D436" w14:textId="485B67A8" w:rsidR="00C82B13" w:rsidRPr="000A4609" w:rsidRDefault="00F74012" w:rsidP="000A4609">
      <w:pPr>
        <w:pStyle w:val="Akapitzlist"/>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i/>
          <w:sz w:val="28"/>
        </w:rPr>
        <w:t>Jakie są kryteria przekazania decyzji w sprawie środków nadzoru do innego państwa członkowskiego? Czy w naszym przypadku konieczna jest uprzednia zgoda A.W.?</w:t>
      </w:r>
    </w:p>
    <w:p w14:paraId="3F992E6E" w14:textId="7E54CA4C" w:rsidR="00470420" w:rsidRPr="000A4609" w:rsidRDefault="00470420" w:rsidP="000A4609">
      <w:pPr>
        <w:pStyle w:val="Akapitzlist"/>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i/>
          <w:sz w:val="28"/>
        </w:rPr>
        <w:t>Czy właściwy organ ma obowiązek przekazania decyzji w sprawie środków nadzoru właściwym organom w innym państwie członkowskim?</w:t>
      </w:r>
    </w:p>
    <w:p w14:paraId="166F6025" w14:textId="75B237D0" w:rsidR="00C82B13" w:rsidRPr="000A4609" w:rsidRDefault="00C82B13" w:rsidP="000A4609">
      <w:pPr>
        <w:pStyle w:val="Akapitzlist"/>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i/>
          <w:sz w:val="28"/>
        </w:rPr>
        <w:t>Odnalezienie właściwych organów z obu krajów zaangażowanych w ewentualne przekazanie nadzoru nad obowiązkami nałożonymi na sprawcę A.W.</w:t>
      </w:r>
    </w:p>
    <w:p w14:paraId="57AEA531" w14:textId="77777777" w:rsidR="00D8681A" w:rsidRPr="000A4609" w:rsidRDefault="00D8681A" w:rsidP="000A4609">
      <w:pPr>
        <w:pStyle w:val="Akapitzlist"/>
        <w:numPr>
          <w:ilvl w:val="0"/>
          <w:numId w:val="1"/>
        </w:numPr>
        <w:suppressAutoHyphens/>
        <w:autoSpaceDN w:val="0"/>
        <w:spacing w:line="240" w:lineRule="auto"/>
        <w:contextualSpacing w:val="0"/>
        <w:jc w:val="both"/>
        <w:textAlignment w:val="baseline"/>
        <w:rPr>
          <w:rFonts w:ascii="Times New Roman" w:hAnsi="Times New Roman" w:cs="Times New Roman"/>
          <w:i/>
          <w:sz w:val="28"/>
          <w:szCs w:val="28"/>
        </w:rPr>
      </w:pPr>
      <w:r>
        <w:rPr>
          <w:rFonts w:ascii="Times New Roman" w:hAnsi="Times New Roman"/>
          <w:i/>
          <w:sz w:val="28"/>
        </w:rPr>
        <w:t>Jak w tym przypadku postąpi właściwy organ wydający nakaz i właściwy organ wykonujący?</w:t>
      </w:r>
    </w:p>
    <w:p w14:paraId="56919E24" w14:textId="140C4562" w:rsidR="00D8681A" w:rsidRPr="000A4609" w:rsidRDefault="00D8681A" w:rsidP="000A4609">
      <w:pPr>
        <w:pStyle w:val="Akapitzlist"/>
        <w:numPr>
          <w:ilvl w:val="0"/>
          <w:numId w:val="1"/>
        </w:numPr>
        <w:suppressAutoHyphens/>
        <w:autoSpaceDN w:val="0"/>
        <w:spacing w:line="240" w:lineRule="auto"/>
        <w:contextualSpacing w:val="0"/>
        <w:jc w:val="both"/>
        <w:textAlignment w:val="baseline"/>
        <w:rPr>
          <w:rFonts w:ascii="Times New Roman" w:hAnsi="Times New Roman" w:cs="Times New Roman"/>
          <w:i/>
          <w:sz w:val="28"/>
          <w:szCs w:val="28"/>
        </w:rPr>
      </w:pPr>
      <w:r>
        <w:rPr>
          <w:rFonts w:ascii="Times New Roman" w:hAnsi="Times New Roman"/>
          <w:i/>
          <w:sz w:val="28"/>
        </w:rPr>
        <w:t>Jakie wyzwania mogą stać przed właściwymi organami wydającymi nakaz i wykonującymi nakaz oraz jak im sprostać?</w:t>
      </w:r>
    </w:p>
    <w:p w14:paraId="19EB7AE8" w14:textId="73628584" w:rsidR="00C203AA" w:rsidRPr="000A4609" w:rsidRDefault="00C82B13" w:rsidP="000A4609">
      <w:pPr>
        <w:pStyle w:val="Akapitzlist"/>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i/>
          <w:sz w:val="28"/>
        </w:rPr>
        <w:lastRenderedPageBreak/>
        <w:t>Jakie są korzyści w tym przypadku, jeśli takie przekazanie nadzoru zakończy się sukcesem?</w:t>
      </w:r>
    </w:p>
    <w:p w14:paraId="25A918EF" w14:textId="7BBEA372" w:rsidR="00C203AA" w:rsidRPr="000A4609" w:rsidRDefault="00C203AA" w:rsidP="000A4609">
      <w:pPr>
        <w:rPr>
          <w:rFonts w:ascii="Times New Roman" w:hAnsi="Times New Roman" w:cs="Times New Roman"/>
          <w:sz w:val="28"/>
          <w:szCs w:val="28"/>
        </w:rPr>
      </w:pPr>
    </w:p>
    <w:p w14:paraId="5C7E4679" w14:textId="3329E315" w:rsidR="00C82B13" w:rsidRPr="000A4609" w:rsidRDefault="00C203AA" w:rsidP="000A4609">
      <w:pPr>
        <w:pStyle w:val="Test"/>
        <w:shd w:val="clear" w:color="auto" w:fill="DED888"/>
        <w:spacing w:after="160"/>
        <w:jc w:val="center"/>
        <w:rPr>
          <w:rStyle w:val="Pogrubienie"/>
          <w:rFonts w:ascii="Times New Roman" w:hAnsi="Times New Roman"/>
          <w:b/>
          <w:color w:val="2F5496" w:themeColor="accent1" w:themeShade="BF"/>
          <w:sz w:val="32"/>
          <w:szCs w:val="32"/>
        </w:rPr>
      </w:pPr>
      <w:r>
        <w:rPr>
          <w:rStyle w:val="Pogrubienie"/>
          <w:rFonts w:ascii="Times New Roman" w:hAnsi="Times New Roman"/>
          <w:b/>
          <w:color w:val="2F5496" w:themeColor="accent1" w:themeShade="BF"/>
          <w:sz w:val="32"/>
        </w:rPr>
        <w:t>Część B. Dodatkowe uwagi dla prowadzącego szkolenie dotyczące przypadków</w:t>
      </w:r>
    </w:p>
    <w:p w14:paraId="6C4D9D4A" w14:textId="77777777" w:rsidR="0074500C" w:rsidRPr="000A4609" w:rsidRDefault="0074500C" w:rsidP="000A4609">
      <w:pPr>
        <w:jc w:val="both"/>
        <w:rPr>
          <w:rFonts w:ascii="Times New Roman" w:hAnsi="Times New Roman" w:cs="Times New Roman"/>
          <w:b/>
          <w:bCs/>
          <w:color w:val="2F5496" w:themeColor="accent1" w:themeShade="BF"/>
          <w:sz w:val="28"/>
          <w:szCs w:val="28"/>
        </w:rPr>
      </w:pPr>
    </w:p>
    <w:p w14:paraId="1EF42A04" w14:textId="67FCE798" w:rsidR="0074500C" w:rsidRPr="000A4609" w:rsidRDefault="0074500C" w:rsidP="000A4609">
      <w:pPr>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 III. Scenariusz przypadku:</w:t>
      </w:r>
    </w:p>
    <w:p w14:paraId="0C11C62D" w14:textId="7CDBFFE0" w:rsidR="00C203AA" w:rsidRPr="000A4609" w:rsidRDefault="00C203AA" w:rsidP="000A4609">
      <w:pPr>
        <w:pStyle w:val="Akapitzlist"/>
        <w:numPr>
          <w:ilvl w:val="0"/>
          <w:numId w:val="25"/>
        </w:numPr>
        <w:contextualSpacing w:val="0"/>
        <w:jc w:val="both"/>
        <w:rPr>
          <w:rFonts w:ascii="Times New Roman" w:hAnsi="Times New Roman" w:cs="Times New Roman"/>
          <w:bCs/>
          <w:sz w:val="28"/>
          <w:szCs w:val="28"/>
        </w:rPr>
      </w:pPr>
      <w:r>
        <w:rPr>
          <w:rFonts w:ascii="Times New Roman" w:hAnsi="Times New Roman"/>
          <w:sz w:val="28"/>
        </w:rPr>
        <w:t xml:space="preserve">Scenariusz przypadku będzie omawiany zgodnie z przepisami krajowymi kraju, w którym odbywa się seminarium (z wyjątkiem Irlandii). </w:t>
      </w:r>
    </w:p>
    <w:p w14:paraId="20EC6512" w14:textId="77777777" w:rsidR="00C203AA" w:rsidRPr="000A4609" w:rsidRDefault="00C203AA" w:rsidP="000A4609">
      <w:pPr>
        <w:pStyle w:val="Akapitzlist"/>
        <w:numPr>
          <w:ilvl w:val="0"/>
          <w:numId w:val="25"/>
        </w:numPr>
        <w:contextualSpacing w:val="0"/>
        <w:jc w:val="both"/>
        <w:rPr>
          <w:rFonts w:ascii="Times New Roman" w:hAnsi="Times New Roman" w:cs="Times New Roman"/>
          <w:bCs/>
          <w:sz w:val="28"/>
          <w:szCs w:val="28"/>
        </w:rPr>
      </w:pPr>
      <w:r>
        <w:rPr>
          <w:rFonts w:ascii="Times New Roman" w:hAnsi="Times New Roman"/>
          <w:sz w:val="28"/>
        </w:rPr>
        <w:t>Jeżeli seminarium odbywa się w Austrii, państwo członkowskie wydające nakaz i wykonujące nakaz zmienia się, a osoba skazana przebywa legalnie w Bukareszcie (Rumunia), odwiedzając Austrię.</w:t>
      </w:r>
    </w:p>
    <w:p w14:paraId="0C212C38" w14:textId="6FAA1E62" w:rsidR="006A4FDB" w:rsidRPr="000A4609" w:rsidRDefault="0074500C" w:rsidP="000A4609">
      <w:pPr>
        <w:rPr>
          <w:rFonts w:ascii="Times New Roman" w:hAnsi="Times New Roman" w:cs="Times New Roman"/>
          <w:sz w:val="28"/>
          <w:szCs w:val="28"/>
        </w:rPr>
      </w:pPr>
      <w:r>
        <w:br w:type="page"/>
      </w:r>
    </w:p>
    <w:p w14:paraId="4C11F67A" w14:textId="3F1EB7DB" w:rsidR="006A4FDB" w:rsidRPr="000A4609" w:rsidRDefault="0074500C" w:rsidP="000A4609">
      <w:pPr>
        <w:pStyle w:val="Test"/>
        <w:shd w:val="clear" w:color="auto" w:fill="DED888"/>
        <w:spacing w:after="160"/>
        <w:jc w:val="center"/>
        <w:rPr>
          <w:rStyle w:val="Pogrubienie"/>
          <w:rFonts w:ascii="Times New Roman" w:hAnsi="Times New Roman"/>
          <w:b/>
          <w:bCs w:val="0"/>
          <w:color w:val="2F5496" w:themeColor="accent1" w:themeShade="BF"/>
          <w:sz w:val="32"/>
          <w:szCs w:val="32"/>
        </w:rPr>
      </w:pPr>
      <w:r>
        <w:rPr>
          <w:rStyle w:val="Pogrubienie"/>
          <w:rFonts w:ascii="Times New Roman" w:hAnsi="Times New Roman"/>
          <w:b/>
          <w:color w:val="2F5496" w:themeColor="accent1" w:themeShade="BF"/>
          <w:sz w:val="32"/>
        </w:rPr>
        <w:lastRenderedPageBreak/>
        <w:t>Część C. Podejście metodologiczne</w:t>
      </w:r>
    </w:p>
    <w:p w14:paraId="68297405" w14:textId="77777777" w:rsidR="006A4FDB" w:rsidRPr="000A4609" w:rsidRDefault="006A4FDB" w:rsidP="000A4609">
      <w:pPr>
        <w:autoSpaceDN w:val="0"/>
        <w:spacing w:line="240" w:lineRule="auto"/>
        <w:jc w:val="both"/>
        <w:rPr>
          <w:rFonts w:ascii="Times New Roman" w:eastAsia="Calibri" w:hAnsi="Times New Roman" w:cs="Times New Roman"/>
          <w:sz w:val="28"/>
          <w:szCs w:val="28"/>
        </w:rPr>
      </w:pPr>
    </w:p>
    <w:p w14:paraId="2C6810A8" w14:textId="10B910B0" w:rsidR="0043351C" w:rsidRPr="000A4609" w:rsidRDefault="006A4FDB" w:rsidP="000A4609">
      <w:pPr>
        <w:numPr>
          <w:ilvl w:val="0"/>
          <w:numId w:val="17"/>
        </w:numPr>
        <w:suppressAutoHyphens/>
        <w:autoSpaceDN w:val="0"/>
        <w:spacing w:line="244" w:lineRule="auto"/>
        <w:ind w:left="0" w:firstLine="0"/>
        <w:jc w:val="both"/>
        <w:textAlignment w:val="baseline"/>
        <w:rPr>
          <w:rFonts w:ascii="Times New Roman" w:eastAsia="Calibri" w:hAnsi="Times New Roman" w:cs="Times New Roman"/>
          <w:b/>
          <w:bCs/>
          <w:color w:val="2F5496" w:themeColor="accent1" w:themeShade="BF"/>
          <w:sz w:val="28"/>
          <w:szCs w:val="28"/>
        </w:rPr>
      </w:pPr>
      <w:r>
        <w:rPr>
          <w:rFonts w:ascii="Times New Roman" w:hAnsi="Times New Roman"/>
          <w:b/>
          <w:color w:val="2F5496" w:themeColor="accent1" w:themeShade="BF"/>
          <w:sz w:val="28"/>
        </w:rPr>
        <w:t>Idea ogólna i główne tematy</w:t>
      </w:r>
    </w:p>
    <w:p w14:paraId="65106FC7" w14:textId="62E22210" w:rsidR="006A4FDB" w:rsidRPr="000A4609" w:rsidRDefault="006A4FD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 xml:space="preserve">Celem tego materiału szkoleniowego jest zapoznanie pracowników sądów z państw członkowskich z instrumentem prawnym współpracy sądowej dostępnym na szczeblu europejskim w celu monitorowania środków nadzoru. </w:t>
      </w:r>
    </w:p>
    <w:p w14:paraId="429D038E" w14:textId="77777777" w:rsidR="006A4FDB" w:rsidRPr="000A4609" w:rsidRDefault="006A4FD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Pracownicy sądów są często zaangażowani w zadania administracyjne, począwszy od wypełnienia formularza wymaganego przez akt prawny, poprzez wskazanie właściwego organu, do którego należy przesłać formularz, tłumaczenie formularza, aż po wnioskowanie o dodatkowe informacje dotyczące współpracy sądowej lub ich przesyłanie.</w:t>
      </w:r>
    </w:p>
    <w:p w14:paraId="1C9E2565" w14:textId="77777777"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 xml:space="preserve">Z tych powodów w ramach seminariów zostaną omówione </w:t>
      </w:r>
      <w:r>
        <w:rPr>
          <w:rFonts w:ascii="Times New Roman" w:hAnsi="Times New Roman"/>
          <w:b/>
          <w:sz w:val="28"/>
        </w:rPr>
        <w:t>następujące główne aspekty</w:t>
      </w:r>
      <w:r>
        <w:rPr>
          <w:rFonts w:ascii="Times New Roman" w:hAnsi="Times New Roman"/>
          <w:sz w:val="28"/>
        </w:rPr>
        <w:t xml:space="preserve">: </w:t>
      </w:r>
    </w:p>
    <w:p w14:paraId="7A0D601D" w14:textId="751BAB3E"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 xml:space="preserve">1. Zakres stosowania decyzji ramowej Rady 2009/829/WSiSW w sprawie stosowania przez państwa członkowskie UE zasady wzajemnego uznawania do decyzji w sprawie środków nadzoru stanowiących alternatywę dla tymczasowego aresztowania. </w:t>
      </w:r>
    </w:p>
    <w:p w14:paraId="6E2D433A" w14:textId="418554AC"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 xml:space="preserve">2. Zapoznanie się z ogólną strukturą decyzji ramowej Rady 2009/829/WSiSW. </w:t>
      </w:r>
    </w:p>
    <w:p w14:paraId="0EC16AE9" w14:textId="12557E35" w:rsidR="006A4FDB" w:rsidRPr="000A4609" w:rsidRDefault="006A4FD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3. Określenie niektórych wyzwań, z którymi mogą się spotkać właściwe organy wydające nakaz i wykonujące nakaz, występując o przeniesienie środków nadzoru.</w:t>
      </w:r>
    </w:p>
    <w:p w14:paraId="2D2F2571" w14:textId="74C4CE4C"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4. Podkreślenie korzyści płynących z przekazania decyzji w sprawie środków nadzoru.</w:t>
      </w:r>
    </w:p>
    <w:p w14:paraId="04BC2DC1" w14:textId="77777777"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5. Zrozumienie niektórych praktycznych kwestii, które mogą pojawić się przed i po przekazaniu nadzoru.</w:t>
      </w:r>
    </w:p>
    <w:p w14:paraId="58E236A1" w14:textId="2C453455" w:rsidR="00F54ACB" w:rsidRPr="000A4609" w:rsidRDefault="006A4FD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6. Szczegóły administracyjne: Jak powinien postąpić organ wydający nakaz w danej sytuacji? Jaki język należy zastosować? Gdzie organ wydający nakaz może znaleźć właściwy organ z państwa członkowskiego wykonującego nakaz, do którego należy skierować wniosek?</w:t>
      </w:r>
      <w:r w:rsidR="007628A1">
        <w:rPr>
          <w:rFonts w:ascii="Times New Roman" w:hAnsi="Times New Roman"/>
          <w:sz w:val="28"/>
        </w:rPr>
        <w:t xml:space="preserve"> </w:t>
      </w:r>
    </w:p>
    <w:p w14:paraId="0167C2B0" w14:textId="04A48EC4" w:rsidR="0043351C" w:rsidRPr="000A4609" w:rsidRDefault="003D297B" w:rsidP="003D297B">
      <w:pPr>
        <w:rPr>
          <w:rFonts w:ascii="Times New Roman" w:eastAsia="Calibri" w:hAnsi="Times New Roman" w:cs="Times New Roman"/>
          <w:sz w:val="28"/>
          <w:szCs w:val="28"/>
        </w:rPr>
      </w:pPr>
      <w:r>
        <w:br w:type="page"/>
      </w:r>
    </w:p>
    <w:p w14:paraId="3AA9BC86" w14:textId="3ABF4084" w:rsidR="006A4FDB" w:rsidRPr="000A4609" w:rsidRDefault="006A4FDB" w:rsidP="000A4609">
      <w:pPr>
        <w:numPr>
          <w:ilvl w:val="0"/>
          <w:numId w:val="17"/>
        </w:numPr>
        <w:suppressAutoHyphens/>
        <w:autoSpaceDN w:val="0"/>
        <w:spacing w:line="244" w:lineRule="auto"/>
        <w:ind w:left="0" w:firstLine="0"/>
        <w:jc w:val="both"/>
        <w:textAlignment w:val="baseline"/>
        <w:rPr>
          <w:rFonts w:ascii="Times New Roman" w:eastAsia="Calibri" w:hAnsi="Times New Roman" w:cs="Times New Roman"/>
          <w:b/>
          <w:bCs/>
          <w:color w:val="2F5496" w:themeColor="accent1" w:themeShade="BF"/>
          <w:sz w:val="28"/>
          <w:szCs w:val="28"/>
        </w:rPr>
      </w:pPr>
      <w:r>
        <w:rPr>
          <w:rFonts w:ascii="Times New Roman" w:hAnsi="Times New Roman"/>
          <w:b/>
          <w:color w:val="2F5496" w:themeColor="accent1" w:themeShade="BF"/>
          <w:sz w:val="28"/>
        </w:rPr>
        <w:lastRenderedPageBreak/>
        <w:t>Grupy robocze i struktura seminarium</w:t>
      </w:r>
    </w:p>
    <w:p w14:paraId="7D256A5B" w14:textId="2911E10D"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 xml:space="preserve">Seminarium rozpocznie się od </w:t>
      </w:r>
      <w:r>
        <w:rPr>
          <w:rFonts w:ascii="Times New Roman" w:hAnsi="Times New Roman"/>
          <w:b/>
          <w:i/>
          <w:sz w:val="28"/>
        </w:rPr>
        <w:t>sprawy wprowadzającej</w:t>
      </w:r>
      <w:r>
        <w:rPr>
          <w:rFonts w:ascii="Times New Roman" w:hAnsi="Times New Roman"/>
          <w:sz w:val="28"/>
        </w:rPr>
        <w:t xml:space="preserve">, która ma na celu zapoznanie uczestników z decyzją ramową Rady 2009/829/WSiSW w sprawie stosowania przez państwa członkowskie UE zasady wzajemnego uznawania do decyzji w sprawie środków nadzoru stanowiących alternatywę dla tymczasowego aresztowania. Rozwiązanie kazusu wprowadzającego i udzielenie odpowiedzi na pytania powinno zająć </w:t>
      </w:r>
      <w:r>
        <w:rPr>
          <w:rFonts w:ascii="Times New Roman" w:hAnsi="Times New Roman"/>
          <w:b/>
          <w:sz w:val="28"/>
        </w:rPr>
        <w:t>ok. 15-20 minut</w:t>
      </w:r>
      <w:r>
        <w:rPr>
          <w:rFonts w:ascii="Times New Roman" w:hAnsi="Times New Roman"/>
          <w:sz w:val="28"/>
        </w:rPr>
        <w:t>.</w:t>
      </w:r>
    </w:p>
    <w:p w14:paraId="16020410" w14:textId="160DFCB0" w:rsidR="006A4FDB" w:rsidRPr="000A4609" w:rsidRDefault="006A4FD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 xml:space="preserve">Po wprowadzeniu prowadzący szkolenie przedstawi uczestnikom </w:t>
      </w:r>
      <w:r>
        <w:rPr>
          <w:rFonts w:ascii="Times New Roman" w:hAnsi="Times New Roman"/>
          <w:b/>
          <w:sz w:val="28"/>
        </w:rPr>
        <w:t>krótką prezentację</w:t>
      </w:r>
      <w:r>
        <w:rPr>
          <w:rFonts w:ascii="Times New Roman" w:hAnsi="Times New Roman"/>
          <w:sz w:val="28"/>
        </w:rPr>
        <w:t xml:space="preserve"> (Power Point), podkreślając istotne cechy decyzji ramowej Rady 2009/829 – cele, definicje, kryteria, podstawy uznania, terminy, dostosowanie, prawo właściwe, późniejsze decyzje, obowiązki i informacje</w:t>
      </w:r>
      <w:r>
        <w:rPr>
          <w:rFonts w:ascii="Times New Roman" w:hAnsi="Times New Roman"/>
          <w:b/>
          <w:sz w:val="28"/>
        </w:rPr>
        <w:t>(ok. 15-20 min</w:t>
      </w:r>
      <w:r>
        <w:rPr>
          <w:rFonts w:ascii="Times New Roman" w:hAnsi="Times New Roman"/>
          <w:sz w:val="28"/>
        </w:rPr>
        <w:t xml:space="preserve">). </w:t>
      </w:r>
    </w:p>
    <w:p w14:paraId="359CE36E" w14:textId="561B6F13" w:rsidR="00F54ACB" w:rsidRPr="000A4609" w:rsidRDefault="00F54AC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W tym momencie zalecana jest 10-minutowa przerwa.</w:t>
      </w:r>
    </w:p>
    <w:p w14:paraId="75811CBE" w14:textId="6FE6237A" w:rsidR="00AE6AA6" w:rsidRPr="000A4609" w:rsidRDefault="00AE6AA6" w:rsidP="000A4609">
      <w:pPr>
        <w:autoSpaceDN w:val="0"/>
        <w:spacing w:line="240" w:lineRule="auto"/>
        <w:jc w:val="both"/>
        <w:rPr>
          <w:rFonts w:ascii="Times New Roman" w:hAnsi="Times New Roman" w:cs="Times New Roman"/>
        </w:rPr>
      </w:pPr>
      <w:r>
        <w:rPr>
          <w:rFonts w:ascii="Times New Roman" w:hAnsi="Times New Roman"/>
          <w:sz w:val="28"/>
        </w:rPr>
        <w:t xml:space="preserve">Rozwiązywanie ćwiczeń z punktu A.II powinno zająć </w:t>
      </w:r>
      <w:r>
        <w:rPr>
          <w:rFonts w:ascii="Times New Roman" w:hAnsi="Times New Roman"/>
          <w:b/>
          <w:sz w:val="28"/>
        </w:rPr>
        <w:t>ok. 15 minut</w:t>
      </w:r>
      <w:r>
        <w:rPr>
          <w:rFonts w:ascii="Times New Roman" w:hAnsi="Times New Roman"/>
          <w:sz w:val="28"/>
        </w:rPr>
        <w:t>, ponieważ mają one pomóc uczestnikom w zrozumieniu mechanizmu znajdowania właściwego organu oraz języka, którego należy używać w zaświadczeniu.</w:t>
      </w:r>
    </w:p>
    <w:p w14:paraId="6662A63D" w14:textId="095D358B"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b/>
          <w:i/>
          <w:sz w:val="28"/>
        </w:rPr>
        <w:t>Scenariusz przypadku</w:t>
      </w:r>
      <w:r>
        <w:rPr>
          <w:rFonts w:ascii="Times New Roman" w:hAnsi="Times New Roman"/>
          <w:i/>
          <w:sz w:val="28"/>
        </w:rPr>
        <w:t xml:space="preserve"> </w:t>
      </w:r>
      <w:r>
        <w:rPr>
          <w:rFonts w:ascii="Times New Roman" w:hAnsi="Times New Roman"/>
          <w:sz w:val="28"/>
        </w:rPr>
        <w:t xml:space="preserve">jest okazją do zrozumienia decyzji ramowej Rady 2009/829/WSiSW. Uczestnicy będą pracować w grupach 5-6 osobowych i będą mieli do dyspozycji laptopa podłączonego do Internetu/grupy w celu rozwiązania pytań. Rozwiązanie scenariusza przypadku i udzielenie odpowiedzi na pytania powinno zająć </w:t>
      </w:r>
      <w:r>
        <w:rPr>
          <w:rFonts w:ascii="Times New Roman" w:hAnsi="Times New Roman"/>
          <w:b/>
          <w:sz w:val="28"/>
        </w:rPr>
        <w:t>ok. 2 godzin</w:t>
      </w:r>
      <w:r>
        <w:rPr>
          <w:rFonts w:ascii="Times New Roman" w:hAnsi="Times New Roman"/>
          <w:sz w:val="28"/>
        </w:rPr>
        <w:t>.</w:t>
      </w:r>
    </w:p>
    <w:p w14:paraId="0ABE21B8" w14:textId="6AEBE4FF" w:rsidR="006A4FDB" w:rsidRDefault="006A4FD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 xml:space="preserve">Pozostałe pytania powinny zostać omówione na koniec seminarium (przez </w:t>
      </w:r>
      <w:r>
        <w:rPr>
          <w:rFonts w:ascii="Times New Roman" w:hAnsi="Times New Roman"/>
          <w:b/>
          <w:sz w:val="28"/>
        </w:rPr>
        <w:t>ok. 5-10 minut</w:t>
      </w:r>
      <w:r>
        <w:rPr>
          <w:rFonts w:ascii="Times New Roman" w:hAnsi="Times New Roman"/>
          <w:sz w:val="28"/>
        </w:rPr>
        <w:t>).</w:t>
      </w:r>
    </w:p>
    <w:p w14:paraId="0E9E4B47" w14:textId="53B855C8" w:rsidR="00EE1F2F" w:rsidRPr="00EE1F2F" w:rsidRDefault="00EE1F2F" w:rsidP="00EE1F2F">
      <w:pPr>
        <w:autoSpaceDN w:val="0"/>
        <w:spacing w:after="0" w:line="240" w:lineRule="auto"/>
        <w:jc w:val="both"/>
        <w:rPr>
          <w:rFonts w:ascii="Calibri" w:eastAsia="Calibri" w:hAnsi="Calibri" w:cs="Times New Roman"/>
        </w:rPr>
      </w:pPr>
      <w:r>
        <w:rPr>
          <w:rFonts w:ascii="Times New Roman" w:hAnsi="Times New Roman"/>
          <w:sz w:val="28"/>
        </w:rPr>
        <w:t>Organizatorzy powinni dążyć do utworzenia grup uczestników o zbliżonym poziomie doświadczenia w pracy z decyzją ramową Rady 2009/829 podczas rozwiązywania scenariuszy przypadku.</w:t>
      </w:r>
    </w:p>
    <w:p w14:paraId="3B2053BB" w14:textId="77777777" w:rsidR="006A4FDB" w:rsidRPr="000A4609" w:rsidRDefault="006A4FDB" w:rsidP="000A4609">
      <w:pPr>
        <w:autoSpaceDN w:val="0"/>
        <w:spacing w:line="240" w:lineRule="auto"/>
        <w:jc w:val="both"/>
        <w:rPr>
          <w:rFonts w:ascii="Times New Roman" w:eastAsia="Calibri" w:hAnsi="Times New Roman" w:cs="Times New Roman"/>
          <w:sz w:val="28"/>
          <w:szCs w:val="28"/>
        </w:rPr>
      </w:pPr>
    </w:p>
    <w:p w14:paraId="6238F623" w14:textId="77777777" w:rsidR="006A4FDB" w:rsidRPr="000A4609" w:rsidRDefault="006A4FDB" w:rsidP="000A4609">
      <w:pPr>
        <w:numPr>
          <w:ilvl w:val="0"/>
          <w:numId w:val="17"/>
        </w:numPr>
        <w:suppressAutoHyphens/>
        <w:autoSpaceDN w:val="0"/>
        <w:spacing w:line="244" w:lineRule="auto"/>
        <w:ind w:left="0" w:firstLine="0"/>
        <w:jc w:val="both"/>
        <w:textAlignment w:val="baseline"/>
        <w:rPr>
          <w:rFonts w:ascii="Times New Roman" w:eastAsia="Calibri" w:hAnsi="Times New Roman" w:cs="Times New Roman"/>
          <w:b/>
          <w:bCs/>
          <w:color w:val="2F5496" w:themeColor="accent1" w:themeShade="BF"/>
          <w:sz w:val="28"/>
          <w:szCs w:val="28"/>
        </w:rPr>
      </w:pPr>
      <w:r>
        <w:rPr>
          <w:rFonts w:ascii="Times New Roman" w:hAnsi="Times New Roman"/>
          <w:b/>
          <w:color w:val="2F5496" w:themeColor="accent1" w:themeShade="BF"/>
          <w:sz w:val="28"/>
        </w:rPr>
        <w:t>Materiały dodatkowe</w:t>
      </w:r>
    </w:p>
    <w:p w14:paraId="0DBE2083" w14:textId="376C5910" w:rsidR="0074500C" w:rsidRPr="000A4609" w:rsidRDefault="006A4FDB" w:rsidP="000A4609">
      <w:pPr>
        <w:autoSpaceDN w:val="0"/>
        <w:spacing w:line="244" w:lineRule="auto"/>
        <w:jc w:val="both"/>
        <w:rPr>
          <w:rFonts w:ascii="Times New Roman" w:eastAsia="Calibri" w:hAnsi="Times New Roman" w:cs="Times New Roman"/>
          <w:sz w:val="28"/>
          <w:szCs w:val="28"/>
        </w:rPr>
      </w:pPr>
      <w:r>
        <w:rPr>
          <w:rFonts w:ascii="Times New Roman" w:hAnsi="Times New Roman"/>
          <w:sz w:val="28"/>
        </w:rPr>
        <w:t>Wszyscy uczestnicy otrzymają kopię decyzji ramowej Rady zawierającej formularze zawarte w załączniku I i II. Uczestnicy muszą również przynieść lub mieć dostęp do swoich krajowych przepisów wdrażających decyzję ramową Rady.</w:t>
      </w:r>
    </w:p>
    <w:p w14:paraId="6736ABDE" w14:textId="44AEDB4C" w:rsidR="00C06687" w:rsidRPr="000A4609" w:rsidRDefault="0074500C" w:rsidP="000A4609">
      <w:pPr>
        <w:rPr>
          <w:rFonts w:ascii="Times New Roman" w:eastAsia="Calibri" w:hAnsi="Times New Roman" w:cs="Times New Roman"/>
          <w:sz w:val="28"/>
          <w:szCs w:val="28"/>
        </w:rPr>
      </w:pPr>
      <w:r>
        <w:br w:type="page"/>
      </w:r>
    </w:p>
    <w:bookmarkEnd w:id="3"/>
    <w:p w14:paraId="7A02E06E" w14:textId="3CFCB0B5" w:rsidR="007E27A9" w:rsidRPr="000A4609" w:rsidRDefault="0074500C" w:rsidP="000A4609">
      <w:pPr>
        <w:pStyle w:val="Test"/>
        <w:shd w:val="clear" w:color="auto" w:fill="DED888"/>
        <w:spacing w:after="160"/>
        <w:jc w:val="center"/>
        <w:rPr>
          <w:rStyle w:val="Pogrubienie"/>
          <w:rFonts w:ascii="Times New Roman" w:hAnsi="Times New Roman"/>
          <w:b/>
          <w:bCs w:val="0"/>
          <w:color w:val="2F5496" w:themeColor="accent1" w:themeShade="BF"/>
          <w:sz w:val="32"/>
          <w:szCs w:val="32"/>
        </w:rPr>
      </w:pPr>
      <w:r>
        <w:rPr>
          <w:rStyle w:val="Pogrubienie"/>
          <w:rFonts w:ascii="Times New Roman" w:hAnsi="Times New Roman"/>
          <w:b/>
          <w:color w:val="2F5496" w:themeColor="accent1" w:themeShade="BF"/>
          <w:sz w:val="32"/>
        </w:rPr>
        <w:lastRenderedPageBreak/>
        <w:t>Część D. Rozwiązania</w:t>
      </w:r>
    </w:p>
    <w:p w14:paraId="0C1145AF" w14:textId="77777777" w:rsidR="00487F3D" w:rsidRPr="000A4609" w:rsidRDefault="00487F3D" w:rsidP="000A4609">
      <w:pPr>
        <w:pStyle w:val="Akapitzlist"/>
        <w:spacing w:line="240" w:lineRule="auto"/>
        <w:contextualSpacing w:val="0"/>
        <w:jc w:val="both"/>
        <w:rPr>
          <w:rFonts w:ascii="Times New Roman" w:hAnsi="Times New Roman" w:cs="Times New Roman"/>
          <w:b/>
          <w:bCs/>
          <w:sz w:val="28"/>
          <w:szCs w:val="28"/>
        </w:rPr>
      </w:pPr>
    </w:p>
    <w:p w14:paraId="1EAA4760" w14:textId="14433331" w:rsidR="00C06687" w:rsidRPr="000A4609" w:rsidRDefault="007232B3" w:rsidP="000A4609">
      <w:pPr>
        <w:pStyle w:val="Akapitzlist"/>
        <w:ind w:left="0"/>
        <w:contextualSpacing w:val="0"/>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 I. Scenariusz wprowadzający:</w:t>
      </w:r>
    </w:p>
    <w:p w14:paraId="4C7854A1" w14:textId="77777777" w:rsidR="003D297B" w:rsidRDefault="003D297B" w:rsidP="000A4609">
      <w:pPr>
        <w:spacing w:line="240" w:lineRule="auto"/>
        <w:jc w:val="both"/>
        <w:rPr>
          <w:rFonts w:ascii="Times New Roman" w:hAnsi="Times New Roman" w:cs="Times New Roman"/>
          <w:i/>
          <w:iCs/>
          <w:color w:val="2F5496" w:themeColor="accent1" w:themeShade="BF"/>
          <w:sz w:val="28"/>
          <w:szCs w:val="28"/>
        </w:rPr>
      </w:pPr>
    </w:p>
    <w:p w14:paraId="2A5A28F9" w14:textId="3F538080" w:rsidR="0074500C" w:rsidRPr="000A4609" w:rsidRDefault="008E5AF7" w:rsidP="000A4609">
      <w:pPr>
        <w:spacing w:line="240" w:lineRule="auto"/>
        <w:jc w:val="both"/>
        <w:rPr>
          <w:rFonts w:ascii="Times New Roman" w:hAnsi="Times New Roman" w:cs="Times New Roman"/>
          <w:i/>
          <w:color w:val="2F5496" w:themeColor="accent1" w:themeShade="BF"/>
          <w:sz w:val="28"/>
          <w:szCs w:val="28"/>
        </w:rPr>
      </w:pPr>
      <w:r>
        <w:rPr>
          <w:rFonts w:ascii="Times New Roman" w:hAnsi="Times New Roman"/>
          <w:b/>
          <w:i/>
          <w:color w:val="2F5496" w:themeColor="accent1" w:themeShade="BF"/>
          <w:sz w:val="28"/>
        </w:rPr>
        <w:t>P1:</w:t>
      </w:r>
      <w:r>
        <w:rPr>
          <w:rFonts w:ascii="Times New Roman" w:hAnsi="Times New Roman"/>
          <w:i/>
          <w:color w:val="2F5496" w:themeColor="accent1" w:themeShade="BF"/>
          <w:sz w:val="28"/>
        </w:rPr>
        <w:t xml:space="preserve"> Czy w Twoim systemie prawnym istnieją jakieś alternatywne środki wobec tymczasowego aresztowania, które można zastosować w takich przypadkach? Proszę je wskazać i krótko opisać.</w:t>
      </w:r>
    </w:p>
    <w:p w14:paraId="0C1F15AF" w14:textId="094D60DF" w:rsidR="006775B2" w:rsidRPr="000A4609" w:rsidRDefault="006775B2" w:rsidP="000A4609">
      <w:pPr>
        <w:spacing w:line="240" w:lineRule="auto"/>
        <w:jc w:val="both"/>
        <w:rPr>
          <w:rFonts w:ascii="Times New Roman" w:hAnsi="Times New Roman" w:cs="Times New Roman"/>
          <w:sz w:val="28"/>
          <w:szCs w:val="28"/>
        </w:rPr>
      </w:pPr>
      <w:r>
        <w:rPr>
          <w:rFonts w:ascii="Times New Roman" w:hAnsi="Times New Roman"/>
          <w:sz w:val="28"/>
        </w:rPr>
        <w:t>Aby odpowiedzieć na to pytanie, uczestnicy wskażą i krótko opiszą środki alternatywne wobec tymczasowego aresztowania uregulowane w ich systemach prawnych.</w:t>
      </w:r>
    </w:p>
    <w:p w14:paraId="63369916" w14:textId="0415089A" w:rsidR="006775B2" w:rsidRPr="000A4609" w:rsidRDefault="006775B2" w:rsidP="000A4609">
      <w:pPr>
        <w:spacing w:line="240" w:lineRule="auto"/>
        <w:jc w:val="both"/>
        <w:rPr>
          <w:rFonts w:ascii="Times New Roman" w:hAnsi="Times New Roman" w:cs="Times New Roman"/>
          <w:i/>
          <w:iCs/>
          <w:sz w:val="28"/>
          <w:szCs w:val="28"/>
        </w:rPr>
      </w:pPr>
    </w:p>
    <w:p w14:paraId="35F7AE5F" w14:textId="01758A71" w:rsidR="008E5AF7" w:rsidRPr="003D297B" w:rsidRDefault="008E5AF7" w:rsidP="000A4609">
      <w:pPr>
        <w:spacing w:line="240" w:lineRule="auto"/>
        <w:jc w:val="both"/>
        <w:rPr>
          <w:rFonts w:ascii="Times New Roman" w:hAnsi="Times New Roman" w:cs="Times New Roman"/>
          <w:i/>
          <w:color w:val="2F5496" w:themeColor="accent1" w:themeShade="BF"/>
          <w:sz w:val="28"/>
          <w:szCs w:val="28"/>
        </w:rPr>
      </w:pPr>
      <w:r>
        <w:rPr>
          <w:rFonts w:ascii="Times New Roman" w:hAnsi="Times New Roman"/>
          <w:b/>
          <w:i/>
          <w:color w:val="2F5496" w:themeColor="accent1" w:themeShade="BF"/>
          <w:sz w:val="28"/>
        </w:rPr>
        <w:t>P2:</w:t>
      </w:r>
      <w:r>
        <w:rPr>
          <w:rFonts w:ascii="Times New Roman" w:hAnsi="Times New Roman"/>
          <w:i/>
          <w:color w:val="2F5496" w:themeColor="accent1" w:themeShade="BF"/>
          <w:sz w:val="28"/>
        </w:rPr>
        <w:t xml:space="preserve"> Jeżeli takie środki alternatywne istnieją w Twoim systemie prawnym, </w:t>
      </w:r>
      <w:r>
        <w:rPr>
          <w:rFonts w:ascii="Times New Roman" w:hAnsi="Times New Roman"/>
          <w:b/>
          <w:i/>
          <w:color w:val="2F5496" w:themeColor="accent1" w:themeShade="BF"/>
          <w:sz w:val="28"/>
        </w:rPr>
        <w:t xml:space="preserve">czy mają one zastosowanie na tych samych warunkach do przestępcy, który legalnie przebywa w innym Państwie Członkowskim </w:t>
      </w:r>
      <w:r>
        <w:rPr>
          <w:rFonts w:ascii="Times New Roman" w:hAnsi="Times New Roman"/>
          <w:i/>
          <w:color w:val="2F5496" w:themeColor="accent1" w:themeShade="BF"/>
          <w:sz w:val="28"/>
        </w:rPr>
        <w:t>i popełnił przestępstwo, a Twoje organy sądowe są właściwe do prowadzenia dochodzenia w tej sprawie? Czy istnieją jakieś szczególne przepisy dotyczące sprawcy przestępstwa, który zgodnie z prawem przebywa w innym państwie członkowskim? Proszę je wskazać i krótko opisać.</w:t>
      </w:r>
    </w:p>
    <w:p w14:paraId="6A246685" w14:textId="23682B4E" w:rsidR="006775B2" w:rsidRPr="000A4609" w:rsidRDefault="006775B2" w:rsidP="000A4609">
      <w:pPr>
        <w:spacing w:line="240" w:lineRule="auto"/>
        <w:jc w:val="both"/>
        <w:rPr>
          <w:rFonts w:ascii="Times New Roman" w:hAnsi="Times New Roman" w:cs="Times New Roman"/>
          <w:sz w:val="28"/>
          <w:szCs w:val="28"/>
        </w:rPr>
      </w:pPr>
      <w:r>
        <w:rPr>
          <w:rFonts w:ascii="Times New Roman" w:hAnsi="Times New Roman"/>
          <w:sz w:val="28"/>
        </w:rPr>
        <w:t>Po wskazaniu środków alternatywnych uczestnicy będą musieli określić, czy środki te mogą być stosowane na tych samych warunkach wobec sprawcy przestępstwa przebywającego zgodnie z prawem w innym państwie członkowskim. W tym miejscu uczestnicy przedstawią swoje przepisy krajowe w tym zakresie (wskazując, czy wprowadzono specjalne przepisy dotyczące przestępcy przebywającego zgodnie z prawem w innym państwie członkowskim).</w:t>
      </w:r>
    </w:p>
    <w:p w14:paraId="6407768E" w14:textId="77777777" w:rsidR="006775B2" w:rsidRPr="000A4609" w:rsidRDefault="006775B2" w:rsidP="000A4609">
      <w:pPr>
        <w:spacing w:line="240" w:lineRule="auto"/>
        <w:jc w:val="both"/>
        <w:rPr>
          <w:rFonts w:ascii="Times New Roman" w:hAnsi="Times New Roman" w:cs="Times New Roman"/>
          <w:i/>
          <w:iCs/>
          <w:sz w:val="28"/>
          <w:szCs w:val="28"/>
        </w:rPr>
      </w:pPr>
    </w:p>
    <w:p w14:paraId="7CDBBF2C" w14:textId="154CBFA9" w:rsidR="008E5AF7" w:rsidRPr="003D297B" w:rsidRDefault="008E5AF7" w:rsidP="000A4609">
      <w:pPr>
        <w:spacing w:line="240" w:lineRule="auto"/>
        <w:jc w:val="both"/>
        <w:rPr>
          <w:rFonts w:ascii="Times New Roman" w:hAnsi="Times New Roman" w:cs="Times New Roman"/>
          <w:i/>
          <w:color w:val="2F5496" w:themeColor="accent1" w:themeShade="BF"/>
          <w:sz w:val="28"/>
          <w:szCs w:val="28"/>
        </w:rPr>
      </w:pPr>
      <w:r>
        <w:rPr>
          <w:rFonts w:ascii="Times New Roman" w:hAnsi="Times New Roman"/>
          <w:b/>
          <w:i/>
          <w:color w:val="2F5496" w:themeColor="accent1" w:themeShade="BF"/>
          <w:sz w:val="28"/>
        </w:rPr>
        <w:t>P3:</w:t>
      </w:r>
      <w:r>
        <w:rPr>
          <w:rFonts w:ascii="Times New Roman" w:hAnsi="Times New Roman"/>
          <w:i/>
          <w:color w:val="2F5496" w:themeColor="accent1" w:themeShade="BF"/>
          <w:sz w:val="28"/>
        </w:rPr>
        <w:t xml:space="preserve"> Jeżeli właściwy organ w Twoim kraju nałożył na sprawcę środki nadzoru, czy zgodnie z Twoim prawem krajowym możliwe jest wystąpienie o przeniesienie nadzoru, tak aby sprawca zamieszkujący zgodnie z prawem w innym państwie członkowskim </w:t>
      </w:r>
      <w:r>
        <w:rPr>
          <w:rFonts w:ascii="Times New Roman" w:hAnsi="Times New Roman"/>
          <w:b/>
          <w:i/>
          <w:color w:val="2F5496" w:themeColor="accent1" w:themeShade="BF"/>
          <w:sz w:val="28"/>
        </w:rPr>
        <w:t>był nadzorowany w swoim</w:t>
      </w:r>
      <w:r>
        <w:rPr>
          <w:rFonts w:ascii="Times New Roman" w:hAnsi="Times New Roman"/>
          <w:i/>
          <w:color w:val="2F5496" w:themeColor="accent1" w:themeShade="BF"/>
          <w:sz w:val="28"/>
        </w:rPr>
        <w:t xml:space="preserve"> kraju przez właściwy organ w oczekiwaniu na proces w Twoim kraju? Jaki instrument prawny ma zastosowanie w tym przypadku?</w:t>
      </w:r>
    </w:p>
    <w:p w14:paraId="6315E350" w14:textId="2EE75CB1" w:rsidR="00E6420B" w:rsidRPr="000A4609" w:rsidRDefault="003A4BA1" w:rsidP="000A4609">
      <w:pPr>
        <w:spacing w:line="240" w:lineRule="auto"/>
        <w:jc w:val="both"/>
        <w:rPr>
          <w:rFonts w:ascii="Times New Roman" w:hAnsi="Times New Roman" w:cs="Times New Roman"/>
          <w:sz w:val="28"/>
          <w:szCs w:val="28"/>
        </w:rPr>
      </w:pPr>
      <w:r>
        <w:rPr>
          <w:rFonts w:ascii="Times New Roman" w:hAnsi="Times New Roman"/>
          <w:sz w:val="28"/>
        </w:rPr>
        <w:t xml:space="preserve">W tej sytuacji zastosowanie ma </w:t>
      </w:r>
      <w:r>
        <w:rPr>
          <w:rFonts w:ascii="Times New Roman" w:hAnsi="Times New Roman"/>
          <w:b/>
          <w:sz w:val="28"/>
        </w:rPr>
        <w:t>decyzja ramowa Rady 2009/829/WSiSW</w:t>
      </w:r>
      <w:r w:rsidR="004E789C" w:rsidRPr="000A4609">
        <w:rPr>
          <w:rStyle w:val="Odwoanieprzypisudolnego"/>
          <w:rFonts w:ascii="Times New Roman" w:hAnsi="Times New Roman" w:cs="Times New Roman"/>
          <w:b/>
          <w:bCs/>
          <w:sz w:val="28"/>
          <w:szCs w:val="28"/>
        </w:rPr>
        <w:footnoteReference w:id="1"/>
      </w:r>
      <w:r>
        <w:rPr>
          <w:rFonts w:ascii="Times New Roman" w:hAnsi="Times New Roman"/>
          <w:b/>
          <w:sz w:val="28"/>
        </w:rPr>
        <w:t xml:space="preserve"> z dnia 23 października 2009 r. w sprawie stosowania zasady wzajemnego uznawania do decyzji w sprawie środków nadzoru stanowiących </w:t>
      </w:r>
      <w:r>
        <w:rPr>
          <w:rFonts w:ascii="Times New Roman" w:hAnsi="Times New Roman"/>
          <w:b/>
          <w:sz w:val="28"/>
        </w:rPr>
        <w:lastRenderedPageBreak/>
        <w:t>alternatywę dla tymczasowego aresztowania</w:t>
      </w:r>
      <w:r>
        <w:rPr>
          <w:rFonts w:ascii="Times New Roman" w:hAnsi="Times New Roman"/>
          <w:sz w:val="28"/>
        </w:rPr>
        <w:t xml:space="preserve"> (europejski nakaz nadzoru), którą należało wdrożyć do dnia 1 grudnia 2012 r. </w:t>
      </w:r>
    </w:p>
    <w:p w14:paraId="4F41AE8E" w14:textId="551F057D" w:rsidR="00000A64" w:rsidRDefault="00E6420B" w:rsidP="00000A64">
      <w:pPr>
        <w:spacing w:line="240" w:lineRule="auto"/>
        <w:jc w:val="both"/>
        <w:rPr>
          <w:rFonts w:ascii="Times New Roman" w:hAnsi="Times New Roman" w:cs="Times New Roman"/>
          <w:sz w:val="28"/>
          <w:szCs w:val="28"/>
        </w:rPr>
      </w:pPr>
      <w:r>
        <w:rPr>
          <w:rFonts w:ascii="Times New Roman" w:hAnsi="Times New Roman"/>
          <w:sz w:val="28"/>
        </w:rPr>
        <w:t>Wyżej wymieniona decyzja została wdrożona przez prawie wszystkie państwa członkowskie UE z wyjątkiem Irlandii, która obecnie wdraża decyzję ramową Rady, mimo że okres jej wdrażania już upłynął.</w:t>
      </w:r>
    </w:p>
    <w:tbl>
      <w:tblPr>
        <w:tblW w:w="9021" w:type="dxa"/>
        <w:tblInd w:w="-5" w:type="dxa"/>
        <w:tblCellMar>
          <w:left w:w="10" w:type="dxa"/>
          <w:right w:w="10" w:type="dxa"/>
        </w:tblCellMar>
        <w:tblLook w:val="04A0" w:firstRow="1" w:lastRow="0" w:firstColumn="1" w:lastColumn="0" w:noHBand="0" w:noVBand="1"/>
      </w:tblPr>
      <w:tblGrid>
        <w:gridCol w:w="9021"/>
      </w:tblGrid>
      <w:tr w:rsidR="00000A64" w:rsidRPr="00000A64" w14:paraId="5DA8157C" w14:textId="77777777" w:rsidTr="009300AA">
        <w:trPr>
          <w:trHeight w:val="1408"/>
        </w:trPr>
        <w:tc>
          <w:tcPr>
            <w:tcW w:w="902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9730C34" w14:textId="4730E3BE" w:rsidR="00000A64" w:rsidRDefault="009300AA">
            <w:pPr>
              <w:spacing w:after="0" w:line="240" w:lineRule="auto"/>
              <w:jc w:val="both"/>
              <w:rPr>
                <w:rFonts w:ascii="Times New Roman" w:hAnsi="Times New Roman" w:cs="Times New Roman"/>
                <w:sz w:val="28"/>
                <w:szCs w:val="28"/>
              </w:rPr>
            </w:pPr>
            <w:r>
              <w:rPr>
                <w:rFonts w:ascii="Times New Roman" w:hAnsi="Times New Roman"/>
                <w:i/>
                <w:sz w:val="28"/>
              </w:rPr>
              <w:t xml:space="preserve">Stan wdrażania </w:t>
            </w:r>
            <w:r>
              <w:rPr>
                <w:rFonts w:ascii="Times New Roman" w:hAnsi="Times New Roman"/>
                <w:sz w:val="28"/>
              </w:rPr>
              <w:t xml:space="preserve">decyzji ramowej Rady </w:t>
            </w:r>
            <w:r>
              <w:rPr>
                <w:rFonts w:ascii="Times New Roman" w:hAnsi="Times New Roman"/>
                <w:sz w:val="28"/>
                <w:shd w:val="clear" w:color="auto" w:fill="B4C6E7" w:themeFill="accent1" w:themeFillTint="66"/>
              </w:rPr>
              <w:t xml:space="preserve">2009/829/WSiSW z dnia 23 października 2009 r. jest dostępny na stronie internetowej EJN – </w:t>
            </w:r>
            <w:hyperlink r:id="rId9" w:history="1">
              <w:r>
                <w:rPr>
                  <w:rStyle w:val="Hipercze"/>
                  <w:rFonts w:ascii="Times New Roman" w:hAnsi="Times New Roman"/>
                  <w:sz w:val="28"/>
                  <w:shd w:val="clear" w:color="auto" w:fill="B4C6E7" w:themeFill="accent1" w:themeFillTint="66"/>
                </w:rPr>
                <w:t>www.ejn-crimjust.europa.eu</w:t>
              </w:r>
            </w:hyperlink>
            <w:r>
              <w:rPr>
                <w:rFonts w:ascii="Times New Roman" w:hAnsi="Times New Roman"/>
                <w:sz w:val="28"/>
                <w:shd w:val="clear" w:color="auto" w:fill="B4C6E7" w:themeFill="accent1" w:themeFillTint="66"/>
              </w:rPr>
              <w:t xml:space="preserve"> (w sekcji </w:t>
            </w:r>
            <w:hyperlink r:id="rId10" w:history="1">
              <w:r>
                <w:rPr>
                  <w:rStyle w:val="Hipercze"/>
                  <w:rFonts w:ascii="Times New Roman" w:hAnsi="Times New Roman"/>
                  <w:sz w:val="28"/>
                  <w:shd w:val="clear" w:color="auto" w:fill="B4C6E7" w:themeFill="accent1" w:themeFillTint="66"/>
                </w:rPr>
                <w:t>poświęconej decyzji ramowej Rady 2009/829/WSiSW</w:t>
              </w:r>
            </w:hyperlink>
            <w:r>
              <w:rPr>
                <w:rFonts w:ascii="Times New Roman" w:hAnsi="Times New Roman"/>
                <w:sz w:val="28"/>
                <w:shd w:val="clear" w:color="auto" w:fill="B4C6E7" w:themeFill="accent1" w:themeFillTint="66"/>
              </w:rPr>
              <w:t>)</w:t>
            </w:r>
          </w:p>
        </w:tc>
      </w:tr>
    </w:tbl>
    <w:p w14:paraId="179A08D7" w14:textId="77777777" w:rsidR="00EE1F2F" w:rsidRPr="000A4609" w:rsidRDefault="00EE1F2F" w:rsidP="000A4609">
      <w:pPr>
        <w:spacing w:line="240" w:lineRule="auto"/>
        <w:jc w:val="both"/>
        <w:rPr>
          <w:rFonts w:ascii="Times New Roman" w:hAnsi="Times New Roman" w:cs="Times New Roman"/>
          <w:sz w:val="28"/>
          <w:szCs w:val="28"/>
          <w:lang w:val="en-US"/>
        </w:rPr>
      </w:pPr>
    </w:p>
    <w:p w14:paraId="67EF300F" w14:textId="34D4692B" w:rsidR="004B1AAB" w:rsidRPr="000A4609" w:rsidRDefault="00631F79" w:rsidP="000A4609">
      <w:pPr>
        <w:spacing w:line="240" w:lineRule="auto"/>
        <w:jc w:val="both"/>
        <w:rPr>
          <w:rFonts w:ascii="Times New Roman" w:hAnsi="Times New Roman" w:cs="Times New Roman"/>
          <w:sz w:val="28"/>
          <w:szCs w:val="28"/>
        </w:rPr>
      </w:pPr>
      <w:r>
        <w:rPr>
          <w:rFonts w:ascii="Times New Roman" w:hAnsi="Times New Roman"/>
          <w:sz w:val="28"/>
        </w:rPr>
        <w:t xml:space="preserve">Biorąc pod uwagę, że </w:t>
      </w:r>
      <w:r>
        <w:rPr>
          <w:rFonts w:ascii="Times New Roman" w:hAnsi="Times New Roman"/>
          <w:b/>
          <w:sz w:val="28"/>
        </w:rPr>
        <w:t>zasada wzajemnego uznawania</w:t>
      </w:r>
      <w:r>
        <w:rPr>
          <w:rFonts w:ascii="Times New Roman" w:hAnsi="Times New Roman"/>
          <w:sz w:val="28"/>
        </w:rPr>
        <w:t xml:space="preserve"> powinna mieć zastosowanie również do nakazów przedprocesowych, ten instrument prawny umożliwia osobie zamieszkałej w jednym państwie członkowskim, ale objętej postępowaniem karnym w drugim państwie członkowskim, pozostawanie w </w:t>
      </w:r>
      <w:r>
        <w:rPr>
          <w:rFonts w:ascii="Times New Roman" w:hAnsi="Times New Roman"/>
          <w:b/>
          <w:sz w:val="28"/>
        </w:rPr>
        <w:t>oczekiwaniu na proces pod nadzorem organów państwa, w którym ma</w:t>
      </w:r>
      <w:r>
        <w:rPr>
          <w:rFonts w:ascii="Times New Roman" w:hAnsi="Times New Roman"/>
          <w:sz w:val="28"/>
        </w:rPr>
        <w:t xml:space="preserve"> ona miejsce zamieszkania, i </w:t>
      </w:r>
      <w:r>
        <w:rPr>
          <w:rFonts w:ascii="Times New Roman" w:hAnsi="Times New Roman"/>
          <w:b/>
          <w:sz w:val="28"/>
        </w:rPr>
        <w:t>zapewnia, że nie jest ona traktowana inaczej</w:t>
      </w:r>
      <w:r>
        <w:rPr>
          <w:rFonts w:ascii="Times New Roman" w:hAnsi="Times New Roman"/>
          <w:sz w:val="28"/>
        </w:rPr>
        <w:t xml:space="preserve"> niż osoba objęta postępowaniem karnym, która ma takie samo miejsce zamieszkania.</w:t>
      </w:r>
    </w:p>
    <w:p w14:paraId="54F0488F" w14:textId="4C516295" w:rsidR="00CA7AF9" w:rsidRPr="000A4609" w:rsidRDefault="00CA7AF9" w:rsidP="000A4609">
      <w:pPr>
        <w:spacing w:line="240" w:lineRule="auto"/>
        <w:jc w:val="both"/>
        <w:rPr>
          <w:rFonts w:ascii="Times New Roman" w:hAnsi="Times New Roman" w:cs="Times New Roman"/>
          <w:sz w:val="28"/>
          <w:szCs w:val="28"/>
        </w:rPr>
      </w:pPr>
      <w:r>
        <w:rPr>
          <w:rFonts w:ascii="Times New Roman" w:hAnsi="Times New Roman"/>
          <w:sz w:val="28"/>
        </w:rPr>
        <w:t xml:space="preserve">Głównym </w:t>
      </w:r>
      <w:r>
        <w:rPr>
          <w:rFonts w:ascii="Times New Roman" w:hAnsi="Times New Roman"/>
          <w:b/>
          <w:sz w:val="28"/>
        </w:rPr>
        <w:t>celem</w:t>
      </w:r>
      <w:r>
        <w:rPr>
          <w:rFonts w:ascii="Times New Roman" w:hAnsi="Times New Roman"/>
          <w:sz w:val="28"/>
        </w:rPr>
        <w:t xml:space="preserve"> decyzji ramowej </w:t>
      </w:r>
      <w:r w:rsidR="00E847ED">
        <w:rPr>
          <w:rFonts w:ascii="Times New Roman" w:hAnsi="Times New Roman"/>
          <w:sz w:val="28"/>
        </w:rPr>
        <w:t>jest</w:t>
      </w:r>
      <w:r w:rsidR="00E847ED">
        <w:rPr>
          <w:rFonts w:ascii="Times New Roman" w:hAnsi="Times New Roman"/>
          <w:i/>
          <w:sz w:val="28"/>
        </w:rPr>
        <w:t xml:space="preserve"> promowanie</w:t>
      </w:r>
      <w:r>
        <w:rPr>
          <w:rFonts w:ascii="Times New Roman" w:hAnsi="Times New Roman"/>
          <w:i/>
          <w:sz w:val="28"/>
        </w:rPr>
        <w:t xml:space="preserve">, w stosownych przypadkach, stosowania środków niepolegających na pozbawieniu wolności jako alternatywy dla </w:t>
      </w:r>
      <w:r w:rsidR="00E847ED">
        <w:rPr>
          <w:rFonts w:ascii="Times New Roman" w:hAnsi="Times New Roman"/>
          <w:i/>
          <w:sz w:val="28"/>
        </w:rPr>
        <w:t>tymczasowego</w:t>
      </w:r>
      <w:r w:rsidR="00E847ED">
        <w:rPr>
          <w:rFonts w:ascii="Times New Roman" w:hAnsi="Times New Roman"/>
          <w:sz w:val="28"/>
        </w:rPr>
        <w:t xml:space="preserve"> aresztowania</w:t>
      </w:r>
      <w:r>
        <w:rPr>
          <w:rFonts w:ascii="Times New Roman" w:hAnsi="Times New Roman"/>
          <w:sz w:val="28"/>
        </w:rPr>
        <w:t xml:space="preserve">, nawet jeżeli zgodnie z prawem danego państwa członkowskiego tymczasowe aresztowanie nie mogło zostać zastosowane ab initio, oraz </w:t>
      </w:r>
      <w:r>
        <w:rPr>
          <w:rFonts w:ascii="Times New Roman" w:hAnsi="Times New Roman"/>
          <w:i/>
          <w:sz w:val="28"/>
        </w:rPr>
        <w:t>zapewnienie prawidłowego przebiegu postępowania sądowego, a w szczególności tego, że dana osoba</w:t>
      </w:r>
      <w:r>
        <w:rPr>
          <w:rFonts w:ascii="Times New Roman" w:hAnsi="Times New Roman"/>
          <w:sz w:val="28"/>
        </w:rPr>
        <w:t xml:space="preserve"> będzie mogła stanąć przed sądem.</w:t>
      </w:r>
    </w:p>
    <w:p w14:paraId="777530DF" w14:textId="2968CE72" w:rsidR="00EE11C6" w:rsidRPr="000A4609" w:rsidRDefault="00EE11C6" w:rsidP="000A4609">
      <w:pPr>
        <w:spacing w:line="240" w:lineRule="auto"/>
        <w:jc w:val="both"/>
        <w:rPr>
          <w:rFonts w:ascii="Times New Roman" w:hAnsi="Times New Roman" w:cs="Times New Roman"/>
          <w:sz w:val="28"/>
          <w:szCs w:val="28"/>
        </w:rPr>
      </w:pPr>
      <w:r>
        <w:rPr>
          <w:rFonts w:ascii="Times New Roman" w:hAnsi="Times New Roman"/>
          <w:sz w:val="28"/>
        </w:rPr>
        <w:t xml:space="preserve">Środki przewidziane w decyzji ramowej Rady powinny mieć również na celu </w:t>
      </w:r>
      <w:r>
        <w:rPr>
          <w:rFonts w:ascii="Times New Roman" w:hAnsi="Times New Roman"/>
          <w:i/>
          <w:sz w:val="28"/>
        </w:rPr>
        <w:t>wzmocnienie prawa do wolności i domniemania niewinności w Unii Europejskiej</w:t>
      </w:r>
      <w:r>
        <w:rPr>
          <w:rFonts w:ascii="Times New Roman" w:hAnsi="Times New Roman"/>
          <w:sz w:val="28"/>
        </w:rPr>
        <w:t xml:space="preserve"> oraz </w:t>
      </w:r>
      <w:r>
        <w:rPr>
          <w:rFonts w:ascii="Times New Roman" w:hAnsi="Times New Roman"/>
          <w:i/>
          <w:sz w:val="28"/>
        </w:rPr>
        <w:t>zapewnienie współpracy między państwami członkowskimi, w przypadku gdy dana osoba podlega obowiązkom lub nadzorowi w oczekiwaniu na decyzję sądu</w:t>
      </w:r>
      <w:r>
        <w:rPr>
          <w:rFonts w:ascii="Times New Roman" w:hAnsi="Times New Roman"/>
          <w:sz w:val="28"/>
        </w:rPr>
        <w:t>.</w:t>
      </w:r>
    </w:p>
    <w:p w14:paraId="0C80A4C8" w14:textId="77777777" w:rsidR="00BD0741" w:rsidRPr="000A4609" w:rsidRDefault="00BD0741" w:rsidP="000A4609">
      <w:pPr>
        <w:spacing w:line="240" w:lineRule="auto"/>
        <w:jc w:val="both"/>
        <w:rPr>
          <w:rFonts w:ascii="Times New Roman" w:hAnsi="Times New Roman" w:cs="Times New Roman"/>
          <w:sz w:val="28"/>
          <w:szCs w:val="28"/>
        </w:rPr>
      </w:pPr>
    </w:p>
    <w:tbl>
      <w:tblPr>
        <w:tblW w:w="91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8"/>
      </w:tblGrid>
      <w:tr w:rsidR="00BD0741" w:rsidRPr="000A4609" w14:paraId="44C0E5A1" w14:textId="77777777" w:rsidTr="003D297B">
        <w:trPr>
          <w:trHeight w:val="1240"/>
        </w:trPr>
        <w:tc>
          <w:tcPr>
            <w:tcW w:w="9108" w:type="dxa"/>
            <w:shd w:val="clear" w:color="auto" w:fill="B4C6E7" w:themeFill="accent1" w:themeFillTint="66"/>
          </w:tcPr>
          <w:p w14:paraId="30ABAAB6" w14:textId="53F5D441" w:rsidR="00BD0741" w:rsidRPr="000A4609" w:rsidRDefault="00BD0741" w:rsidP="000A4609">
            <w:pPr>
              <w:spacing w:line="240" w:lineRule="auto"/>
              <w:ind w:left="24"/>
              <w:jc w:val="both"/>
              <w:rPr>
                <w:rFonts w:ascii="Times New Roman" w:hAnsi="Times New Roman" w:cs="Times New Roman"/>
                <w:sz w:val="28"/>
                <w:szCs w:val="28"/>
              </w:rPr>
            </w:pPr>
            <w:r>
              <w:rPr>
                <w:rFonts w:ascii="Times New Roman" w:hAnsi="Times New Roman"/>
                <w:sz w:val="28"/>
              </w:rPr>
              <w:t>Decyzja ramowa Rady nie przyznaje jednak osobie żadnego prawa do stosowania w trakcie postępowania karnego środka niepolegającego na pozbawieniu wolności jako alternatywy dla pozbawienia wolności. Jest to kwestia</w:t>
            </w:r>
            <w:r>
              <w:rPr>
                <w:rFonts w:ascii="Times New Roman" w:hAnsi="Times New Roman"/>
                <w:b/>
                <w:sz w:val="28"/>
              </w:rPr>
              <w:t xml:space="preserve"> podlegająca prawu i procedurom państwa członkowskiego</w:t>
            </w:r>
            <w:r>
              <w:rPr>
                <w:rFonts w:ascii="Times New Roman" w:hAnsi="Times New Roman"/>
                <w:sz w:val="28"/>
              </w:rPr>
              <w:t>, w którym toczy się postępowanie karne (art. 2 ust. 2 decyzji ramowej Rady).</w:t>
            </w:r>
          </w:p>
        </w:tc>
      </w:tr>
    </w:tbl>
    <w:p w14:paraId="71AAFCE1" w14:textId="77777777" w:rsidR="003D297B" w:rsidRDefault="003D297B" w:rsidP="000A4609">
      <w:pPr>
        <w:spacing w:line="240" w:lineRule="auto"/>
        <w:jc w:val="both"/>
        <w:rPr>
          <w:rFonts w:ascii="Times New Roman" w:hAnsi="Times New Roman" w:cs="Times New Roman"/>
          <w:sz w:val="28"/>
          <w:szCs w:val="28"/>
        </w:rPr>
      </w:pPr>
    </w:p>
    <w:p w14:paraId="697BF370" w14:textId="53D37136" w:rsidR="006B4AFF" w:rsidRPr="000A4609" w:rsidRDefault="00050E08" w:rsidP="000A4609">
      <w:pPr>
        <w:spacing w:line="240" w:lineRule="auto"/>
        <w:jc w:val="both"/>
        <w:rPr>
          <w:rFonts w:ascii="Times New Roman" w:hAnsi="Times New Roman" w:cs="Times New Roman"/>
          <w:sz w:val="28"/>
          <w:szCs w:val="28"/>
        </w:rPr>
      </w:pPr>
      <w:r>
        <w:rPr>
          <w:rFonts w:ascii="Times New Roman" w:hAnsi="Times New Roman"/>
          <w:sz w:val="28"/>
        </w:rPr>
        <w:lastRenderedPageBreak/>
        <w:t xml:space="preserve">W tym momencie uczestnicy powinni być w stanie </w:t>
      </w:r>
      <w:r>
        <w:rPr>
          <w:rFonts w:ascii="Times New Roman" w:hAnsi="Times New Roman"/>
          <w:b/>
          <w:sz w:val="28"/>
        </w:rPr>
        <w:t>zidentyfikować przepisy krajowe wdrażające dyrektywę 2009/829/WSiSW</w:t>
      </w:r>
      <w:r>
        <w:rPr>
          <w:rFonts w:ascii="Times New Roman" w:hAnsi="Times New Roman"/>
          <w:sz w:val="28"/>
        </w:rPr>
        <w:t>, zgodnie z powiadomieniem Sekretariatu Generalnego Rady Unii Europejskiej.</w:t>
      </w:r>
    </w:p>
    <w:p w14:paraId="608A034E" w14:textId="2CBF58E9" w:rsidR="00543D74" w:rsidRPr="000A4609" w:rsidRDefault="00A433C1" w:rsidP="000A4609">
      <w:pPr>
        <w:spacing w:line="240" w:lineRule="auto"/>
        <w:jc w:val="both"/>
        <w:rPr>
          <w:rFonts w:ascii="Times New Roman" w:hAnsi="Times New Roman" w:cs="Times New Roman"/>
          <w:sz w:val="28"/>
          <w:szCs w:val="28"/>
        </w:rPr>
      </w:pPr>
      <w:r>
        <w:rPr>
          <w:rFonts w:ascii="Times New Roman" w:hAnsi="Times New Roman"/>
          <w:sz w:val="28"/>
        </w:rPr>
        <w:t xml:space="preserve">Informacje dotyczące wdrażania decyzji ramowej Rady </w:t>
      </w:r>
      <w:r>
        <w:rPr>
          <w:rFonts w:ascii="Times New Roman" w:hAnsi="Times New Roman"/>
          <w:b/>
          <w:sz w:val="28"/>
        </w:rPr>
        <w:t>dla każdego państwa członkowskiego</w:t>
      </w:r>
      <w:r>
        <w:rPr>
          <w:rFonts w:ascii="Times New Roman" w:hAnsi="Times New Roman"/>
          <w:sz w:val="28"/>
        </w:rPr>
        <w:t xml:space="preserve"> są dostępne na stronie internetowej EJN, jak wskazano powyżej.</w:t>
      </w:r>
    </w:p>
    <w:p w14:paraId="4A4811A8" w14:textId="49DA4853" w:rsidR="007232B3" w:rsidRPr="00000A64" w:rsidRDefault="007232B3" w:rsidP="000A4609">
      <w:pPr>
        <w:rPr>
          <w:rFonts w:ascii="Times New Roman" w:hAnsi="Times New Roman" w:cs="Times New Roman"/>
          <w:color w:val="4472C4" w:themeColor="accent1"/>
          <w:sz w:val="28"/>
          <w:szCs w:val="28"/>
        </w:rPr>
      </w:pPr>
      <w:r>
        <w:br w:type="page"/>
      </w:r>
    </w:p>
    <w:p w14:paraId="6FC9C15B" w14:textId="4068D7EB" w:rsidR="00B43037" w:rsidRPr="000A4609" w:rsidRDefault="007232B3" w:rsidP="000A4609">
      <w:pPr>
        <w:spacing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lastRenderedPageBreak/>
        <w:t>A. II. Ćwiczenia:</w:t>
      </w:r>
    </w:p>
    <w:p w14:paraId="280BBB48" w14:textId="041ECD87" w:rsidR="00C06687" w:rsidRPr="000A4609" w:rsidRDefault="00C06687" w:rsidP="000A4609">
      <w:pPr>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Znajdź następujące właściwe organy wykonujące i języki, których należy używać w zaświadczeniu (dla ogólnych spraw karnych):</w:t>
      </w:r>
    </w:p>
    <w:p w14:paraId="10E39A71" w14:textId="77777777" w:rsidR="00806B62" w:rsidRPr="00000A64" w:rsidRDefault="00806B62" w:rsidP="000A4609">
      <w:pPr>
        <w:jc w:val="both"/>
        <w:rPr>
          <w:rFonts w:ascii="Times New Roman" w:hAnsi="Times New Roman" w:cs="Times New Roman"/>
          <w:b/>
          <w:bCs/>
          <w:color w:val="4472C4" w:themeColor="accent1"/>
          <w:sz w:val="28"/>
          <w:szCs w:val="28"/>
          <w:lang w:val="en-US"/>
        </w:rPr>
      </w:pPr>
    </w:p>
    <w:p w14:paraId="3144053F" w14:textId="38A7508A" w:rsidR="00806B62" w:rsidRPr="000A4609" w:rsidRDefault="00806B62" w:rsidP="000A4609">
      <w:pPr>
        <w:suppressAutoHyphens/>
        <w:autoSpaceDN w:val="0"/>
        <w:spacing w:line="240" w:lineRule="auto"/>
        <w:jc w:val="both"/>
        <w:textAlignment w:val="baseline"/>
        <w:rPr>
          <w:rFonts w:ascii="Times New Roman" w:eastAsia="Calibri" w:hAnsi="Times New Roman" w:cs="Times New Roman"/>
          <w:i/>
          <w:iCs/>
          <w:sz w:val="28"/>
          <w:szCs w:val="28"/>
        </w:rPr>
      </w:pPr>
      <w:r>
        <w:rPr>
          <w:rFonts w:ascii="Times New Roman" w:hAnsi="Times New Roman"/>
          <w:sz w:val="28"/>
        </w:rPr>
        <w:t xml:space="preserve">Aby znaleźć właściwe organy, skorzystamy z </w:t>
      </w:r>
      <w:hyperlink r:id="rId11" w:history="1">
        <w:r>
          <w:rPr>
            <w:rStyle w:val="Hipercze"/>
            <w:rFonts w:ascii="Times New Roman" w:hAnsi="Times New Roman"/>
            <w:b/>
            <w:i/>
            <w:sz w:val="28"/>
          </w:rPr>
          <w:t>Atlasu</w:t>
        </w:r>
      </w:hyperlink>
      <w:r>
        <w:rPr>
          <w:rFonts w:ascii="Times New Roman" w:hAnsi="Times New Roman"/>
          <w:sz w:val="28"/>
        </w:rPr>
        <w:t xml:space="preserve"> dostępnego na stronie internetowej EJN – </w:t>
      </w:r>
      <w:hyperlink r:id="rId12" w:history="1">
        <w:r>
          <w:rPr>
            <w:rFonts w:ascii="Times New Roman" w:hAnsi="Times New Roman"/>
            <w:color w:val="0563C1"/>
            <w:sz w:val="28"/>
            <w:u w:val="single"/>
          </w:rPr>
          <w:t>www.ejn-crimjust.europa.eu</w:t>
        </w:r>
      </w:hyperlink>
      <w:r>
        <w:rPr>
          <w:rFonts w:ascii="Times New Roman" w:hAnsi="Times New Roman"/>
          <w:sz w:val="28"/>
        </w:rPr>
        <w:t xml:space="preserve">wybierzemy państwa członkowskie wykonujące jako kraje wykonujące i </w:t>
      </w:r>
      <w:r>
        <w:rPr>
          <w:rFonts w:ascii="Times New Roman" w:hAnsi="Times New Roman"/>
          <w:i/>
          <w:sz w:val="28"/>
        </w:rPr>
        <w:t>905. Wykonanie środka nadzoru.</w:t>
      </w:r>
    </w:p>
    <w:p w14:paraId="23B95307" w14:textId="2C33752B" w:rsidR="00000A64" w:rsidRPr="00000A64" w:rsidRDefault="00806B62"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Jeśli chodzi o języki zaświadczenia, będziemy korzystać z sekcji "Środki nadzoru – Powiadomienia dla każdego państwa członkowskiego" dostępnej na stronie internetowej EJN</w:t>
      </w:r>
      <w:r>
        <w:rPr>
          <w:rFonts w:ascii="Times New Roman" w:hAnsi="Times New Roman"/>
          <w:color w:val="4472C4" w:themeColor="accent1"/>
          <w:sz w:val="28"/>
          <w:u w:val="single"/>
        </w:rPr>
        <w:t xml:space="preserve"> </w:t>
      </w:r>
      <w:hyperlink r:id="rId13" w:history="1">
        <w:r>
          <w:rPr>
            <w:rFonts w:ascii="Times New Roman" w:hAnsi="Times New Roman"/>
            <w:color w:val="0563C1"/>
            <w:sz w:val="28"/>
            <w:u w:val="single"/>
          </w:rPr>
          <w:t>dostępną na stronie internetowej EJN</w:t>
        </w:r>
      </w:hyperlink>
      <w:r>
        <w:rPr>
          <w:rFonts w:ascii="Times New Roman" w:hAnsi="Times New Roman"/>
          <w:color w:val="0563C1"/>
          <w:sz w:val="28"/>
          <w:u w:val="single"/>
        </w:rPr>
        <w:t>.</w:t>
      </w:r>
    </w:p>
    <w:p w14:paraId="2AECE1DF" w14:textId="6B1EF5CA" w:rsidR="00806B62" w:rsidRPr="000A4609" w:rsidRDefault="00806B62"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Jeżeli nie powiadomiono o niczym w związku z art. 24 decyzji ramowej Rady, stosuje się język(i) urzędowy(e) państwa członkowskiego.</w:t>
      </w:r>
    </w:p>
    <w:p w14:paraId="198A13C9" w14:textId="2DED232F" w:rsidR="00806B62" w:rsidRPr="000A4609" w:rsidRDefault="00806B62"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Wyniki powinny być następujące:</w:t>
      </w:r>
    </w:p>
    <w:p w14:paraId="7D6B7EFD" w14:textId="1FF3A39A" w:rsidR="005964AE" w:rsidRPr="000A4609" w:rsidRDefault="005964AE" w:rsidP="000A4609">
      <w:pPr>
        <w:suppressAutoHyphens/>
        <w:autoSpaceDN w:val="0"/>
        <w:spacing w:line="240" w:lineRule="auto"/>
        <w:jc w:val="both"/>
        <w:textAlignment w:val="baseline"/>
        <w:rPr>
          <w:rFonts w:ascii="Times New Roman" w:eastAsia="Calibri" w:hAnsi="Times New Roman" w:cs="Times New Roman"/>
          <w:sz w:val="28"/>
          <w:szCs w:val="28"/>
          <w:lang w:val="en-US"/>
        </w:rPr>
      </w:pPr>
    </w:p>
    <w:p w14:paraId="2B2B2555" w14:textId="47B442E4" w:rsidR="00806B62" w:rsidRPr="003D297B" w:rsidRDefault="005964AE" w:rsidP="003D297B">
      <w:pPr>
        <w:spacing w:line="240" w:lineRule="auto"/>
        <w:jc w:val="both"/>
        <w:rPr>
          <w:rFonts w:ascii="Times New Roman" w:hAnsi="Times New Roman" w:cs="Times New Roman"/>
          <w:i/>
          <w:sz w:val="28"/>
          <w:szCs w:val="28"/>
        </w:rPr>
      </w:pPr>
      <w:r>
        <w:rPr>
          <w:rFonts w:ascii="Times New Roman" w:hAnsi="Times New Roman"/>
          <w:i/>
          <w:sz w:val="28"/>
        </w:rPr>
        <w:t>1. Właściwy organ niemiecki chce przekazać nadzór nad skazanym A.N., który legalnie i zwyczajowo przebywa w Brukseli (Belgia).</w:t>
      </w:r>
    </w:p>
    <w:tbl>
      <w:tblPr>
        <w:tblW w:w="9090" w:type="dxa"/>
        <w:tblInd w:w="-5" w:type="dxa"/>
        <w:tblCellMar>
          <w:left w:w="10" w:type="dxa"/>
          <w:right w:w="10" w:type="dxa"/>
        </w:tblCellMar>
        <w:tblLook w:val="04A0" w:firstRow="1" w:lastRow="0" w:firstColumn="1" w:lastColumn="0" w:noHBand="0" w:noVBand="1"/>
      </w:tblPr>
      <w:tblGrid>
        <w:gridCol w:w="9090"/>
      </w:tblGrid>
      <w:tr w:rsidR="00C06687" w:rsidRPr="000A4609" w14:paraId="23CB430E" w14:textId="77777777" w:rsidTr="003D297B">
        <w:trPr>
          <w:trHeight w:val="4067"/>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9FEF28A" w14:textId="4FD8BBE7" w:rsidR="00C06687" w:rsidRPr="002423B7" w:rsidRDefault="00E847ED"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Nazwa</w:t>
            </w:r>
            <w:r w:rsidR="00C06687">
              <w:rPr>
                <w:rFonts w:ascii="Times New Roman" w:hAnsi="Times New Roman"/>
                <w:b/>
                <w:color w:val="2F5496" w:themeColor="accent1" w:themeShade="BF"/>
                <w:sz w:val="28"/>
              </w:rPr>
              <w:t>:</w:t>
            </w:r>
            <w:r w:rsidR="00C06687">
              <w:rPr>
                <w:rFonts w:ascii="Times New Roman" w:hAnsi="Times New Roman"/>
                <w:sz w:val="28"/>
              </w:rPr>
              <w:t xml:space="preserve"> </w:t>
            </w:r>
            <w:r w:rsidR="00C06687">
              <w:rPr>
                <w:rFonts w:ascii="Times New Roman" w:hAnsi="Times New Roman"/>
                <w:sz w:val="28"/>
              </w:rPr>
              <w:tab/>
            </w:r>
            <w:r w:rsidR="00C06687">
              <w:rPr>
                <w:rFonts w:ascii="Times New Roman" w:hAnsi="Times New Roman"/>
                <w:sz w:val="28"/>
              </w:rPr>
              <w:tab/>
              <w:t xml:space="preserve">Parket van de procureur des Konings te Brussel (Bureau </w:t>
            </w:r>
            <w:r w:rsidR="00B86907">
              <w:rPr>
                <w:rFonts w:ascii="Times New Roman" w:hAnsi="Times New Roman"/>
                <w:sz w:val="28"/>
              </w:rPr>
              <w:tab/>
            </w:r>
            <w:r w:rsidR="00B86907">
              <w:rPr>
                <w:rFonts w:ascii="Times New Roman" w:hAnsi="Times New Roman"/>
                <w:sz w:val="28"/>
              </w:rPr>
              <w:tab/>
            </w:r>
            <w:r w:rsidR="00B86907">
              <w:rPr>
                <w:rFonts w:ascii="Times New Roman" w:hAnsi="Times New Roman"/>
                <w:sz w:val="28"/>
              </w:rPr>
              <w:tab/>
            </w:r>
            <w:r w:rsidR="00B86907">
              <w:rPr>
                <w:rFonts w:ascii="Times New Roman" w:hAnsi="Times New Roman"/>
                <w:sz w:val="28"/>
              </w:rPr>
              <w:tab/>
            </w:r>
            <w:r w:rsidR="00C06687">
              <w:rPr>
                <w:rFonts w:ascii="Times New Roman" w:hAnsi="Times New Roman"/>
                <w:sz w:val="28"/>
              </w:rPr>
              <w:t>CIS)</w:t>
            </w:r>
            <w:r w:rsidR="00B86907">
              <w:rPr>
                <w:rFonts w:ascii="Times New Roman" w:hAnsi="Times New Roman"/>
                <w:sz w:val="28"/>
              </w:rPr>
              <w:t xml:space="preserve"> </w:t>
            </w:r>
            <w:r w:rsidR="00C06687">
              <w:rPr>
                <w:rFonts w:ascii="Times New Roman" w:hAnsi="Times New Roman"/>
                <w:sz w:val="28"/>
              </w:rPr>
              <w:t xml:space="preserve">- Parquet du procureur du Roi de Bruxelles (Bureau </w:t>
            </w:r>
            <w:r w:rsidR="00B86907">
              <w:rPr>
                <w:rFonts w:ascii="Times New Roman" w:hAnsi="Times New Roman"/>
                <w:sz w:val="28"/>
              </w:rPr>
              <w:tab/>
            </w:r>
            <w:r w:rsidR="00B86907">
              <w:rPr>
                <w:rFonts w:ascii="Times New Roman" w:hAnsi="Times New Roman"/>
                <w:sz w:val="28"/>
              </w:rPr>
              <w:tab/>
            </w:r>
            <w:r w:rsidR="00B86907">
              <w:rPr>
                <w:rFonts w:ascii="Times New Roman" w:hAnsi="Times New Roman"/>
                <w:sz w:val="28"/>
              </w:rPr>
              <w:tab/>
            </w:r>
            <w:r w:rsidR="00B86907">
              <w:rPr>
                <w:rFonts w:ascii="Times New Roman" w:hAnsi="Times New Roman"/>
                <w:sz w:val="28"/>
              </w:rPr>
              <w:tab/>
            </w:r>
            <w:r w:rsidR="00C06687">
              <w:rPr>
                <w:rFonts w:ascii="Times New Roman" w:hAnsi="Times New Roman"/>
                <w:sz w:val="28"/>
              </w:rPr>
              <w:t xml:space="preserve">CIS) </w:t>
            </w:r>
          </w:p>
          <w:p w14:paraId="54AB7305" w14:textId="058F1A95" w:rsidR="00C06687" w:rsidRPr="002423B7"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Adres:</w:t>
            </w:r>
            <w:r>
              <w:rPr>
                <w:rFonts w:ascii="Times New Roman" w:hAnsi="Times New Roman"/>
                <w:sz w:val="28"/>
              </w:rPr>
              <w:t xml:space="preserve"> </w:t>
            </w:r>
            <w:r>
              <w:rPr>
                <w:rFonts w:ascii="Times New Roman" w:hAnsi="Times New Roman"/>
                <w:sz w:val="28"/>
              </w:rPr>
              <w:tab/>
            </w:r>
            <w:r>
              <w:rPr>
                <w:rFonts w:ascii="Times New Roman" w:hAnsi="Times New Roman"/>
                <w:sz w:val="28"/>
              </w:rPr>
              <w:tab/>
              <w:t xml:space="preserve">Portalis, Rue des Quatre bras, 4 </w:t>
            </w:r>
          </w:p>
          <w:p w14:paraId="50686D51" w14:textId="77777777"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Departament (Wydział): </w:t>
            </w:r>
          </w:p>
          <w:p w14:paraId="5136A8D9" w14:textId="0A55DA65"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Miasto:</w:t>
            </w:r>
            <w:r>
              <w:rPr>
                <w:rFonts w:ascii="Times New Roman" w:hAnsi="Times New Roman"/>
                <w:color w:val="2F5496" w:themeColor="accent1" w:themeShade="BF"/>
                <w:sz w:val="28"/>
              </w:rPr>
              <w:t xml:space="preserve"> </w:t>
            </w:r>
            <w:r w:rsidR="00B86907">
              <w:rPr>
                <w:rFonts w:ascii="Times New Roman" w:hAnsi="Times New Roman"/>
                <w:sz w:val="28"/>
              </w:rPr>
              <w:tab/>
            </w:r>
            <w:r w:rsidR="00B86907">
              <w:rPr>
                <w:rFonts w:ascii="Times New Roman" w:hAnsi="Times New Roman"/>
                <w:sz w:val="28"/>
              </w:rPr>
              <w:tab/>
            </w:r>
            <w:r>
              <w:rPr>
                <w:rFonts w:ascii="Times New Roman" w:hAnsi="Times New Roman"/>
                <w:sz w:val="28"/>
              </w:rPr>
              <w:t xml:space="preserve">Bruxelles </w:t>
            </w:r>
          </w:p>
          <w:p w14:paraId="38F8604E" w14:textId="10FB05CD"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Kod pocztowy:</w:t>
            </w:r>
            <w:r>
              <w:rPr>
                <w:rFonts w:ascii="Times New Roman" w:hAnsi="Times New Roman"/>
                <w:color w:val="2F5496" w:themeColor="accent1" w:themeShade="BF"/>
                <w:sz w:val="28"/>
              </w:rPr>
              <w:t xml:space="preserve"> </w:t>
            </w:r>
            <w:r>
              <w:rPr>
                <w:rFonts w:ascii="Times New Roman" w:hAnsi="Times New Roman"/>
                <w:sz w:val="28"/>
              </w:rPr>
              <w:tab/>
              <w:t xml:space="preserve">1000 </w:t>
            </w:r>
          </w:p>
          <w:p w14:paraId="2B935127" w14:textId="38EC2AA2"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Numer telefonu:</w:t>
            </w:r>
            <w:r>
              <w:rPr>
                <w:rFonts w:ascii="Times New Roman" w:hAnsi="Times New Roman"/>
                <w:color w:val="2F5496" w:themeColor="accent1" w:themeShade="BF"/>
                <w:sz w:val="28"/>
              </w:rPr>
              <w:t xml:space="preserve"> </w:t>
            </w:r>
            <w:r>
              <w:rPr>
                <w:rFonts w:ascii="Times New Roman" w:hAnsi="Times New Roman"/>
                <w:sz w:val="28"/>
              </w:rPr>
              <w:tab/>
              <w:t xml:space="preserve">+32 (0)2 508 70 80 </w:t>
            </w:r>
          </w:p>
          <w:p w14:paraId="3F8169D7" w14:textId="77777777" w:rsidR="00B86907" w:rsidRPr="003D297B" w:rsidRDefault="00B86907" w:rsidP="00B86907">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Telefon komórkowy:</w:t>
            </w:r>
          </w:p>
          <w:p w14:paraId="1AAAFBBA" w14:textId="5E10E623"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Numer faksu:</w:t>
            </w:r>
            <w:r>
              <w:rPr>
                <w:rFonts w:ascii="Times New Roman" w:hAnsi="Times New Roman"/>
                <w:color w:val="2F5496" w:themeColor="accent1" w:themeShade="BF"/>
                <w:sz w:val="28"/>
              </w:rPr>
              <w:t xml:space="preserve"> </w:t>
            </w:r>
            <w:r>
              <w:rPr>
                <w:rFonts w:ascii="Times New Roman" w:hAnsi="Times New Roman"/>
                <w:sz w:val="28"/>
              </w:rPr>
              <w:tab/>
              <w:t xml:space="preserve">+32 (0)2 519 82 96 </w:t>
            </w:r>
          </w:p>
          <w:p w14:paraId="2C87D2C2" w14:textId="6DA2735C" w:rsidR="00C06687" w:rsidRPr="000A4609" w:rsidRDefault="00C06687" w:rsidP="003D297B">
            <w:pPr>
              <w:spacing w:after="0"/>
              <w:jc w:val="both"/>
              <w:rPr>
                <w:rFonts w:ascii="Times New Roman" w:hAnsi="Times New Roman" w:cs="Times New Roman"/>
              </w:rPr>
            </w:pPr>
            <w:r>
              <w:rPr>
                <w:rFonts w:ascii="Times New Roman" w:hAnsi="Times New Roman"/>
                <w:b/>
                <w:color w:val="2F5496" w:themeColor="accent1" w:themeShade="BF"/>
                <w:sz w:val="28"/>
              </w:rPr>
              <w:t>Adres e-mail:</w:t>
            </w:r>
            <w:r>
              <w:rPr>
                <w:rFonts w:ascii="Times New Roman" w:hAnsi="Times New Roman"/>
                <w:color w:val="2F5496" w:themeColor="accent1" w:themeShade="BF"/>
                <w:sz w:val="28"/>
              </w:rPr>
              <w:t xml:space="preserve"> </w:t>
            </w:r>
            <w:r>
              <w:rPr>
                <w:rFonts w:ascii="Times New Roman" w:hAnsi="Times New Roman"/>
                <w:sz w:val="28"/>
              </w:rPr>
              <w:tab/>
            </w:r>
            <w:hyperlink r:id="rId14" w:history="1">
              <w:r>
                <w:rPr>
                  <w:rStyle w:val="Hipercze"/>
                  <w:rFonts w:ascii="Times New Roman" w:hAnsi="Times New Roman"/>
                  <w:sz w:val="28"/>
                </w:rPr>
                <w:t>cis.bxl@just.fgov.be</w:t>
              </w:r>
            </w:hyperlink>
          </w:p>
          <w:p w14:paraId="71AD1B30" w14:textId="77777777" w:rsidR="00C06687" w:rsidRPr="000A4609" w:rsidRDefault="00C06687" w:rsidP="003D297B">
            <w:pPr>
              <w:spacing w:after="0"/>
              <w:jc w:val="both"/>
              <w:rPr>
                <w:rFonts w:ascii="Times New Roman" w:hAnsi="Times New Roman" w:cs="Times New Roman"/>
                <w:sz w:val="28"/>
                <w:szCs w:val="28"/>
                <w:lang w:val="en-US"/>
              </w:rPr>
            </w:pPr>
          </w:p>
          <w:p w14:paraId="18F901EB" w14:textId="77777777" w:rsidR="00C06687" w:rsidRPr="000A4609" w:rsidRDefault="00C06687" w:rsidP="003D297B">
            <w:pPr>
              <w:spacing w:after="0"/>
              <w:jc w:val="both"/>
              <w:rPr>
                <w:rFonts w:ascii="Times New Roman" w:hAnsi="Times New Roman" w:cs="Times New Roman"/>
                <w:sz w:val="28"/>
                <w:szCs w:val="28"/>
              </w:rPr>
            </w:pPr>
            <w:r>
              <w:rPr>
                <w:rFonts w:ascii="Times New Roman" w:hAnsi="Times New Roman"/>
                <w:sz w:val="28"/>
              </w:rPr>
              <w:t xml:space="preserve">Zgodnie z art. 24 decyzji ramowej Rady języki akceptowane przez organy belgijskie to: </w:t>
            </w:r>
            <w:r>
              <w:rPr>
                <w:rFonts w:ascii="Times New Roman" w:hAnsi="Times New Roman"/>
                <w:b/>
                <w:sz w:val="28"/>
              </w:rPr>
              <w:t>Holenderski, francuski, niemiecki i angielski.</w:t>
            </w:r>
          </w:p>
        </w:tc>
      </w:tr>
    </w:tbl>
    <w:p w14:paraId="3CFD3FAB" w14:textId="552C8083" w:rsidR="00835C3D" w:rsidRPr="000A4609" w:rsidRDefault="00835C3D" w:rsidP="000A4609">
      <w:pPr>
        <w:rPr>
          <w:rFonts w:ascii="Times New Roman" w:hAnsi="Times New Roman" w:cs="Times New Roman"/>
          <w:sz w:val="28"/>
          <w:szCs w:val="28"/>
        </w:rPr>
      </w:pPr>
      <w:r>
        <w:br w:type="page"/>
      </w:r>
    </w:p>
    <w:p w14:paraId="29D88515" w14:textId="77777777" w:rsidR="00835C3D" w:rsidRPr="000A4609" w:rsidRDefault="00835C3D" w:rsidP="000A4609">
      <w:pPr>
        <w:spacing w:line="240" w:lineRule="auto"/>
        <w:jc w:val="both"/>
        <w:rPr>
          <w:rFonts w:ascii="Times New Roman" w:hAnsi="Times New Roman" w:cs="Times New Roman"/>
          <w:i/>
          <w:sz w:val="28"/>
          <w:szCs w:val="28"/>
        </w:rPr>
      </w:pPr>
      <w:r>
        <w:rPr>
          <w:rFonts w:ascii="Times New Roman" w:hAnsi="Times New Roman"/>
          <w:i/>
          <w:sz w:val="28"/>
        </w:rPr>
        <w:lastRenderedPageBreak/>
        <w:t>2. Właściwy organ francuski chce przekazać nadzór nad osobą skazaną B.C., która legalnie i zwyczajowo przebywa w Vigo w Hiszpanii.</w:t>
      </w:r>
    </w:p>
    <w:p w14:paraId="33293AE4" w14:textId="77777777" w:rsidR="00835C3D" w:rsidRPr="000A4609" w:rsidRDefault="00835C3D" w:rsidP="000A4609">
      <w:pPr>
        <w:jc w:val="both"/>
        <w:rPr>
          <w:rFonts w:ascii="Times New Roman" w:hAnsi="Times New Roman" w:cs="Times New Roman"/>
          <w:sz w:val="28"/>
          <w:szCs w:val="28"/>
          <w:lang w:val="en-US"/>
        </w:rPr>
      </w:pPr>
    </w:p>
    <w:tbl>
      <w:tblPr>
        <w:tblW w:w="9090" w:type="dxa"/>
        <w:tblInd w:w="-5" w:type="dxa"/>
        <w:tblCellMar>
          <w:left w:w="10" w:type="dxa"/>
          <w:right w:w="10" w:type="dxa"/>
        </w:tblCellMar>
        <w:tblLook w:val="04A0" w:firstRow="1" w:lastRow="0" w:firstColumn="1" w:lastColumn="0" w:noHBand="0" w:noVBand="1"/>
      </w:tblPr>
      <w:tblGrid>
        <w:gridCol w:w="9090"/>
      </w:tblGrid>
      <w:tr w:rsidR="00C06687" w:rsidRPr="000A4609" w14:paraId="2F77D64D" w14:textId="77777777" w:rsidTr="003D297B">
        <w:trPr>
          <w:trHeight w:val="3383"/>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AC7B240" w14:textId="30287E64" w:rsidR="00C06687" w:rsidRPr="000A4609" w:rsidRDefault="00B8690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Nazwa</w:t>
            </w:r>
            <w:r w:rsidR="00C06687">
              <w:rPr>
                <w:rFonts w:ascii="Times New Roman" w:hAnsi="Times New Roman"/>
                <w:b/>
                <w:color w:val="2F5496" w:themeColor="accent1" w:themeShade="BF"/>
                <w:sz w:val="28"/>
              </w:rPr>
              <w:t>:</w:t>
            </w:r>
            <w:r w:rsidR="00C06687">
              <w:rPr>
                <w:rFonts w:ascii="Times New Roman" w:hAnsi="Times New Roman"/>
                <w:color w:val="2F5496" w:themeColor="accent1" w:themeShade="BF"/>
                <w:sz w:val="28"/>
              </w:rPr>
              <w:t xml:space="preserve"> </w:t>
            </w:r>
            <w:r w:rsidR="00C06687">
              <w:rPr>
                <w:rFonts w:ascii="Times New Roman" w:hAnsi="Times New Roman"/>
                <w:color w:val="2F5496" w:themeColor="accent1" w:themeShade="BF"/>
                <w:sz w:val="28"/>
              </w:rPr>
              <w:tab/>
            </w:r>
            <w:r w:rsidR="00C06687">
              <w:rPr>
                <w:rFonts w:ascii="Times New Roman" w:hAnsi="Times New Roman"/>
                <w:sz w:val="28"/>
              </w:rPr>
              <w:tab/>
              <w:t xml:space="preserve">Oficina Decanato of Vigo (para su reparto a los Juzgados </w:t>
            </w:r>
            <w:r>
              <w:rPr>
                <w:rFonts w:ascii="Times New Roman" w:hAnsi="Times New Roman"/>
                <w:sz w:val="28"/>
              </w:rPr>
              <w:tab/>
            </w:r>
            <w:r>
              <w:rPr>
                <w:rFonts w:ascii="Times New Roman" w:hAnsi="Times New Roman"/>
                <w:sz w:val="28"/>
              </w:rPr>
              <w:tab/>
            </w:r>
            <w:r>
              <w:rPr>
                <w:rFonts w:ascii="Times New Roman" w:hAnsi="Times New Roman"/>
                <w:sz w:val="28"/>
              </w:rPr>
              <w:tab/>
            </w:r>
            <w:r w:rsidR="00C06687">
              <w:rPr>
                <w:rFonts w:ascii="Times New Roman" w:hAnsi="Times New Roman"/>
                <w:sz w:val="28"/>
              </w:rPr>
              <w:t xml:space="preserve">de Instruccion) </w:t>
            </w:r>
          </w:p>
          <w:p w14:paraId="6A0E1DDC" w14:textId="6FCF01A8"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Adres:</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Lalín, 4 </w:t>
            </w:r>
          </w:p>
          <w:p w14:paraId="3A9C6E3E" w14:textId="77777777"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Departament (Wydział): </w:t>
            </w:r>
          </w:p>
          <w:p w14:paraId="1E3E1AE4" w14:textId="4883804F"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 xml:space="preserve">Miasto: </w:t>
            </w:r>
            <w:r>
              <w:rPr>
                <w:rFonts w:ascii="Times New Roman" w:hAnsi="Times New Roman"/>
                <w:b/>
                <w:color w:val="2F5496" w:themeColor="accent1" w:themeShade="BF"/>
                <w:sz w:val="28"/>
              </w:rPr>
              <w:tab/>
            </w:r>
            <w:r w:rsidR="00B86907">
              <w:rPr>
                <w:rFonts w:ascii="Times New Roman" w:hAnsi="Times New Roman"/>
                <w:sz w:val="28"/>
              </w:rPr>
              <w:tab/>
            </w:r>
            <w:r>
              <w:rPr>
                <w:rFonts w:ascii="Times New Roman" w:hAnsi="Times New Roman"/>
                <w:sz w:val="28"/>
              </w:rPr>
              <w:t xml:space="preserve">Vigo </w:t>
            </w:r>
          </w:p>
          <w:p w14:paraId="4F9A528D" w14:textId="7DCB827F"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Kod pocztowy:</w:t>
            </w:r>
            <w:r>
              <w:rPr>
                <w:rFonts w:ascii="Times New Roman" w:hAnsi="Times New Roman"/>
                <w:color w:val="2F5496" w:themeColor="accent1" w:themeShade="BF"/>
                <w:sz w:val="28"/>
              </w:rPr>
              <w:t xml:space="preserve"> </w:t>
            </w:r>
            <w:r>
              <w:rPr>
                <w:rFonts w:ascii="Times New Roman" w:hAnsi="Times New Roman"/>
                <w:sz w:val="28"/>
              </w:rPr>
              <w:tab/>
              <w:t xml:space="preserve">36209 </w:t>
            </w:r>
          </w:p>
          <w:p w14:paraId="6E5DCE20" w14:textId="420BD5B0"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Numer telefonu:</w:t>
            </w:r>
            <w:r>
              <w:rPr>
                <w:rFonts w:ascii="Times New Roman" w:hAnsi="Times New Roman"/>
                <w:color w:val="2F5496" w:themeColor="accent1" w:themeShade="BF"/>
                <w:sz w:val="28"/>
              </w:rPr>
              <w:t xml:space="preserve"> </w:t>
            </w:r>
            <w:r>
              <w:rPr>
                <w:rFonts w:ascii="Times New Roman" w:hAnsi="Times New Roman"/>
                <w:sz w:val="28"/>
              </w:rPr>
              <w:tab/>
              <w:t xml:space="preserve">+34986817168 </w:t>
            </w:r>
          </w:p>
          <w:p w14:paraId="1FB998D7" w14:textId="77777777"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Telefon komórkowy:</w:t>
            </w:r>
          </w:p>
          <w:p w14:paraId="2E292348" w14:textId="77777777" w:rsidR="00C06687" w:rsidRPr="000A4609" w:rsidRDefault="00C06687" w:rsidP="003D297B">
            <w:pPr>
              <w:spacing w:after="0"/>
              <w:jc w:val="both"/>
              <w:rPr>
                <w:rFonts w:ascii="Times New Roman" w:hAnsi="Times New Roman" w:cs="Times New Roman"/>
                <w:sz w:val="28"/>
                <w:szCs w:val="28"/>
                <w:lang w:val="en-US"/>
              </w:rPr>
            </w:pPr>
          </w:p>
          <w:p w14:paraId="7B3B5D51" w14:textId="77777777" w:rsidR="00C06687" w:rsidRPr="000A4609" w:rsidRDefault="00C06687" w:rsidP="003D297B">
            <w:pPr>
              <w:spacing w:after="0"/>
              <w:jc w:val="both"/>
              <w:rPr>
                <w:rFonts w:ascii="Times New Roman" w:hAnsi="Times New Roman" w:cs="Times New Roman"/>
                <w:sz w:val="28"/>
                <w:szCs w:val="28"/>
              </w:rPr>
            </w:pPr>
            <w:r>
              <w:rPr>
                <w:rFonts w:ascii="Times New Roman" w:hAnsi="Times New Roman"/>
                <w:sz w:val="28"/>
              </w:rPr>
              <w:t xml:space="preserve">Zgodnie z art. 24 decyzji ramowej Rady językiem akceptowanym przez organy hiszpańskie jest język </w:t>
            </w:r>
            <w:r>
              <w:rPr>
                <w:rFonts w:ascii="Times New Roman" w:hAnsi="Times New Roman"/>
                <w:b/>
                <w:sz w:val="28"/>
              </w:rPr>
              <w:t>hiszpański</w:t>
            </w:r>
            <w:r>
              <w:rPr>
                <w:rFonts w:ascii="Times New Roman" w:hAnsi="Times New Roman"/>
                <w:sz w:val="28"/>
              </w:rPr>
              <w:t>.</w:t>
            </w:r>
          </w:p>
        </w:tc>
      </w:tr>
    </w:tbl>
    <w:p w14:paraId="236514C7" w14:textId="5B11A078" w:rsidR="00C06687" w:rsidRPr="000A4609" w:rsidRDefault="00C06687" w:rsidP="000A4609">
      <w:pPr>
        <w:jc w:val="both"/>
        <w:rPr>
          <w:rFonts w:ascii="Times New Roman" w:hAnsi="Times New Roman" w:cs="Times New Roman"/>
          <w:sz w:val="28"/>
          <w:szCs w:val="28"/>
          <w:lang w:val="en-US"/>
        </w:rPr>
      </w:pPr>
    </w:p>
    <w:p w14:paraId="4C525EA0" w14:textId="77777777" w:rsidR="00835C3D" w:rsidRPr="000A4609" w:rsidRDefault="00835C3D" w:rsidP="000A4609">
      <w:pPr>
        <w:spacing w:line="240" w:lineRule="auto"/>
        <w:jc w:val="both"/>
        <w:rPr>
          <w:rFonts w:ascii="Times New Roman" w:hAnsi="Times New Roman" w:cs="Times New Roman"/>
          <w:i/>
          <w:sz w:val="28"/>
          <w:szCs w:val="28"/>
        </w:rPr>
      </w:pPr>
      <w:r>
        <w:rPr>
          <w:rFonts w:ascii="Times New Roman" w:hAnsi="Times New Roman"/>
          <w:i/>
          <w:sz w:val="28"/>
        </w:rPr>
        <w:t>3. Właściwy organ hiszpański chce przekazać nadzór nad skazanym M.M., który legalnie i zwyczajowo przebywa w Wiedniu (Austria).</w:t>
      </w:r>
    </w:p>
    <w:p w14:paraId="4E460C23" w14:textId="77777777" w:rsidR="00835C3D" w:rsidRPr="000A4609" w:rsidRDefault="00835C3D" w:rsidP="000A4609">
      <w:pPr>
        <w:jc w:val="both"/>
        <w:rPr>
          <w:rFonts w:ascii="Times New Roman" w:hAnsi="Times New Roman" w:cs="Times New Roman"/>
          <w:sz w:val="28"/>
          <w:szCs w:val="28"/>
          <w:lang w:val="en-US"/>
        </w:rPr>
      </w:pPr>
    </w:p>
    <w:tbl>
      <w:tblPr>
        <w:tblW w:w="9090" w:type="dxa"/>
        <w:tblInd w:w="-5" w:type="dxa"/>
        <w:tblCellMar>
          <w:left w:w="10" w:type="dxa"/>
          <w:right w:w="10" w:type="dxa"/>
        </w:tblCellMar>
        <w:tblLook w:val="04A0" w:firstRow="1" w:lastRow="0" w:firstColumn="1" w:lastColumn="0" w:noHBand="0" w:noVBand="1"/>
      </w:tblPr>
      <w:tblGrid>
        <w:gridCol w:w="9090"/>
      </w:tblGrid>
      <w:tr w:rsidR="00C06687" w:rsidRPr="000A4609" w14:paraId="126BBA2D" w14:textId="77777777" w:rsidTr="003D297B">
        <w:trPr>
          <w:trHeight w:val="24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7DAD0BC" w14:textId="1853BC54" w:rsidR="00C06687" w:rsidRPr="002423B7"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Nazwa:</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Staatsanwaltschaft Wien </w:t>
            </w:r>
          </w:p>
          <w:p w14:paraId="2086B037" w14:textId="26291874" w:rsidR="00C06687" w:rsidRPr="002423B7"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 xml:space="preserve">Adres: </w:t>
            </w:r>
            <w:r>
              <w:rPr>
                <w:rFonts w:ascii="Times New Roman" w:hAnsi="Times New Roman"/>
                <w:b/>
                <w:sz w:val="28"/>
              </w:rPr>
              <w:tab/>
            </w:r>
            <w:r>
              <w:rPr>
                <w:rFonts w:ascii="Times New Roman" w:hAnsi="Times New Roman"/>
                <w:sz w:val="28"/>
              </w:rPr>
              <w:tab/>
              <w:t xml:space="preserve">Landesgerichtsstraße 11 </w:t>
            </w:r>
          </w:p>
          <w:p w14:paraId="6A22E174" w14:textId="77777777"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Departament (Wydział): </w:t>
            </w:r>
          </w:p>
          <w:p w14:paraId="5730172D" w14:textId="368E703F"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 xml:space="preserve">Miasto: </w:t>
            </w:r>
            <w:r>
              <w:rPr>
                <w:rFonts w:ascii="Times New Roman" w:hAnsi="Times New Roman"/>
                <w:b/>
                <w:color w:val="2F5496" w:themeColor="accent1" w:themeShade="BF"/>
                <w:sz w:val="28"/>
              </w:rPr>
              <w:tab/>
            </w:r>
            <w:r w:rsidR="00B86907">
              <w:rPr>
                <w:rFonts w:ascii="Times New Roman" w:hAnsi="Times New Roman"/>
                <w:sz w:val="28"/>
              </w:rPr>
              <w:tab/>
              <w:t>Wiedeń</w:t>
            </w:r>
            <w:r>
              <w:rPr>
                <w:rFonts w:ascii="Times New Roman" w:hAnsi="Times New Roman"/>
                <w:sz w:val="28"/>
              </w:rPr>
              <w:t xml:space="preserve"> </w:t>
            </w:r>
          </w:p>
          <w:p w14:paraId="6AF5F2BC" w14:textId="07D47CFC"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 xml:space="preserve">Kod pocztowy: </w:t>
            </w:r>
            <w:r>
              <w:rPr>
                <w:rFonts w:ascii="Times New Roman" w:hAnsi="Times New Roman"/>
                <w:b/>
                <w:color w:val="2F5496" w:themeColor="accent1" w:themeShade="BF"/>
                <w:sz w:val="28"/>
              </w:rPr>
              <w:tab/>
            </w:r>
            <w:r>
              <w:rPr>
                <w:rFonts w:ascii="Times New Roman" w:hAnsi="Times New Roman"/>
                <w:sz w:val="28"/>
              </w:rPr>
              <w:t xml:space="preserve">1082 </w:t>
            </w:r>
          </w:p>
          <w:p w14:paraId="786E0AE2" w14:textId="7EE6478C"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Numer telefonu:</w:t>
            </w:r>
            <w:r>
              <w:rPr>
                <w:rFonts w:ascii="Times New Roman" w:hAnsi="Times New Roman"/>
                <w:color w:val="2F5496" w:themeColor="accent1" w:themeShade="BF"/>
                <w:sz w:val="28"/>
              </w:rPr>
              <w:t xml:space="preserve"> </w:t>
            </w:r>
            <w:r>
              <w:rPr>
                <w:rFonts w:ascii="Times New Roman" w:hAnsi="Times New Roman"/>
                <w:sz w:val="28"/>
              </w:rPr>
              <w:tab/>
              <w:t xml:space="preserve">+43 1 40127 0 </w:t>
            </w:r>
          </w:p>
          <w:p w14:paraId="30A47238" w14:textId="77777777"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Telefon komórkowy: </w:t>
            </w:r>
          </w:p>
          <w:p w14:paraId="2FBE9A66" w14:textId="1E5C3821"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Numer faksu:</w:t>
            </w:r>
            <w:r>
              <w:rPr>
                <w:rFonts w:ascii="Times New Roman" w:hAnsi="Times New Roman"/>
                <w:color w:val="2F5496" w:themeColor="accent1" w:themeShade="BF"/>
                <w:sz w:val="28"/>
              </w:rPr>
              <w:t xml:space="preserve"> </w:t>
            </w:r>
            <w:r>
              <w:rPr>
                <w:rFonts w:ascii="Times New Roman" w:hAnsi="Times New Roman"/>
                <w:sz w:val="28"/>
              </w:rPr>
              <w:tab/>
              <w:t xml:space="preserve">+43 1 40127 306950 </w:t>
            </w:r>
          </w:p>
          <w:p w14:paraId="3E35FC8B" w14:textId="77777777"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Email:</w:t>
            </w:r>
          </w:p>
          <w:p w14:paraId="382630E5" w14:textId="77777777" w:rsidR="00C06687" w:rsidRPr="000A4609" w:rsidRDefault="00C06687" w:rsidP="003D297B">
            <w:pPr>
              <w:spacing w:after="0"/>
              <w:jc w:val="both"/>
              <w:rPr>
                <w:rFonts w:ascii="Times New Roman" w:hAnsi="Times New Roman" w:cs="Times New Roman"/>
                <w:sz w:val="28"/>
                <w:szCs w:val="28"/>
                <w:lang w:val="en-US"/>
              </w:rPr>
            </w:pPr>
          </w:p>
          <w:p w14:paraId="2C2E9736" w14:textId="77777777" w:rsidR="00C06687" w:rsidRPr="000A4609" w:rsidRDefault="00C06687" w:rsidP="003D297B">
            <w:pPr>
              <w:spacing w:after="0"/>
              <w:jc w:val="both"/>
              <w:rPr>
                <w:rFonts w:ascii="Times New Roman" w:hAnsi="Times New Roman" w:cs="Times New Roman"/>
                <w:sz w:val="28"/>
                <w:szCs w:val="28"/>
              </w:rPr>
            </w:pPr>
            <w:r>
              <w:rPr>
                <w:rFonts w:ascii="Times New Roman" w:hAnsi="Times New Roman"/>
                <w:sz w:val="28"/>
              </w:rPr>
              <w:t xml:space="preserve">Do zaświadczenia należy załączyć tłumaczenie na język niemiecki. Zaświadczenia w innych językach są akceptowane na zasadzie wzajemności, to znaczy pod warunkiem, że państwo wydające nakaz akceptuje również zaświadczenia w języku </w:t>
            </w:r>
            <w:r>
              <w:rPr>
                <w:rFonts w:ascii="Times New Roman" w:hAnsi="Times New Roman"/>
                <w:b/>
                <w:sz w:val="28"/>
              </w:rPr>
              <w:t>niemieckim</w:t>
            </w:r>
            <w:r>
              <w:rPr>
                <w:rFonts w:ascii="Times New Roman" w:hAnsi="Times New Roman"/>
                <w:sz w:val="28"/>
              </w:rPr>
              <w:t xml:space="preserve"> jako państwo wykonujące.</w:t>
            </w:r>
          </w:p>
        </w:tc>
      </w:tr>
    </w:tbl>
    <w:p w14:paraId="49D215BB" w14:textId="3585BF2E" w:rsidR="00835C3D" w:rsidRPr="000A4609" w:rsidRDefault="00835C3D" w:rsidP="000A4609">
      <w:pPr>
        <w:jc w:val="both"/>
        <w:rPr>
          <w:rFonts w:ascii="Times New Roman" w:hAnsi="Times New Roman" w:cs="Times New Roman"/>
          <w:i/>
          <w:iCs/>
          <w:sz w:val="28"/>
          <w:szCs w:val="28"/>
          <w:lang w:val="en-US"/>
        </w:rPr>
      </w:pPr>
    </w:p>
    <w:p w14:paraId="462C88B7" w14:textId="228E06A8" w:rsidR="00C06687" w:rsidRPr="000A4609" w:rsidRDefault="00835C3D" w:rsidP="000A4609">
      <w:pPr>
        <w:rPr>
          <w:rFonts w:ascii="Times New Roman" w:hAnsi="Times New Roman" w:cs="Times New Roman"/>
          <w:i/>
          <w:iCs/>
          <w:sz w:val="28"/>
          <w:szCs w:val="28"/>
        </w:rPr>
      </w:pPr>
      <w:r>
        <w:br w:type="page"/>
      </w:r>
    </w:p>
    <w:p w14:paraId="563CD2D8" w14:textId="195A9102" w:rsidR="00B244E9" w:rsidRPr="000A4609" w:rsidRDefault="00835C3D" w:rsidP="000A4609">
      <w:pPr>
        <w:rPr>
          <w:rFonts w:ascii="Times New Roman" w:hAnsi="Times New Roman" w:cs="Times New Roman"/>
          <w:b/>
          <w:bCs/>
          <w:sz w:val="28"/>
          <w:szCs w:val="28"/>
        </w:rPr>
      </w:pPr>
      <w:r>
        <w:rPr>
          <w:rFonts w:ascii="Times New Roman" w:hAnsi="Times New Roman"/>
          <w:b/>
          <w:color w:val="2F5496" w:themeColor="accent1" w:themeShade="BF"/>
          <w:sz w:val="28"/>
        </w:rPr>
        <w:lastRenderedPageBreak/>
        <w:t>A. III. Scenariusz przypadku:</w:t>
      </w:r>
      <w:r>
        <w:rPr>
          <w:rFonts w:ascii="Times New Roman" w:hAnsi="Times New Roman"/>
          <w:b/>
          <w:sz w:val="28"/>
        </w:rPr>
        <w:t xml:space="preserve"> </w:t>
      </w:r>
    </w:p>
    <w:p w14:paraId="471B8DB4" w14:textId="77777777" w:rsidR="00F868B4" w:rsidRPr="000A4609" w:rsidRDefault="00F868B4" w:rsidP="000A4609">
      <w:pPr>
        <w:spacing w:line="240" w:lineRule="auto"/>
        <w:ind w:left="720" w:hanging="720"/>
        <w:jc w:val="both"/>
        <w:rPr>
          <w:rFonts w:ascii="Times New Roman" w:hAnsi="Times New Roman" w:cs="Times New Roman"/>
          <w:b/>
          <w:bCs/>
          <w:sz w:val="28"/>
          <w:szCs w:val="28"/>
        </w:rPr>
      </w:pPr>
    </w:p>
    <w:p w14:paraId="2EB97ECD" w14:textId="3A699E8F" w:rsidR="00543D74" w:rsidRPr="00FF4AF3" w:rsidRDefault="00C116DD" w:rsidP="000A4609">
      <w:pPr>
        <w:spacing w:line="240" w:lineRule="auto"/>
        <w:jc w:val="both"/>
        <w:rPr>
          <w:rFonts w:ascii="Times New Roman" w:hAnsi="Times New Roman" w:cs="Times New Roman"/>
          <w:color w:val="2F5496" w:themeColor="accent1" w:themeShade="BF"/>
          <w:sz w:val="28"/>
          <w:szCs w:val="28"/>
        </w:rPr>
      </w:pPr>
      <w:r>
        <w:rPr>
          <w:rFonts w:ascii="Times New Roman" w:hAnsi="Times New Roman"/>
          <w:b/>
          <w:i/>
          <w:color w:val="2F5496" w:themeColor="accent1" w:themeShade="BF"/>
          <w:sz w:val="28"/>
        </w:rPr>
        <w:t>P</w:t>
      </w:r>
      <w:r w:rsidR="00543D74">
        <w:rPr>
          <w:rFonts w:ascii="Times New Roman" w:hAnsi="Times New Roman"/>
          <w:b/>
          <w:i/>
          <w:color w:val="2F5496" w:themeColor="accent1" w:themeShade="BF"/>
          <w:sz w:val="28"/>
        </w:rPr>
        <w:t>1:</w:t>
      </w:r>
      <w:r w:rsidR="00543D74">
        <w:rPr>
          <w:rFonts w:ascii="Times New Roman" w:hAnsi="Times New Roman"/>
          <w:color w:val="2F5496" w:themeColor="accent1" w:themeShade="BF"/>
          <w:sz w:val="28"/>
        </w:rPr>
        <w:t xml:space="preserve"> Czy nadzór nad zobowiązaniami nałożonymi na A.W. może być wykonywany w Austrii? </w:t>
      </w:r>
    </w:p>
    <w:p w14:paraId="5F9460BE" w14:textId="628AF4B9" w:rsidR="00CC360E" w:rsidRPr="000A4609" w:rsidRDefault="00CC360E" w:rsidP="000A4609">
      <w:pPr>
        <w:suppressAutoHyphens/>
        <w:autoSpaceDN w:val="0"/>
        <w:spacing w:line="240" w:lineRule="auto"/>
        <w:jc w:val="both"/>
        <w:textAlignment w:val="baseline"/>
        <w:rPr>
          <w:rFonts w:ascii="Times New Roman" w:eastAsia="Calibri" w:hAnsi="Times New Roman" w:cs="Times New Roman"/>
        </w:rPr>
      </w:pPr>
      <w:r>
        <w:rPr>
          <w:rFonts w:ascii="Times New Roman" w:hAnsi="Times New Roman"/>
          <w:sz w:val="28"/>
        </w:rPr>
        <w:t xml:space="preserve">W naszym przypadku właściwe organy rumuńskie mogą wnioskować o przeniesienie nadzoru nad obowiązkami, które mają być nałożone na A.W., na właściwe organy austriackie, a instrumentem prawnym mającym zastosowanie jest </w:t>
      </w:r>
      <w:r>
        <w:rPr>
          <w:rFonts w:ascii="Times New Roman" w:hAnsi="Times New Roman"/>
          <w:b/>
          <w:sz w:val="28"/>
        </w:rPr>
        <w:t>decyzja ramowa Rady 2009/829/WSiSW z dnia 23 października 2009 r. w sprawie stosowania zasady wzajemnego uznawania do decyzji w sprawie środków nadzoru stanowiących alternatywę dla tymczasowego aresztowania</w:t>
      </w:r>
      <w:r>
        <w:rPr>
          <w:rFonts w:ascii="Times New Roman" w:hAnsi="Times New Roman"/>
          <w:sz w:val="28"/>
        </w:rPr>
        <w:t xml:space="preserve"> (europejskie zarządzenie w sprawie nadzoru), która musiała zostać wdrożona do dnia 1 grudnia 2012 r.</w:t>
      </w:r>
    </w:p>
    <w:p w14:paraId="5A50509C" w14:textId="78B17459" w:rsidR="00CC360E" w:rsidRPr="000A4609" w:rsidRDefault="00CC360E"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 xml:space="preserve">Wyżej wymieniona decyzja ramowa Rady </w:t>
      </w:r>
      <w:r>
        <w:rPr>
          <w:rFonts w:ascii="Times New Roman" w:hAnsi="Times New Roman"/>
          <w:sz w:val="28"/>
          <w:u w:val="single"/>
        </w:rPr>
        <w:t>została wdrożona przez dwa państwa członkowskie</w:t>
      </w:r>
      <w:r>
        <w:rPr>
          <w:rFonts w:ascii="Times New Roman" w:hAnsi="Times New Roman"/>
          <w:sz w:val="28"/>
        </w:rPr>
        <w:t xml:space="preserve"> (austriackie prawo krajowe wdrażające decyzję ramową Rady weszło w życie w dniu 1 sierpnia 2013 r., a rumuńskie prawo krajowe wdrażające decyzję ramową Rady weszło w życie w dniu 26 grudnia 2013 r.).</w:t>
      </w:r>
    </w:p>
    <w:p w14:paraId="1A32CA4A" w14:textId="0F887363" w:rsidR="00D6723D" w:rsidRPr="000A4609" w:rsidRDefault="00D6723D"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 xml:space="preserve">Właściwe organy rumuńskie zastosują </w:t>
      </w:r>
      <w:r>
        <w:rPr>
          <w:rFonts w:ascii="Times New Roman" w:hAnsi="Times New Roman"/>
          <w:b/>
          <w:sz w:val="28"/>
        </w:rPr>
        <w:t>przepisy prawa krajowego wdrażające decyzję ramową Rady</w:t>
      </w:r>
      <w:r w:rsidR="007628A1">
        <w:rPr>
          <w:rFonts w:ascii="Times New Roman" w:hAnsi="Times New Roman"/>
          <w:b/>
          <w:sz w:val="28"/>
        </w:rPr>
        <w:t xml:space="preserve"> </w:t>
      </w:r>
      <w:r>
        <w:rPr>
          <w:rFonts w:ascii="Times New Roman" w:hAnsi="Times New Roman"/>
          <w:sz w:val="28"/>
        </w:rPr>
        <w:t>w celu przekazania decyzji w sprawie środka nadzoru właściwym organom innych państw członkowskich.</w:t>
      </w:r>
    </w:p>
    <w:p w14:paraId="443478BA" w14:textId="05FC2A47" w:rsidR="00D6723D" w:rsidRPr="000A4609" w:rsidRDefault="00D6723D" w:rsidP="000A4609">
      <w:pPr>
        <w:spacing w:line="240" w:lineRule="auto"/>
        <w:jc w:val="both"/>
        <w:rPr>
          <w:rFonts w:ascii="Times New Roman" w:hAnsi="Times New Roman" w:cs="Times New Roman"/>
          <w:sz w:val="28"/>
          <w:szCs w:val="28"/>
          <w:lang w:val="en-US"/>
        </w:rPr>
      </w:pPr>
    </w:p>
    <w:p w14:paraId="35EE8B55" w14:textId="4717C068" w:rsidR="00210A69" w:rsidRPr="00FF4AF3" w:rsidRDefault="00C116DD" w:rsidP="000A4609">
      <w:pPr>
        <w:spacing w:line="240" w:lineRule="auto"/>
        <w:jc w:val="both"/>
        <w:rPr>
          <w:rFonts w:ascii="Times New Roman" w:hAnsi="Times New Roman" w:cs="Times New Roman"/>
          <w:color w:val="2F5496" w:themeColor="accent1" w:themeShade="BF"/>
          <w:sz w:val="28"/>
          <w:szCs w:val="28"/>
        </w:rPr>
      </w:pPr>
      <w:r>
        <w:rPr>
          <w:rFonts w:ascii="Times New Roman" w:hAnsi="Times New Roman"/>
          <w:b/>
          <w:i/>
          <w:color w:val="2F5496" w:themeColor="accent1" w:themeShade="BF"/>
          <w:sz w:val="28"/>
        </w:rPr>
        <w:t>P</w:t>
      </w:r>
      <w:r w:rsidR="00210A69">
        <w:rPr>
          <w:rFonts w:ascii="Times New Roman" w:hAnsi="Times New Roman"/>
          <w:b/>
          <w:i/>
          <w:color w:val="2F5496" w:themeColor="accent1" w:themeShade="BF"/>
          <w:sz w:val="28"/>
        </w:rPr>
        <w:t>2:</w:t>
      </w:r>
      <w:r w:rsidR="00210A69">
        <w:rPr>
          <w:rFonts w:ascii="Times New Roman" w:hAnsi="Times New Roman"/>
          <w:color w:val="2F5496" w:themeColor="accent1" w:themeShade="BF"/>
          <w:sz w:val="28"/>
        </w:rPr>
        <w:t xml:space="preserve"> Jakie są kryteria przekazania decyzji w sprawie środków nadzoru do innego państwa członkowskiego? Czy w naszym przypadku konieczna jest uprzednia zgoda A.W.?</w:t>
      </w:r>
    </w:p>
    <w:p w14:paraId="35A0EE2F" w14:textId="486029BD" w:rsidR="000A1226" w:rsidRPr="00FF4AF3" w:rsidRDefault="00470420" w:rsidP="00FF4AF3">
      <w:pPr>
        <w:pStyle w:val="Akapitzlist"/>
        <w:numPr>
          <w:ilvl w:val="0"/>
          <w:numId w:val="3"/>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Art. 9 ust. 1 decyzji ramowej Rady stanowi, że decyzja w sprawie środków nadzoru może zostać przekazana właściwemu organowi państwa członkowskiego, w </w:t>
      </w:r>
      <w:r>
        <w:rPr>
          <w:rFonts w:ascii="Times New Roman" w:hAnsi="Times New Roman"/>
          <w:b/>
          <w:sz w:val="28"/>
        </w:rPr>
        <w:t>którym dana osoba ma zgodne z prawem zwykłe miejsce pobytu</w:t>
      </w:r>
      <w:r>
        <w:rPr>
          <w:rFonts w:ascii="Times New Roman" w:hAnsi="Times New Roman"/>
          <w:sz w:val="28"/>
        </w:rPr>
        <w:t xml:space="preserve">, jeżeli osoba ta, </w:t>
      </w:r>
      <w:r>
        <w:rPr>
          <w:rFonts w:ascii="Times New Roman" w:hAnsi="Times New Roman"/>
          <w:b/>
          <w:sz w:val="28"/>
        </w:rPr>
        <w:t xml:space="preserve">po otrzymaniu informacji o odnośnych środkach, zgadza się na powrót do </w:t>
      </w:r>
      <w:r w:rsidR="00E847ED">
        <w:rPr>
          <w:rFonts w:ascii="Times New Roman" w:hAnsi="Times New Roman"/>
          <w:b/>
          <w:sz w:val="28"/>
        </w:rPr>
        <w:t>tego</w:t>
      </w:r>
      <w:r w:rsidR="00E847ED">
        <w:rPr>
          <w:rFonts w:ascii="Times New Roman" w:hAnsi="Times New Roman"/>
          <w:sz w:val="28"/>
        </w:rPr>
        <w:t xml:space="preserve"> państwa</w:t>
      </w:r>
      <w:r>
        <w:rPr>
          <w:rFonts w:ascii="Times New Roman" w:hAnsi="Times New Roman"/>
          <w:sz w:val="28"/>
        </w:rPr>
        <w:t>.</w:t>
      </w:r>
    </w:p>
    <w:p w14:paraId="5F9E0B35" w14:textId="3D79FA2A" w:rsidR="002A5F38" w:rsidRPr="000A4609" w:rsidRDefault="001C63F0"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 xml:space="preserve">Z tego ustępu wynikają </w:t>
      </w:r>
      <w:r>
        <w:rPr>
          <w:rFonts w:ascii="Times New Roman" w:hAnsi="Times New Roman"/>
          <w:b/>
          <w:sz w:val="28"/>
        </w:rPr>
        <w:t>dwa warunki</w:t>
      </w:r>
      <w:r>
        <w:rPr>
          <w:rFonts w:ascii="Times New Roman" w:hAnsi="Times New Roman"/>
          <w:sz w:val="28"/>
        </w:rPr>
        <w:t xml:space="preserve">, które muszą być spełnione przed przekazaniem decyzji innemu państwu członkowskiemu: </w:t>
      </w:r>
      <w:r>
        <w:rPr>
          <w:rFonts w:ascii="Times New Roman" w:hAnsi="Times New Roman"/>
          <w:sz w:val="28"/>
          <w:u w:val="single"/>
        </w:rPr>
        <w:t>podejrzany legalnie i zwyczajowo przebywa w innym państwie członkowskim oraz, po otrzymaniu informacji o odnośnych środkach, wyraża zgodę na powrót do państwa członkowskiego wykonującego nakaz</w:t>
      </w:r>
      <w:r>
        <w:rPr>
          <w:rFonts w:ascii="Times New Roman" w:hAnsi="Times New Roman"/>
          <w:sz w:val="28"/>
        </w:rPr>
        <w:t xml:space="preserve">. </w:t>
      </w:r>
    </w:p>
    <w:p w14:paraId="4CEACCB9" w14:textId="77777777" w:rsidR="00FF4AF3" w:rsidRDefault="00FF4AF3">
      <w:pPr>
        <w:rPr>
          <w:rFonts w:ascii="Times New Roman" w:hAnsi="Times New Roman" w:cs="Times New Roman"/>
          <w:b/>
          <w:bCs/>
          <w:sz w:val="28"/>
          <w:szCs w:val="28"/>
        </w:rPr>
      </w:pPr>
      <w:r>
        <w:br w:type="page"/>
      </w:r>
    </w:p>
    <w:p w14:paraId="567690D7" w14:textId="2EBE12FA" w:rsidR="000A1226" w:rsidRPr="000A4609" w:rsidRDefault="001C63F0" w:rsidP="00FF4AF3">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b/>
          <w:sz w:val="28"/>
        </w:rPr>
        <w:lastRenderedPageBreak/>
        <w:t>Decyzja ramowa Rady nie może być wykorzystywana wbrew woli zainteresowanej osoby</w:t>
      </w:r>
      <w:r>
        <w:rPr>
          <w:rFonts w:ascii="Times New Roman" w:hAnsi="Times New Roman"/>
          <w:sz w:val="28"/>
        </w:rPr>
        <w:t>. Podejrzany musi współpracować z właściwymi organami w miejscu zamieszkania w okresie nadzoru.</w:t>
      </w:r>
    </w:p>
    <w:p w14:paraId="56522424" w14:textId="7EC550B4" w:rsidR="006F2E01" w:rsidRDefault="006F2E01" w:rsidP="001E7187">
      <w:pPr>
        <w:pStyle w:val="Akapitzlist"/>
        <w:numPr>
          <w:ilvl w:val="0"/>
          <w:numId w:val="4"/>
        </w:numPr>
        <w:spacing w:line="240" w:lineRule="auto"/>
        <w:contextualSpacing w:val="0"/>
        <w:jc w:val="both"/>
        <w:rPr>
          <w:rFonts w:ascii="Times New Roman" w:hAnsi="Times New Roman" w:cs="Times New Roman"/>
          <w:sz w:val="28"/>
          <w:szCs w:val="28"/>
        </w:rPr>
      </w:pPr>
      <w:r>
        <w:rPr>
          <w:rFonts w:ascii="Times New Roman" w:hAnsi="Times New Roman"/>
          <w:sz w:val="28"/>
          <w:u w:val="single"/>
        </w:rPr>
        <w:t>W drodze wyjątku</w:t>
      </w:r>
      <w:r>
        <w:rPr>
          <w:rFonts w:ascii="Times New Roman" w:hAnsi="Times New Roman"/>
          <w:sz w:val="28"/>
        </w:rPr>
        <w:t xml:space="preserve"> art. 9 ust. 2 decyzji ramowej Rady stanowi, że właściwy organ w państwie wydającym nakaz może, </w:t>
      </w:r>
      <w:r>
        <w:rPr>
          <w:rFonts w:ascii="Times New Roman" w:hAnsi="Times New Roman"/>
          <w:sz w:val="28"/>
          <w:u w:val="single"/>
        </w:rPr>
        <w:t>na wniosek danej osoby</w:t>
      </w:r>
      <w:r>
        <w:rPr>
          <w:rFonts w:ascii="Times New Roman" w:hAnsi="Times New Roman"/>
          <w:sz w:val="28"/>
        </w:rPr>
        <w:t xml:space="preserve">, przekazać decyzję w sprawie środków nadzoru właściwemu organowi państwa członkowskiego </w:t>
      </w:r>
      <w:r>
        <w:rPr>
          <w:rFonts w:ascii="Times New Roman" w:hAnsi="Times New Roman"/>
          <w:b/>
          <w:sz w:val="28"/>
        </w:rPr>
        <w:t xml:space="preserve">innego niż </w:t>
      </w:r>
      <w:r w:rsidR="00E847ED">
        <w:rPr>
          <w:rFonts w:ascii="Times New Roman" w:hAnsi="Times New Roman"/>
          <w:b/>
          <w:sz w:val="28"/>
        </w:rPr>
        <w:t>państwo</w:t>
      </w:r>
      <w:r w:rsidR="00E847ED">
        <w:rPr>
          <w:rFonts w:ascii="Times New Roman" w:hAnsi="Times New Roman"/>
          <w:sz w:val="28"/>
        </w:rPr>
        <w:t xml:space="preserve"> członkowskie</w:t>
      </w:r>
      <w:r>
        <w:rPr>
          <w:rFonts w:ascii="Times New Roman" w:hAnsi="Times New Roman"/>
          <w:sz w:val="28"/>
        </w:rPr>
        <w:t xml:space="preserve">, </w:t>
      </w:r>
      <w:r>
        <w:rPr>
          <w:rFonts w:ascii="Times New Roman" w:hAnsi="Times New Roman"/>
          <w:b/>
          <w:sz w:val="28"/>
        </w:rPr>
        <w:t>w którym dana osoba ma zgodne z prawem zwykłe miejsce pobytu</w:t>
      </w:r>
      <w:r>
        <w:rPr>
          <w:rFonts w:ascii="Times New Roman" w:hAnsi="Times New Roman"/>
          <w:sz w:val="28"/>
        </w:rPr>
        <w:t xml:space="preserve">, </w:t>
      </w:r>
      <w:r>
        <w:rPr>
          <w:rFonts w:ascii="Times New Roman" w:hAnsi="Times New Roman"/>
          <w:b/>
          <w:sz w:val="28"/>
        </w:rPr>
        <w:t>pod warunkiem że ten ostatni organ wyraził zgodę na takie przekazanie</w:t>
      </w:r>
      <w:r>
        <w:rPr>
          <w:rFonts w:ascii="Times New Roman" w:hAnsi="Times New Roman"/>
          <w:sz w:val="28"/>
        </w:rPr>
        <w:t>.</w:t>
      </w:r>
    </w:p>
    <w:p w14:paraId="4AAACD65" w14:textId="77777777" w:rsidR="001E7187" w:rsidRPr="001E7187" w:rsidRDefault="001E7187" w:rsidP="001E7187">
      <w:pPr>
        <w:spacing w:line="240" w:lineRule="auto"/>
        <w:jc w:val="both"/>
        <w:rPr>
          <w:rFonts w:ascii="Times New Roman" w:hAnsi="Times New Roman" w:cs="Times New Roman"/>
          <w:sz w:val="28"/>
          <w:szCs w:val="28"/>
        </w:rPr>
      </w:pPr>
    </w:p>
    <w:p w14:paraId="4F73B9DB" w14:textId="4922DDC2" w:rsidR="000A1226" w:rsidRDefault="000A1226" w:rsidP="000A4609">
      <w:pPr>
        <w:spacing w:line="240" w:lineRule="auto"/>
        <w:jc w:val="both"/>
        <w:rPr>
          <w:rFonts w:ascii="Times New Roman" w:hAnsi="Times New Roman" w:cs="Times New Roman"/>
          <w:sz w:val="28"/>
          <w:szCs w:val="28"/>
        </w:rPr>
      </w:pPr>
      <w:r>
        <w:rPr>
          <w:rFonts w:ascii="Times New Roman" w:hAnsi="Times New Roman"/>
          <w:sz w:val="28"/>
        </w:rPr>
        <w:t>Przekazanie decyzji w sprawie środków nadzoru do innego państwa członkowskiego, w którym dana osoba ma zgodne z prawem stałe miejsce pobytu, jest możliwe wyłącznie na wniosek podejrzanego, a inne państwo członkowskie wyraża zgodę na takie przekazanie, jeżeli spełnione są warunki takiej zgody.</w:t>
      </w:r>
    </w:p>
    <w:p w14:paraId="2273655C" w14:textId="77777777" w:rsidR="006F2E01" w:rsidRDefault="006F2E01" w:rsidP="006F2E01">
      <w:pPr>
        <w:spacing w:after="0" w:line="240" w:lineRule="auto"/>
        <w:jc w:val="both"/>
        <w:rPr>
          <w:rFonts w:ascii="Times New Roman" w:hAnsi="Times New Roman" w:cs="Times New Roman"/>
          <w:sz w:val="28"/>
          <w:szCs w:val="28"/>
        </w:rPr>
      </w:pPr>
      <w:r>
        <w:rPr>
          <w:rFonts w:ascii="Times New Roman" w:hAnsi="Times New Roman"/>
          <w:sz w:val="28"/>
        </w:rPr>
        <w:t xml:space="preserve">Wdrażając decyzję ramową, państwa członkowskie określają, </w:t>
      </w:r>
      <w:r>
        <w:rPr>
          <w:rFonts w:ascii="Times New Roman" w:hAnsi="Times New Roman"/>
          <w:b/>
          <w:sz w:val="28"/>
        </w:rPr>
        <w:t xml:space="preserve">na jakich warunkach </w:t>
      </w:r>
      <w:r>
        <w:rPr>
          <w:rFonts w:ascii="Times New Roman" w:hAnsi="Times New Roman"/>
          <w:sz w:val="28"/>
        </w:rPr>
        <w:t>ich właściwe organy</w:t>
      </w:r>
      <w:r>
        <w:rPr>
          <w:rFonts w:ascii="Times New Roman" w:hAnsi="Times New Roman"/>
          <w:b/>
          <w:sz w:val="28"/>
        </w:rPr>
        <w:t xml:space="preserve"> mogą wyrazić zgodę na przekazanie decyzji w sprawie środków nadzoru w przypadkach, o których mowa w ust. 2</w:t>
      </w:r>
      <w:r>
        <w:rPr>
          <w:rFonts w:ascii="Times New Roman" w:hAnsi="Times New Roman"/>
          <w:sz w:val="28"/>
        </w:rPr>
        <w:t>.</w:t>
      </w:r>
    </w:p>
    <w:p w14:paraId="4EC1EB73" w14:textId="77777777" w:rsidR="006F2E01" w:rsidRPr="000A4609" w:rsidRDefault="006F2E01" w:rsidP="000A4609">
      <w:pPr>
        <w:spacing w:line="240" w:lineRule="auto"/>
        <w:jc w:val="both"/>
        <w:rPr>
          <w:rFonts w:ascii="Times New Roman" w:hAnsi="Times New Roman" w:cs="Times New Roman"/>
          <w:sz w:val="28"/>
          <w:szCs w:val="28"/>
        </w:rPr>
      </w:pPr>
    </w:p>
    <w:tbl>
      <w:tblPr>
        <w:tblW w:w="9108"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8"/>
      </w:tblGrid>
      <w:tr w:rsidR="000A1226" w:rsidRPr="000A4609" w14:paraId="01B9EB10" w14:textId="77777777" w:rsidTr="00FF4AF3">
        <w:trPr>
          <w:trHeight w:val="2268"/>
        </w:trPr>
        <w:tc>
          <w:tcPr>
            <w:tcW w:w="9108" w:type="dxa"/>
            <w:shd w:val="clear" w:color="auto" w:fill="B4C6E7" w:themeFill="accent1" w:themeFillTint="66"/>
          </w:tcPr>
          <w:p w14:paraId="7C680C72" w14:textId="48A011E2" w:rsidR="00B244E9" w:rsidRPr="000A4609" w:rsidRDefault="000A1226" w:rsidP="00FF4AF3">
            <w:pPr>
              <w:spacing w:line="240" w:lineRule="auto"/>
              <w:ind w:left="-12"/>
              <w:jc w:val="both"/>
              <w:rPr>
                <w:rFonts w:ascii="Times New Roman" w:hAnsi="Times New Roman" w:cs="Times New Roman"/>
                <w:sz w:val="28"/>
                <w:szCs w:val="28"/>
              </w:rPr>
            </w:pPr>
            <w:r>
              <w:rPr>
                <w:rFonts w:ascii="Times New Roman" w:hAnsi="Times New Roman"/>
                <w:i/>
                <w:sz w:val="28"/>
              </w:rPr>
              <w:t xml:space="preserve">Na </w:t>
            </w:r>
            <w:r w:rsidR="00E847ED">
              <w:rPr>
                <w:rFonts w:ascii="Times New Roman" w:hAnsi="Times New Roman"/>
                <w:i/>
                <w:sz w:val="28"/>
              </w:rPr>
              <w:t>przykład</w:t>
            </w:r>
            <w:r w:rsidR="00E847ED">
              <w:rPr>
                <w:rFonts w:ascii="Times New Roman" w:hAnsi="Times New Roman"/>
                <w:sz w:val="28"/>
              </w:rPr>
              <w:t xml:space="preserve"> w</w:t>
            </w:r>
            <w:r>
              <w:rPr>
                <w:rFonts w:ascii="Times New Roman" w:hAnsi="Times New Roman"/>
                <w:sz w:val="28"/>
              </w:rPr>
              <w:t xml:space="preserve"> odniesieniu do art. 9 ust. 2 Rumunia, jako państwo wykonujące, powiadomiła Sekretariat Generalny Rady Unii Europejskiej w momencie wdrażania decyzji ramowej Rady, że </w:t>
            </w:r>
            <w:r>
              <w:rPr>
                <w:rFonts w:ascii="Times New Roman" w:hAnsi="Times New Roman"/>
                <w:sz w:val="28"/>
                <w:u w:val="single"/>
              </w:rPr>
              <w:t xml:space="preserve">może uznać nakaz nadzoru nie tylko wtedy, gdy dana osoba ma legalne i zwykłe miejsce pobytu </w:t>
            </w:r>
            <w:r w:rsidR="00E847ED">
              <w:rPr>
                <w:rFonts w:ascii="Times New Roman" w:hAnsi="Times New Roman"/>
                <w:sz w:val="28"/>
                <w:u w:val="single"/>
              </w:rPr>
              <w:t>w</w:t>
            </w:r>
            <w:r w:rsidR="00E847ED">
              <w:rPr>
                <w:rFonts w:ascii="Times New Roman" w:hAnsi="Times New Roman"/>
                <w:sz w:val="28"/>
              </w:rPr>
              <w:t xml:space="preserve"> Rumunii</w:t>
            </w:r>
            <w:r>
              <w:rPr>
                <w:rFonts w:ascii="Times New Roman" w:hAnsi="Times New Roman"/>
                <w:sz w:val="28"/>
              </w:rPr>
              <w:t xml:space="preserve">, </w:t>
            </w:r>
            <w:r>
              <w:rPr>
                <w:rFonts w:ascii="Times New Roman" w:hAnsi="Times New Roman"/>
                <w:b/>
                <w:sz w:val="28"/>
              </w:rPr>
              <w:t xml:space="preserve">ale również w przypadku, gdy jeden z członków jej rodziny jest obywatelem Rumunii, ma w niej miejsce pobytu lub zamierza podjąć działalność zawodową, studia lub </w:t>
            </w:r>
            <w:r w:rsidR="00E847ED">
              <w:rPr>
                <w:rFonts w:ascii="Times New Roman" w:hAnsi="Times New Roman"/>
                <w:b/>
                <w:sz w:val="28"/>
              </w:rPr>
              <w:t>szkolenie</w:t>
            </w:r>
            <w:r w:rsidR="00E847ED">
              <w:rPr>
                <w:rFonts w:ascii="Times New Roman" w:hAnsi="Times New Roman"/>
                <w:sz w:val="28"/>
              </w:rPr>
              <w:t xml:space="preserve"> w</w:t>
            </w:r>
            <w:r>
              <w:rPr>
                <w:rFonts w:ascii="Times New Roman" w:hAnsi="Times New Roman"/>
                <w:sz w:val="28"/>
              </w:rPr>
              <w:t xml:space="preserve"> Rumunii.</w:t>
            </w:r>
          </w:p>
          <w:p w14:paraId="03A23AE4" w14:textId="7754CF41" w:rsidR="00B244E9" w:rsidRPr="000A4609" w:rsidRDefault="00B244E9" w:rsidP="000A4609">
            <w:pPr>
              <w:spacing w:line="240" w:lineRule="auto"/>
              <w:ind w:left="-12"/>
              <w:jc w:val="both"/>
              <w:rPr>
                <w:rFonts w:ascii="Times New Roman" w:hAnsi="Times New Roman" w:cs="Times New Roman"/>
                <w:sz w:val="28"/>
                <w:szCs w:val="28"/>
              </w:rPr>
            </w:pPr>
            <w:r>
              <w:rPr>
                <w:rFonts w:ascii="Times New Roman" w:hAnsi="Times New Roman"/>
                <w:i/>
                <w:sz w:val="28"/>
              </w:rPr>
              <w:t xml:space="preserve">Na </w:t>
            </w:r>
            <w:r w:rsidR="00E847ED">
              <w:rPr>
                <w:rFonts w:ascii="Times New Roman" w:hAnsi="Times New Roman"/>
                <w:i/>
                <w:sz w:val="28"/>
              </w:rPr>
              <w:t>przykład</w:t>
            </w:r>
            <w:r w:rsidR="00E847ED">
              <w:rPr>
                <w:rFonts w:ascii="Times New Roman" w:hAnsi="Times New Roman"/>
                <w:sz w:val="28"/>
              </w:rPr>
              <w:t xml:space="preserve"> w</w:t>
            </w:r>
            <w:r>
              <w:rPr>
                <w:rFonts w:ascii="Times New Roman" w:hAnsi="Times New Roman"/>
                <w:sz w:val="28"/>
              </w:rPr>
              <w:t xml:space="preserve"> odniesieniu do art. 9 ust. 2 Austria, jako państwo wykonujące, powiadomiła Sekretariat Generalny Rady Unii Europejskiej w momencie wdrażania decyzji ramowej Rady, że może uznać nadzór </w:t>
            </w:r>
            <w:r>
              <w:rPr>
                <w:rFonts w:ascii="Times New Roman" w:hAnsi="Times New Roman"/>
                <w:b/>
                <w:sz w:val="28"/>
              </w:rPr>
              <w:t xml:space="preserve">niezależnie od tego, czy dana osoba ma miejsce zamieszkania lub stałego pobytu w Austrii, jeżeli ze względu na szczególne okoliczności między daną osobą a Austrią istnieją więzi na tyle intensywne, że można założyć, iż nadzór w Austrii pomoże ułatwić resocjalizację i </w:t>
            </w:r>
            <w:r w:rsidR="00E847ED">
              <w:rPr>
                <w:rFonts w:ascii="Times New Roman" w:hAnsi="Times New Roman"/>
                <w:b/>
                <w:sz w:val="28"/>
              </w:rPr>
              <w:t>reintegrację</w:t>
            </w:r>
            <w:r w:rsidR="00E847ED">
              <w:rPr>
                <w:rFonts w:ascii="Times New Roman" w:hAnsi="Times New Roman"/>
                <w:sz w:val="28"/>
              </w:rPr>
              <w:t xml:space="preserve"> danej</w:t>
            </w:r>
            <w:r>
              <w:rPr>
                <w:rFonts w:ascii="Times New Roman" w:hAnsi="Times New Roman"/>
                <w:sz w:val="28"/>
              </w:rPr>
              <w:t xml:space="preserve"> osoby.</w:t>
            </w:r>
          </w:p>
        </w:tc>
      </w:tr>
    </w:tbl>
    <w:p w14:paraId="4FE798A4" w14:textId="3C78119F" w:rsidR="009708DE" w:rsidRDefault="009708DE" w:rsidP="000A4609">
      <w:pPr>
        <w:spacing w:line="240" w:lineRule="auto"/>
        <w:jc w:val="both"/>
        <w:rPr>
          <w:rFonts w:ascii="Times New Roman" w:hAnsi="Times New Roman" w:cs="Times New Roman"/>
          <w:sz w:val="28"/>
          <w:szCs w:val="28"/>
        </w:rPr>
      </w:pPr>
    </w:p>
    <w:p w14:paraId="408153C9" w14:textId="388C6562" w:rsidR="00470420" w:rsidRPr="000A4609" w:rsidRDefault="009708DE" w:rsidP="009708DE">
      <w:pPr>
        <w:rPr>
          <w:rFonts w:ascii="Times New Roman" w:hAnsi="Times New Roman" w:cs="Times New Roman"/>
          <w:sz w:val="28"/>
          <w:szCs w:val="28"/>
        </w:rPr>
      </w:pPr>
      <w:r>
        <w:br w:type="page"/>
      </w:r>
    </w:p>
    <w:p w14:paraId="28533021" w14:textId="474A648B" w:rsidR="00470420" w:rsidRPr="00FF4AF3" w:rsidRDefault="00C116DD" w:rsidP="000A4609">
      <w:pPr>
        <w:spacing w:line="240" w:lineRule="auto"/>
        <w:jc w:val="both"/>
        <w:rPr>
          <w:rFonts w:ascii="Times New Roman" w:hAnsi="Times New Roman" w:cs="Times New Roman"/>
          <w:color w:val="2F5496" w:themeColor="accent1" w:themeShade="BF"/>
          <w:sz w:val="28"/>
          <w:szCs w:val="28"/>
        </w:rPr>
      </w:pPr>
      <w:r>
        <w:rPr>
          <w:rFonts w:ascii="Times New Roman" w:hAnsi="Times New Roman"/>
          <w:b/>
          <w:i/>
          <w:color w:val="2F5496" w:themeColor="accent1" w:themeShade="BF"/>
          <w:sz w:val="28"/>
        </w:rPr>
        <w:lastRenderedPageBreak/>
        <w:t>P</w:t>
      </w:r>
      <w:r w:rsidR="00210A69">
        <w:rPr>
          <w:rFonts w:ascii="Times New Roman" w:hAnsi="Times New Roman"/>
          <w:b/>
          <w:i/>
          <w:color w:val="2F5496" w:themeColor="accent1" w:themeShade="BF"/>
          <w:sz w:val="28"/>
        </w:rPr>
        <w:t>3:</w:t>
      </w:r>
      <w:r w:rsidR="00210A69">
        <w:rPr>
          <w:rFonts w:ascii="Times New Roman" w:hAnsi="Times New Roman"/>
          <w:color w:val="2F5496" w:themeColor="accent1" w:themeShade="BF"/>
          <w:sz w:val="28"/>
        </w:rPr>
        <w:t xml:space="preserve"> Czy właściwy organ ma obowiązek przekazania decyzji w sprawie środków nadzoru właściwym organom w innym państwie członkowskim?</w:t>
      </w:r>
    </w:p>
    <w:p w14:paraId="6C82A219" w14:textId="77777777" w:rsidR="00440455" w:rsidRPr="000A4609" w:rsidRDefault="00440455"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 xml:space="preserve">Art. 9 ust. 1 decyzji ramowej Rady stanowi, że decyzja w sprawie środków nadzoru </w:t>
      </w:r>
      <w:r>
        <w:rPr>
          <w:rFonts w:ascii="Times New Roman" w:hAnsi="Times New Roman"/>
          <w:b/>
          <w:sz w:val="28"/>
        </w:rPr>
        <w:t>może zostać przekazana</w:t>
      </w:r>
      <w:r>
        <w:rPr>
          <w:rFonts w:ascii="Times New Roman" w:hAnsi="Times New Roman"/>
          <w:sz w:val="28"/>
        </w:rPr>
        <w:t xml:space="preserve"> właściwemu organowi państwa członkowskiego, w którym dana osoba ma zgodne z prawem zwykłe miejsce pobytu, jeżeli osoba ta, po otrzymaniu informacji o odnośnych środkach, zgadza się na powrót do tego państwa.</w:t>
      </w:r>
    </w:p>
    <w:p w14:paraId="740290AD" w14:textId="5B29BE26" w:rsidR="00470420" w:rsidRPr="000A4609" w:rsidRDefault="00440455"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Sformułowanie użyte w dyrektywie w sprawie wspólnych przepisów "</w:t>
      </w:r>
      <w:r>
        <w:rPr>
          <w:rFonts w:ascii="Times New Roman" w:hAnsi="Times New Roman"/>
          <w:i/>
          <w:sz w:val="28"/>
        </w:rPr>
        <w:t>może</w:t>
      </w:r>
      <w:r>
        <w:rPr>
          <w:rFonts w:ascii="Times New Roman" w:hAnsi="Times New Roman"/>
          <w:sz w:val="28"/>
        </w:rPr>
        <w:t>"</w:t>
      </w:r>
      <w:r>
        <w:rPr>
          <w:rFonts w:ascii="Times New Roman" w:hAnsi="Times New Roman"/>
          <w:i/>
          <w:sz w:val="28"/>
        </w:rPr>
        <w:t xml:space="preserve"> </w:t>
      </w:r>
      <w:r>
        <w:rPr>
          <w:rFonts w:ascii="Times New Roman" w:hAnsi="Times New Roman"/>
          <w:sz w:val="28"/>
        </w:rPr>
        <w:t>zostać przekazane może wywołać myśl, że właściwy organ wydający nakaz może arbitralnie zdecydować, czy przekazać taką decyzję w sprawie środków nadzoru do innego państwa członkowskiego, w którym dana osoba ma legalne i zwykłe miejsce pobytu. Tak powinno być w praktyce.</w:t>
      </w:r>
    </w:p>
    <w:p w14:paraId="0B80CE64" w14:textId="0B55AAEC" w:rsidR="00440455" w:rsidRPr="000A4609" w:rsidRDefault="00EA6027"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 xml:space="preserve">Ustęp ten należy interpretować w powiązaniu z art. 22 decyzji ramowej Rady, w którym przewidziano, że właściwe organy państwa wydającego nakaz i państwa wykonującego nakaz </w:t>
      </w:r>
      <w:r>
        <w:rPr>
          <w:rFonts w:ascii="Times New Roman" w:hAnsi="Times New Roman"/>
          <w:sz w:val="28"/>
          <w:u w:val="single"/>
        </w:rPr>
        <w:t>konsultują się</w:t>
      </w:r>
      <w:r>
        <w:rPr>
          <w:rFonts w:ascii="Times New Roman" w:hAnsi="Times New Roman"/>
          <w:sz w:val="28"/>
        </w:rPr>
        <w:t xml:space="preserve"> ze sobą w </w:t>
      </w:r>
      <w:r>
        <w:rPr>
          <w:rFonts w:ascii="Times New Roman" w:hAnsi="Times New Roman"/>
          <w:b/>
          <w:sz w:val="28"/>
        </w:rPr>
        <w:t xml:space="preserve">trakcie przygotowywania </w:t>
      </w:r>
      <w:r>
        <w:rPr>
          <w:rFonts w:ascii="Times New Roman" w:hAnsi="Times New Roman"/>
          <w:sz w:val="28"/>
        </w:rPr>
        <w:t xml:space="preserve">zaświadczenia </w:t>
      </w:r>
      <w:r>
        <w:rPr>
          <w:rFonts w:ascii="Times New Roman" w:hAnsi="Times New Roman"/>
          <w:b/>
          <w:sz w:val="28"/>
        </w:rPr>
        <w:t xml:space="preserve">lub przynajmniej przed przekazaniem decyzji w sprawie środków nadzoru </w:t>
      </w:r>
      <w:r>
        <w:rPr>
          <w:rFonts w:ascii="Times New Roman" w:hAnsi="Times New Roman"/>
          <w:sz w:val="28"/>
        </w:rPr>
        <w:t xml:space="preserve">wraz z zaświadczeniem. </w:t>
      </w:r>
    </w:p>
    <w:p w14:paraId="4C16EB56" w14:textId="766A89B5" w:rsidR="005E3114" w:rsidRPr="000A4609" w:rsidRDefault="00440455" w:rsidP="00FF4AF3">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 xml:space="preserve">Zatem decyzja o tym, czy przekazać decyzję w sprawie środków nadzoru, musi być </w:t>
      </w:r>
      <w:r>
        <w:rPr>
          <w:rFonts w:ascii="Times New Roman" w:hAnsi="Times New Roman"/>
          <w:b/>
          <w:sz w:val="28"/>
          <w:u w:val="single"/>
        </w:rPr>
        <w:t>świadomej decyzji,</w:t>
      </w:r>
      <w:r>
        <w:rPr>
          <w:rFonts w:ascii="Times New Roman" w:hAnsi="Times New Roman"/>
          <w:b/>
          <w:sz w:val="28"/>
        </w:rPr>
        <w:t xml:space="preserve"> </w:t>
      </w:r>
      <w:r>
        <w:rPr>
          <w:rFonts w:ascii="Times New Roman" w:hAnsi="Times New Roman"/>
          <w:sz w:val="28"/>
        </w:rPr>
        <w:t xml:space="preserve">podjęta </w:t>
      </w:r>
      <w:r>
        <w:rPr>
          <w:rFonts w:ascii="Times New Roman" w:hAnsi="Times New Roman"/>
          <w:b/>
          <w:sz w:val="28"/>
          <w:u w:val="single"/>
        </w:rPr>
        <w:t>na podstawie informacji otrzymanych</w:t>
      </w:r>
      <w:r>
        <w:rPr>
          <w:rFonts w:ascii="Times New Roman" w:hAnsi="Times New Roman"/>
          <w:sz w:val="28"/>
        </w:rPr>
        <w:t xml:space="preserve"> od właściwych organów państwa wykonującego nakaz. </w:t>
      </w:r>
    </w:p>
    <w:tbl>
      <w:tblPr>
        <w:tblW w:w="9204"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4"/>
      </w:tblGrid>
      <w:tr w:rsidR="005E3114" w:rsidRPr="000A4609" w14:paraId="4120A001" w14:textId="77777777" w:rsidTr="00FF4AF3">
        <w:trPr>
          <w:trHeight w:val="1968"/>
        </w:trPr>
        <w:tc>
          <w:tcPr>
            <w:tcW w:w="9204" w:type="dxa"/>
            <w:shd w:val="clear" w:color="auto" w:fill="B4C6E7" w:themeFill="accent1" w:themeFillTint="66"/>
          </w:tcPr>
          <w:p w14:paraId="4564AE98" w14:textId="77777777" w:rsidR="005E3114" w:rsidRPr="000A4609" w:rsidRDefault="005E3114" w:rsidP="000A4609">
            <w:pPr>
              <w:spacing w:line="240" w:lineRule="auto"/>
              <w:ind w:left="48"/>
              <w:jc w:val="both"/>
              <w:rPr>
                <w:rFonts w:ascii="Times New Roman" w:hAnsi="Times New Roman" w:cs="Times New Roman"/>
                <w:i/>
                <w:iCs/>
                <w:sz w:val="28"/>
                <w:szCs w:val="28"/>
              </w:rPr>
            </w:pPr>
            <w:r>
              <w:rPr>
                <w:rFonts w:ascii="Times New Roman" w:hAnsi="Times New Roman"/>
                <w:sz w:val="28"/>
              </w:rPr>
              <w:t xml:space="preserve">Na przykład </w:t>
            </w:r>
            <w:r>
              <w:rPr>
                <w:rFonts w:ascii="Times New Roman" w:hAnsi="Times New Roman"/>
                <w:i/>
                <w:sz w:val="28"/>
              </w:rPr>
              <w:t>właściwy organ państwa wykonującego nakaz może przekazać informacje</w:t>
            </w:r>
            <w:r>
              <w:rPr>
                <w:rFonts w:ascii="Times New Roman" w:hAnsi="Times New Roman"/>
                <w:sz w:val="28"/>
              </w:rPr>
              <w:t>:</w:t>
            </w:r>
          </w:p>
          <w:p w14:paraId="2E459BB9" w14:textId="77777777" w:rsidR="005E3114" w:rsidRPr="000A4609" w:rsidRDefault="005E3114" w:rsidP="000A4609">
            <w:pPr>
              <w:pStyle w:val="Akapitzlist"/>
              <w:numPr>
                <w:ilvl w:val="0"/>
                <w:numId w:val="4"/>
              </w:numPr>
              <w:spacing w:line="240" w:lineRule="auto"/>
              <w:contextualSpacing w:val="0"/>
              <w:jc w:val="both"/>
              <w:rPr>
                <w:rFonts w:ascii="Times New Roman" w:hAnsi="Times New Roman" w:cs="Times New Roman"/>
                <w:sz w:val="28"/>
                <w:szCs w:val="28"/>
              </w:rPr>
            </w:pPr>
            <w:r>
              <w:rPr>
                <w:rFonts w:ascii="Times New Roman" w:hAnsi="Times New Roman"/>
                <w:i/>
                <w:sz w:val="28"/>
              </w:rPr>
              <w:t xml:space="preserve">informacje o zagrożeniu, jakie dana osoba może stanowić dla ofiar i ogółu społeczeństwa w państwie członkowskim wykonującym działania, </w:t>
            </w:r>
          </w:p>
          <w:p w14:paraId="56C8B0AD" w14:textId="77777777" w:rsidR="005E3114" w:rsidRPr="000A4609" w:rsidRDefault="005E3114" w:rsidP="000A4609">
            <w:pPr>
              <w:pStyle w:val="Akapitzlist"/>
              <w:numPr>
                <w:ilvl w:val="0"/>
                <w:numId w:val="4"/>
              </w:numPr>
              <w:spacing w:line="240" w:lineRule="auto"/>
              <w:contextualSpacing w:val="0"/>
              <w:jc w:val="both"/>
              <w:rPr>
                <w:rFonts w:ascii="Times New Roman" w:hAnsi="Times New Roman" w:cs="Times New Roman"/>
                <w:sz w:val="28"/>
                <w:szCs w:val="28"/>
              </w:rPr>
            </w:pPr>
            <w:r>
              <w:rPr>
                <w:rFonts w:ascii="Times New Roman" w:hAnsi="Times New Roman"/>
                <w:i/>
                <w:sz w:val="28"/>
              </w:rPr>
              <w:t xml:space="preserve">informacje pozwalające na weryfikację tożsamości i miejsca zamieszkania danej osoby, </w:t>
            </w:r>
          </w:p>
          <w:p w14:paraId="191B2329" w14:textId="6C2EB82F" w:rsidR="005E3114" w:rsidRPr="000A4609" w:rsidRDefault="005E3114" w:rsidP="000A4609">
            <w:pPr>
              <w:pStyle w:val="Akapitzlist"/>
              <w:numPr>
                <w:ilvl w:val="0"/>
                <w:numId w:val="4"/>
              </w:numPr>
              <w:spacing w:line="240" w:lineRule="auto"/>
              <w:contextualSpacing w:val="0"/>
              <w:jc w:val="both"/>
              <w:rPr>
                <w:rFonts w:ascii="Times New Roman" w:hAnsi="Times New Roman" w:cs="Times New Roman"/>
                <w:sz w:val="28"/>
                <w:szCs w:val="28"/>
              </w:rPr>
            </w:pPr>
            <w:r>
              <w:rPr>
                <w:rFonts w:ascii="Times New Roman" w:hAnsi="Times New Roman"/>
                <w:i/>
                <w:sz w:val="28"/>
              </w:rPr>
              <w:t>inne informacje potrzebne do ułatwienia sprawnego i skutecznego monitorowania środków nadzoru</w:t>
            </w:r>
          </w:p>
        </w:tc>
      </w:tr>
    </w:tbl>
    <w:p w14:paraId="367D3CF8" w14:textId="7C31D142" w:rsidR="002C2AB1" w:rsidRPr="000A4609" w:rsidRDefault="002C2AB1" w:rsidP="000A4609">
      <w:pPr>
        <w:suppressAutoHyphens/>
        <w:autoSpaceDN w:val="0"/>
        <w:spacing w:line="240" w:lineRule="auto"/>
        <w:jc w:val="both"/>
        <w:textAlignment w:val="baseline"/>
        <w:rPr>
          <w:rFonts w:ascii="Times New Roman" w:eastAsia="Calibri" w:hAnsi="Times New Roman" w:cs="Times New Roman"/>
          <w:sz w:val="28"/>
          <w:szCs w:val="28"/>
          <w:lang w:val="en-US"/>
        </w:rPr>
      </w:pPr>
    </w:p>
    <w:p w14:paraId="1E35BAB4" w14:textId="793DD9B4" w:rsidR="00210A69" w:rsidRPr="00FF4AF3" w:rsidRDefault="00C116DD" w:rsidP="00FF4AF3">
      <w:pPr>
        <w:spacing w:line="240" w:lineRule="auto"/>
        <w:jc w:val="both"/>
        <w:rPr>
          <w:rFonts w:ascii="Times New Roman" w:hAnsi="Times New Roman" w:cs="Times New Roman"/>
          <w:color w:val="2F5496" w:themeColor="accent1" w:themeShade="BF"/>
          <w:sz w:val="28"/>
          <w:szCs w:val="28"/>
        </w:rPr>
      </w:pPr>
      <w:r>
        <w:rPr>
          <w:rFonts w:ascii="Times New Roman" w:hAnsi="Times New Roman"/>
          <w:b/>
          <w:i/>
          <w:color w:val="2F5496" w:themeColor="accent1" w:themeShade="BF"/>
          <w:sz w:val="28"/>
        </w:rPr>
        <w:t>P</w:t>
      </w:r>
      <w:r w:rsidR="00210A69">
        <w:rPr>
          <w:rFonts w:ascii="Times New Roman" w:hAnsi="Times New Roman"/>
          <w:b/>
          <w:i/>
          <w:color w:val="2F5496" w:themeColor="accent1" w:themeShade="BF"/>
          <w:sz w:val="28"/>
        </w:rPr>
        <w:t>4:</w:t>
      </w:r>
      <w:r w:rsidR="00210A69">
        <w:rPr>
          <w:rFonts w:ascii="Times New Roman" w:hAnsi="Times New Roman"/>
          <w:color w:val="2F5496" w:themeColor="accent1" w:themeShade="BF"/>
          <w:sz w:val="28"/>
        </w:rPr>
        <w:t xml:space="preserve"> Odnalezienie właściwych organów z obu krajów zaangażowanych w ewentualne przekazanie nadzoru nad obowiązkami nałożonymi na sprawcę A.W.</w:t>
      </w:r>
    </w:p>
    <w:p w14:paraId="20CEF7EA" w14:textId="77777777" w:rsidR="002C2AB1" w:rsidRPr="000A4609" w:rsidRDefault="002C2AB1"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Zgodnie z art. 6 i 7 decyzji ramowej Rady każde państwo członkowskie może, zgodnie z prawem krajowym, wyznaczyć właściwe organy zgodnie z wymogami instrumentu prawnego.</w:t>
      </w:r>
    </w:p>
    <w:p w14:paraId="697F403A" w14:textId="7720B132" w:rsidR="002C2AB1" w:rsidRPr="000A4609" w:rsidRDefault="002C2AB1"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lastRenderedPageBreak/>
        <w:t xml:space="preserve">Właściwe organy mogą być </w:t>
      </w:r>
      <w:r>
        <w:rPr>
          <w:rFonts w:ascii="Times New Roman" w:hAnsi="Times New Roman"/>
          <w:b/>
          <w:sz w:val="28"/>
        </w:rPr>
        <w:t>sądowe</w:t>
      </w:r>
      <w:r>
        <w:rPr>
          <w:rFonts w:ascii="Times New Roman" w:hAnsi="Times New Roman"/>
          <w:sz w:val="28"/>
        </w:rPr>
        <w:t xml:space="preserve"> lub </w:t>
      </w:r>
      <w:r>
        <w:rPr>
          <w:rFonts w:ascii="Times New Roman" w:hAnsi="Times New Roman"/>
          <w:b/>
          <w:sz w:val="28"/>
        </w:rPr>
        <w:t>pozasądowe</w:t>
      </w:r>
      <w:r>
        <w:rPr>
          <w:rFonts w:ascii="Times New Roman" w:hAnsi="Times New Roman"/>
          <w:sz w:val="28"/>
        </w:rPr>
        <w:t xml:space="preserve"> (z wyjątkiem przepisów, w których obowiązkowe jest wyznaczenie właściwego organu sądowego – np. art. 18 ust. 1 lit. c) decyzji ramowej). </w:t>
      </w:r>
    </w:p>
    <w:p w14:paraId="30DDE24F" w14:textId="0182C89E" w:rsidR="002C2AB1" w:rsidRPr="000A4609" w:rsidRDefault="009673E6"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 xml:space="preserve">Każde państwo członkowskie może wyznaczyć </w:t>
      </w:r>
      <w:r>
        <w:rPr>
          <w:rFonts w:ascii="Times New Roman" w:hAnsi="Times New Roman"/>
          <w:b/>
          <w:sz w:val="28"/>
        </w:rPr>
        <w:t>organ centralny</w:t>
      </w:r>
      <w:r>
        <w:rPr>
          <w:rFonts w:ascii="Times New Roman" w:hAnsi="Times New Roman"/>
          <w:sz w:val="28"/>
        </w:rPr>
        <w:t xml:space="preserve"> lub, jeżeli przewiduje to jego system prawny, </w:t>
      </w:r>
      <w:r>
        <w:rPr>
          <w:rFonts w:ascii="Times New Roman" w:hAnsi="Times New Roman"/>
          <w:b/>
          <w:sz w:val="28"/>
        </w:rPr>
        <w:t>więcej niż jeden organ centralny</w:t>
      </w:r>
      <w:r>
        <w:rPr>
          <w:rFonts w:ascii="Times New Roman" w:hAnsi="Times New Roman"/>
          <w:sz w:val="28"/>
        </w:rPr>
        <w:t xml:space="preserve"> do wspomagania swoich właściwych organów.</w:t>
      </w:r>
    </w:p>
    <w:p w14:paraId="2A69244D" w14:textId="69A9B1DC" w:rsidR="0068103A" w:rsidRDefault="009673E6" w:rsidP="0068103A">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 xml:space="preserve">Państwo członkowskie może, jeżeli jest to konieczne ze względu na organizację jego wewnętrznego systemu sądowego, uczynić swój </w:t>
      </w:r>
      <w:r>
        <w:rPr>
          <w:rFonts w:ascii="Times New Roman" w:hAnsi="Times New Roman"/>
          <w:b/>
          <w:sz w:val="28"/>
        </w:rPr>
        <w:t>organ centralny (swoje organy centralne)</w:t>
      </w:r>
      <w:r>
        <w:rPr>
          <w:rFonts w:ascii="Times New Roman" w:hAnsi="Times New Roman"/>
          <w:sz w:val="28"/>
        </w:rPr>
        <w:t xml:space="preserve"> odpowiedzialnym za administracyjne przekazywanie i odbiór decyzji w sprawie środków nadzoru wraz z zaświadczeniami, o których mowa w art. 10, a także za wszelką inną odnośną korespondencję urzędową. W związku z tym wszelkie komunikaty, konsultacje, wymiana informacji, zapytania i powiadomienia między właściwymi organami mogą być w stosownych przypadkach rozpatrywane przy pomocy organu(-ów) centralnego(-ych) danego państwa członkowskiego (art. 7 ust. 4 decyzji ramowej Rady).</w:t>
      </w:r>
    </w:p>
    <w:tbl>
      <w:tblPr>
        <w:tblW w:w="900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6"/>
      </w:tblGrid>
      <w:tr w:rsidR="0068103A" w:rsidRPr="0068103A" w14:paraId="1D51C8DD" w14:textId="77777777" w:rsidTr="0006125A">
        <w:trPr>
          <w:trHeight w:val="756"/>
        </w:trPr>
        <w:tc>
          <w:tcPr>
            <w:tcW w:w="900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EA260BC" w14:textId="1C72CE0B" w:rsidR="0068103A" w:rsidRDefault="0068103A">
            <w:pPr>
              <w:suppressAutoHyphens/>
              <w:autoSpaceDN w:val="0"/>
              <w:spacing w:after="0" w:line="240" w:lineRule="auto"/>
              <w:ind w:left="120"/>
              <w:jc w:val="both"/>
              <w:textAlignment w:val="baseline"/>
              <w:rPr>
                <w:rFonts w:ascii="Times New Roman" w:eastAsia="Calibri" w:hAnsi="Times New Roman" w:cs="Times New Roman"/>
                <w:sz w:val="28"/>
                <w:szCs w:val="28"/>
              </w:rPr>
            </w:pPr>
            <w:r>
              <w:rPr>
                <w:rFonts w:ascii="Times New Roman" w:hAnsi="Times New Roman"/>
                <w:sz w:val="28"/>
              </w:rPr>
              <w:t xml:space="preserve">Właściwe organy </w:t>
            </w:r>
            <w:hyperlink r:id="rId15" w:history="1">
              <w:r>
                <w:rPr>
                  <w:rStyle w:val="Hipercze"/>
                  <w:rFonts w:ascii="Times New Roman" w:hAnsi="Times New Roman"/>
                  <w:sz w:val="28"/>
                </w:rPr>
                <w:t>można znaleźć tutaj</w:t>
              </w:r>
            </w:hyperlink>
            <w:r>
              <w:rPr>
                <w:rFonts w:ascii="Times New Roman" w:hAnsi="Times New Roman"/>
                <w:sz w:val="28"/>
              </w:rPr>
              <w:t xml:space="preserve"> (powiadomienia od każdego z państw członkowskich przy wdrażaniu decyzji ramowej Rady).</w:t>
            </w:r>
          </w:p>
          <w:p w14:paraId="5665E011" w14:textId="46557D17" w:rsidR="0068103A" w:rsidRDefault="0068103A">
            <w:pPr>
              <w:suppressAutoHyphens/>
              <w:autoSpaceDN w:val="0"/>
              <w:spacing w:after="0" w:line="240" w:lineRule="auto"/>
              <w:ind w:left="120"/>
              <w:jc w:val="both"/>
              <w:textAlignment w:val="baseline"/>
              <w:rPr>
                <w:rFonts w:ascii="Times New Roman" w:eastAsia="Calibri" w:hAnsi="Times New Roman" w:cs="Times New Roman"/>
                <w:sz w:val="28"/>
                <w:szCs w:val="28"/>
                <w:lang w:val="en-US"/>
              </w:rPr>
            </w:pPr>
          </w:p>
        </w:tc>
      </w:tr>
    </w:tbl>
    <w:p w14:paraId="6C1776AE" w14:textId="77777777" w:rsidR="0068103A" w:rsidRPr="000A4609" w:rsidRDefault="0068103A" w:rsidP="000A4609">
      <w:pPr>
        <w:suppressAutoHyphens/>
        <w:autoSpaceDN w:val="0"/>
        <w:spacing w:line="240" w:lineRule="auto"/>
        <w:jc w:val="both"/>
        <w:textAlignment w:val="baseline"/>
        <w:rPr>
          <w:rFonts w:ascii="Times New Roman" w:eastAsia="Calibri" w:hAnsi="Times New Roman" w:cs="Times New Roman"/>
          <w:sz w:val="28"/>
          <w:szCs w:val="28"/>
          <w:lang w:val="en-US"/>
        </w:rPr>
      </w:pPr>
    </w:p>
    <w:p w14:paraId="341BCD35" w14:textId="5299F642" w:rsidR="006F5C89" w:rsidRPr="000A4609" w:rsidRDefault="006F5C89" w:rsidP="000A4609">
      <w:pPr>
        <w:pStyle w:val="Akapitzlist"/>
        <w:numPr>
          <w:ilvl w:val="0"/>
          <w:numId w:val="5"/>
        </w:numPr>
        <w:suppressAutoHyphens/>
        <w:autoSpaceDN w:val="0"/>
        <w:spacing w:line="240" w:lineRule="auto"/>
        <w:contextualSpacing w:val="0"/>
        <w:jc w:val="both"/>
        <w:textAlignment w:val="baseline"/>
        <w:rPr>
          <w:rFonts w:ascii="Times New Roman" w:eastAsia="Calibri" w:hAnsi="Times New Roman" w:cs="Times New Roman"/>
          <w:sz w:val="28"/>
          <w:szCs w:val="28"/>
        </w:rPr>
      </w:pPr>
      <w:r>
        <w:rPr>
          <w:rFonts w:ascii="Times New Roman" w:hAnsi="Times New Roman"/>
          <w:sz w:val="28"/>
        </w:rPr>
        <w:t xml:space="preserve"> </w:t>
      </w:r>
      <w:r>
        <w:rPr>
          <w:rFonts w:ascii="Times New Roman" w:hAnsi="Times New Roman"/>
          <w:i/>
          <w:sz w:val="28"/>
        </w:rPr>
        <w:t>Rumuński organ właściwy</w:t>
      </w:r>
      <w:r>
        <w:rPr>
          <w:rFonts w:ascii="Times New Roman" w:hAnsi="Times New Roman"/>
          <w:sz w:val="28"/>
        </w:rPr>
        <w:t xml:space="preserve"> do przekazania decyzji w sprawie środków nadzoru, zgodnie z przepisami krajowymi wdrażającymi dyrektywę decyzji ramowej Rady 2009/829/WSiSW jest to </w:t>
      </w:r>
      <w:r>
        <w:rPr>
          <w:rFonts w:ascii="Times New Roman" w:hAnsi="Times New Roman"/>
          <w:b/>
          <w:sz w:val="28"/>
        </w:rPr>
        <w:t>organ sądowy, który podjął decyzję w sprawie środka nadzoru</w:t>
      </w:r>
      <w:r>
        <w:rPr>
          <w:rFonts w:ascii="Times New Roman" w:hAnsi="Times New Roman"/>
          <w:sz w:val="28"/>
        </w:rPr>
        <w:t xml:space="preserve"> (w naszym przypadku prokurator z prokuratury działającej przy Sądzie Pierwszej Instancji w Braszowie). </w:t>
      </w:r>
    </w:p>
    <w:p w14:paraId="4A2284E7" w14:textId="7F429ECB" w:rsidR="00B62C52" w:rsidRPr="000A4609" w:rsidRDefault="006F5C89" w:rsidP="000A4609">
      <w:pPr>
        <w:pStyle w:val="Akapitzlist"/>
        <w:numPr>
          <w:ilvl w:val="0"/>
          <w:numId w:val="5"/>
        </w:numPr>
        <w:suppressAutoHyphens/>
        <w:autoSpaceDN w:val="0"/>
        <w:spacing w:line="240" w:lineRule="auto"/>
        <w:contextualSpacing w:val="0"/>
        <w:jc w:val="both"/>
        <w:textAlignment w:val="baseline"/>
        <w:rPr>
          <w:rFonts w:ascii="Times New Roman" w:eastAsia="Calibri" w:hAnsi="Times New Roman" w:cs="Times New Roman"/>
          <w:sz w:val="28"/>
          <w:szCs w:val="28"/>
        </w:rPr>
      </w:pPr>
      <w:r>
        <w:rPr>
          <w:rFonts w:ascii="Times New Roman" w:hAnsi="Times New Roman"/>
          <w:sz w:val="28"/>
        </w:rPr>
        <w:t xml:space="preserve"> </w:t>
      </w:r>
      <w:r>
        <w:rPr>
          <w:rFonts w:ascii="Times New Roman" w:hAnsi="Times New Roman"/>
          <w:i/>
          <w:sz w:val="28"/>
        </w:rPr>
        <w:t>Austriackimi organami właściwymi</w:t>
      </w:r>
      <w:r>
        <w:rPr>
          <w:rFonts w:ascii="Times New Roman" w:hAnsi="Times New Roman"/>
          <w:sz w:val="28"/>
        </w:rPr>
        <w:t xml:space="preserve"> w przypadku wpływających wniosków o monitorowanie środków nadzoru są </w:t>
      </w:r>
      <w:r>
        <w:rPr>
          <w:rFonts w:ascii="Times New Roman" w:hAnsi="Times New Roman"/>
          <w:b/>
          <w:sz w:val="28"/>
        </w:rPr>
        <w:t>sądy okręgowe</w:t>
      </w:r>
      <w:r>
        <w:rPr>
          <w:rFonts w:ascii="Times New Roman" w:hAnsi="Times New Roman"/>
          <w:sz w:val="28"/>
        </w:rPr>
        <w:t xml:space="preserve">. Zaświadczenie należy przedłożyć wraz z niezbędnymi dokumentami z sądu okręgowego, w którego okręgu dana </w:t>
      </w:r>
      <w:r>
        <w:rPr>
          <w:rFonts w:ascii="Times New Roman" w:hAnsi="Times New Roman"/>
          <w:b/>
          <w:sz w:val="28"/>
        </w:rPr>
        <w:t>osoba ma miejsce zamieszkania lub stałego pobytu</w:t>
      </w:r>
      <w:r>
        <w:rPr>
          <w:rFonts w:ascii="Times New Roman" w:hAnsi="Times New Roman"/>
          <w:sz w:val="28"/>
        </w:rPr>
        <w:t xml:space="preserve"> lub, w przypadkach określonych w art. 9 ust. 2, z sądu okręgowego, w którego okręgu istnieją szczególne więzi z daną osobą.</w:t>
      </w:r>
    </w:p>
    <w:p w14:paraId="39D2C357" w14:textId="77777777" w:rsidR="00600CBA" w:rsidRPr="000A4609" w:rsidRDefault="00600CBA" w:rsidP="000A4609">
      <w:pPr>
        <w:pStyle w:val="Akapitzlist"/>
        <w:suppressAutoHyphens/>
        <w:autoSpaceDN w:val="0"/>
        <w:spacing w:line="240" w:lineRule="auto"/>
        <w:contextualSpacing w:val="0"/>
        <w:jc w:val="both"/>
        <w:textAlignment w:val="baseline"/>
        <w:rPr>
          <w:rFonts w:ascii="Times New Roman" w:eastAsia="Calibri" w:hAnsi="Times New Roman" w:cs="Times New Roman"/>
          <w:sz w:val="28"/>
          <w:szCs w:val="28"/>
          <w:lang w:val="en-US"/>
        </w:rPr>
      </w:pPr>
    </w:p>
    <w:tbl>
      <w:tblPr>
        <w:tblW w:w="8931" w:type="dxa"/>
        <w:tblInd w:w="85" w:type="dxa"/>
        <w:tblCellMar>
          <w:left w:w="10" w:type="dxa"/>
          <w:right w:w="10" w:type="dxa"/>
        </w:tblCellMar>
        <w:tblLook w:val="0000" w:firstRow="0" w:lastRow="0" w:firstColumn="0" w:lastColumn="0" w:noHBand="0" w:noVBand="0"/>
      </w:tblPr>
      <w:tblGrid>
        <w:gridCol w:w="8931"/>
      </w:tblGrid>
      <w:tr w:rsidR="002C2AB1" w:rsidRPr="000A4609" w14:paraId="3E903334" w14:textId="77777777" w:rsidTr="00FF4AF3">
        <w:trPr>
          <w:trHeight w:val="1856"/>
        </w:trPr>
        <w:tc>
          <w:tcPr>
            <w:tcW w:w="893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CA4881B" w14:textId="4C90E302" w:rsidR="008E444F" w:rsidRPr="00FF4AF3" w:rsidRDefault="002C2AB1" w:rsidP="00FF4AF3">
            <w:pPr>
              <w:suppressAutoHyphens/>
              <w:autoSpaceDN w:val="0"/>
              <w:spacing w:line="240" w:lineRule="auto"/>
              <w:ind w:left="108"/>
              <w:jc w:val="both"/>
              <w:textAlignment w:val="baseline"/>
              <w:rPr>
                <w:rFonts w:ascii="Times New Roman" w:eastAsia="Calibri" w:hAnsi="Times New Roman" w:cs="Times New Roman"/>
                <w:sz w:val="28"/>
                <w:szCs w:val="28"/>
              </w:rPr>
            </w:pPr>
            <w:r>
              <w:rPr>
                <w:rFonts w:ascii="Times New Roman" w:hAnsi="Times New Roman"/>
                <w:sz w:val="28"/>
              </w:rPr>
              <w:t xml:space="preserve">Informacje dotyczące właściwych organów jako właściwych organów wydających nakaz lub wykonujących nakaz można znaleźć na stronie internetowej EJN pod adresem </w:t>
            </w:r>
            <w:hyperlink r:id="rId16" w:history="1">
              <w:r>
                <w:rPr>
                  <w:rFonts w:ascii="Times New Roman" w:hAnsi="Times New Roman"/>
                  <w:color w:val="0563C1"/>
                  <w:sz w:val="28"/>
                  <w:u w:val="single"/>
                </w:rPr>
                <w:t>www.ejn-crimjust.europa.eu</w:t>
              </w:r>
            </w:hyperlink>
            <w:r>
              <w:rPr>
                <w:rFonts w:ascii="Times New Roman" w:hAnsi="Times New Roman"/>
                <w:sz w:val="28"/>
              </w:rPr>
              <w:t xml:space="preserve"> (informacje podane dla każdego państwa członkowskiego):</w:t>
            </w:r>
          </w:p>
          <w:p w14:paraId="52DFAA99" w14:textId="6D61A0DC" w:rsidR="005B13D0" w:rsidRPr="00FF4AF3" w:rsidRDefault="008E444F" w:rsidP="00FF4AF3">
            <w:pPr>
              <w:suppressAutoHyphens/>
              <w:autoSpaceDN w:val="0"/>
              <w:spacing w:line="240" w:lineRule="auto"/>
              <w:ind w:left="108"/>
              <w:jc w:val="both"/>
              <w:textAlignment w:val="baseline"/>
              <w:rPr>
                <w:rFonts w:ascii="Times New Roman" w:eastAsia="Calibri" w:hAnsi="Times New Roman" w:cs="Times New Roman"/>
                <w:sz w:val="28"/>
                <w:szCs w:val="28"/>
              </w:rPr>
            </w:pPr>
            <w:r>
              <w:rPr>
                <w:rFonts w:ascii="Times New Roman" w:hAnsi="Times New Roman"/>
                <w:b/>
                <w:sz w:val="28"/>
              </w:rPr>
              <w:t xml:space="preserve">Rumunia – </w:t>
            </w:r>
            <w:hyperlink r:id="rId17" w:history="1">
              <w:r>
                <w:rPr>
                  <w:rStyle w:val="Hipercze"/>
                  <w:rFonts w:ascii="Times New Roman" w:hAnsi="Times New Roman"/>
                  <w:b/>
                  <w:sz w:val="28"/>
                </w:rPr>
                <w:t>informacje znajdują się tutaj</w:t>
              </w:r>
            </w:hyperlink>
            <w:r>
              <w:rPr>
                <w:rFonts w:ascii="Times New Roman" w:hAnsi="Times New Roman"/>
                <w:b/>
                <w:sz w:val="28"/>
              </w:rPr>
              <w:t>.</w:t>
            </w:r>
          </w:p>
          <w:p w14:paraId="6F9B942B" w14:textId="4D391678" w:rsidR="00AB34DD" w:rsidRPr="000A4609" w:rsidRDefault="005B13D0" w:rsidP="000A4609">
            <w:pPr>
              <w:suppressAutoHyphens/>
              <w:autoSpaceDN w:val="0"/>
              <w:spacing w:line="240" w:lineRule="auto"/>
              <w:ind w:left="108"/>
              <w:jc w:val="both"/>
              <w:textAlignment w:val="baseline"/>
              <w:rPr>
                <w:rFonts w:ascii="Times New Roman" w:eastAsia="Calibri" w:hAnsi="Times New Roman" w:cs="Times New Roman"/>
                <w:sz w:val="28"/>
                <w:szCs w:val="28"/>
              </w:rPr>
            </w:pPr>
            <w:r>
              <w:rPr>
                <w:rFonts w:ascii="Times New Roman" w:hAnsi="Times New Roman"/>
                <w:b/>
                <w:sz w:val="28"/>
              </w:rPr>
              <w:lastRenderedPageBreak/>
              <w:t xml:space="preserve">Austria – </w:t>
            </w:r>
            <w:hyperlink r:id="rId18" w:history="1">
              <w:r>
                <w:rPr>
                  <w:rStyle w:val="Hipercze"/>
                  <w:rFonts w:ascii="Times New Roman" w:hAnsi="Times New Roman"/>
                  <w:b/>
                  <w:sz w:val="28"/>
                </w:rPr>
                <w:t>informacje znajdują się tutaj</w:t>
              </w:r>
            </w:hyperlink>
            <w:r>
              <w:rPr>
                <w:rFonts w:ascii="Times New Roman" w:hAnsi="Times New Roman"/>
                <w:b/>
                <w:sz w:val="28"/>
              </w:rPr>
              <w:t>.</w:t>
            </w:r>
          </w:p>
        </w:tc>
      </w:tr>
    </w:tbl>
    <w:p w14:paraId="7157FD32" w14:textId="008F4E39" w:rsidR="009708DE" w:rsidRDefault="009708DE">
      <w:pPr>
        <w:rPr>
          <w:rFonts w:ascii="Times New Roman" w:eastAsia="Calibri" w:hAnsi="Times New Roman" w:cs="Times New Roman"/>
          <w:sz w:val="28"/>
          <w:szCs w:val="28"/>
          <w:lang w:val="en-US"/>
        </w:rPr>
      </w:pPr>
    </w:p>
    <w:p w14:paraId="20981C5F" w14:textId="7D1A345E" w:rsidR="002C2AB1" w:rsidRPr="000A4609" w:rsidRDefault="00B6613C" w:rsidP="000A4609">
      <w:pPr>
        <w:suppressAutoHyphens/>
        <w:autoSpaceDN w:val="0"/>
        <w:spacing w:line="240" w:lineRule="auto"/>
        <w:jc w:val="both"/>
        <w:textAlignment w:val="baseline"/>
        <w:rPr>
          <w:rFonts w:ascii="Times New Roman" w:eastAsia="Calibri" w:hAnsi="Times New Roman" w:cs="Times New Roman"/>
        </w:rPr>
      </w:pPr>
      <w:r>
        <w:rPr>
          <w:rFonts w:ascii="Times New Roman" w:hAnsi="Times New Roman"/>
          <w:sz w:val="28"/>
        </w:rPr>
        <w:t xml:space="preserve">W celu zapoznania się z właściwymi organami austriackimi skorzystamy z </w:t>
      </w:r>
      <w:r>
        <w:rPr>
          <w:rFonts w:ascii="Times New Roman" w:hAnsi="Times New Roman"/>
          <w:b/>
          <w:i/>
          <w:sz w:val="28"/>
        </w:rPr>
        <w:t>atlasu</w:t>
      </w:r>
      <w:r>
        <w:rPr>
          <w:rFonts w:ascii="Times New Roman" w:hAnsi="Times New Roman"/>
          <w:sz w:val="28"/>
        </w:rPr>
        <w:t xml:space="preserve"> dostępnego na stronie internetowej EJN – </w:t>
      </w:r>
      <w:hyperlink r:id="rId19" w:history="1">
        <w:r>
          <w:rPr>
            <w:rFonts w:ascii="Times New Roman" w:hAnsi="Times New Roman"/>
            <w:color w:val="0563C1"/>
            <w:sz w:val="28"/>
            <w:u w:val="single"/>
          </w:rPr>
          <w:t>www.ejn-crimjust.europa.eu</w:t>
        </w:r>
      </w:hyperlink>
      <w:r>
        <w:rPr>
          <w:rFonts w:ascii="Times New Roman" w:hAnsi="Times New Roman"/>
          <w:sz w:val="28"/>
        </w:rPr>
        <w:t xml:space="preserve">, wybierzemy Austrię jako kraj wykonujący nakaz i </w:t>
      </w:r>
      <w:r>
        <w:rPr>
          <w:rFonts w:ascii="Times New Roman" w:hAnsi="Times New Roman"/>
          <w:i/>
          <w:sz w:val="28"/>
        </w:rPr>
        <w:t>905. Wykonanie środka nadzoru (</w:t>
      </w:r>
      <w:r>
        <w:rPr>
          <w:rFonts w:ascii="Times New Roman" w:hAnsi="Times New Roman"/>
          <w:b/>
          <w:sz w:val="28"/>
          <w:u w:val="single"/>
        </w:rPr>
        <w:t>zob. załącznik 3</w:t>
      </w:r>
      <w:r>
        <w:rPr>
          <w:rFonts w:ascii="Times New Roman" w:hAnsi="Times New Roman"/>
          <w:i/>
          <w:sz w:val="28"/>
        </w:rPr>
        <w:t>).</w:t>
      </w:r>
    </w:p>
    <w:p w14:paraId="068CF299" w14:textId="77777777" w:rsidR="0006125A" w:rsidRDefault="0006125A">
      <w:pPr>
        <w:rPr>
          <w:rFonts w:ascii="Times New Roman" w:eastAsia="Calibri" w:hAnsi="Times New Roman" w:cs="Times New Roman"/>
          <w:sz w:val="28"/>
          <w:szCs w:val="28"/>
        </w:rPr>
      </w:pPr>
      <w:r>
        <w:br w:type="page"/>
      </w:r>
    </w:p>
    <w:p w14:paraId="3D9AB30C" w14:textId="14B889D8" w:rsidR="002C2AB1" w:rsidRPr="000A4609" w:rsidRDefault="002C2AB1" w:rsidP="009708DE">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lastRenderedPageBreak/>
        <w:t>Wynik powinien być następujący:</w:t>
      </w:r>
    </w:p>
    <w:tbl>
      <w:tblPr>
        <w:tblW w:w="9000" w:type="dxa"/>
        <w:tblInd w:w="85" w:type="dxa"/>
        <w:tblCellMar>
          <w:left w:w="10" w:type="dxa"/>
          <w:right w:w="10" w:type="dxa"/>
        </w:tblCellMar>
        <w:tblLook w:val="0000" w:firstRow="0" w:lastRow="0" w:firstColumn="0" w:lastColumn="0" w:noHBand="0" w:noVBand="0"/>
      </w:tblPr>
      <w:tblGrid>
        <w:gridCol w:w="9000"/>
      </w:tblGrid>
      <w:tr w:rsidR="002C2AB1" w:rsidRPr="000A4609" w14:paraId="51FB8AA9" w14:textId="77777777" w:rsidTr="007B45FE">
        <w:trPr>
          <w:trHeight w:val="2830"/>
        </w:trPr>
        <w:tc>
          <w:tcPr>
            <w:tcW w:w="900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5F08ACB" w14:textId="44893D96" w:rsidR="00B6613C" w:rsidRPr="002423B7" w:rsidRDefault="00E847ED" w:rsidP="00FF4AF3">
            <w:pPr>
              <w:suppressAutoHyphens/>
              <w:autoSpaceDN w:val="0"/>
              <w:spacing w:after="0" w:line="240" w:lineRule="auto"/>
              <w:jc w:val="both"/>
              <w:textAlignment w:val="baseline"/>
              <w:rPr>
                <w:rFonts w:ascii="Times New Roman" w:eastAsia="Calibri" w:hAnsi="Times New Roman" w:cs="Times New Roman"/>
                <w:sz w:val="28"/>
                <w:szCs w:val="28"/>
              </w:rPr>
            </w:pPr>
            <w:r>
              <w:rPr>
                <w:rFonts w:ascii="Times New Roman" w:hAnsi="Times New Roman"/>
                <w:b/>
                <w:color w:val="2F5496" w:themeColor="accent1" w:themeShade="BF"/>
                <w:sz w:val="28"/>
              </w:rPr>
              <w:t>Nazwa</w:t>
            </w:r>
            <w:r w:rsidR="00B6613C">
              <w:rPr>
                <w:rFonts w:ascii="Times New Roman" w:hAnsi="Times New Roman"/>
                <w:b/>
                <w:color w:val="2F5496" w:themeColor="accent1" w:themeShade="BF"/>
                <w:sz w:val="28"/>
              </w:rPr>
              <w:t>:</w:t>
            </w:r>
            <w:r w:rsidR="00B6613C">
              <w:rPr>
                <w:rFonts w:ascii="Times New Roman" w:hAnsi="Times New Roman"/>
                <w:color w:val="2F5496" w:themeColor="accent1" w:themeShade="BF"/>
                <w:sz w:val="28"/>
              </w:rPr>
              <w:t xml:space="preserve"> </w:t>
            </w:r>
            <w:r w:rsidR="00B6613C">
              <w:rPr>
                <w:rFonts w:ascii="Times New Roman" w:hAnsi="Times New Roman"/>
                <w:sz w:val="28"/>
              </w:rPr>
              <w:tab/>
            </w:r>
            <w:r w:rsidR="00B6613C">
              <w:rPr>
                <w:rFonts w:ascii="Times New Roman" w:hAnsi="Times New Roman"/>
                <w:sz w:val="28"/>
              </w:rPr>
              <w:tab/>
              <w:t xml:space="preserve">Staatsanwaltschaft Wien </w:t>
            </w:r>
          </w:p>
          <w:p w14:paraId="78094F88" w14:textId="1CE6783D" w:rsidR="00B6613C" w:rsidRPr="002423B7"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r>
              <w:rPr>
                <w:rFonts w:ascii="Times New Roman" w:hAnsi="Times New Roman"/>
                <w:b/>
                <w:color w:val="2F5496" w:themeColor="accent1" w:themeShade="BF"/>
                <w:sz w:val="28"/>
              </w:rPr>
              <w:t>Adres:</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Landesgerichtsstraße 11 </w:t>
            </w:r>
          </w:p>
          <w:p w14:paraId="183D00AE" w14:textId="77777777" w:rsidR="00B6613C" w:rsidRPr="00FF4AF3" w:rsidRDefault="00B6613C" w:rsidP="00FF4AF3">
            <w:pPr>
              <w:suppressAutoHyphens/>
              <w:autoSpaceDN w:val="0"/>
              <w:spacing w:after="0" w:line="240" w:lineRule="auto"/>
              <w:jc w:val="both"/>
              <w:textAlignment w:val="baseline"/>
              <w:rPr>
                <w:rFonts w:ascii="Times New Roman" w:eastAsia="Calibri" w:hAnsi="Times New Roman" w:cs="Times New Roman"/>
                <w:b/>
                <w:color w:val="2F5496" w:themeColor="accent1" w:themeShade="BF"/>
                <w:sz w:val="28"/>
                <w:szCs w:val="28"/>
              </w:rPr>
            </w:pPr>
            <w:r>
              <w:rPr>
                <w:rFonts w:ascii="Times New Roman" w:hAnsi="Times New Roman"/>
                <w:b/>
                <w:color w:val="2F5496" w:themeColor="accent1" w:themeShade="BF"/>
                <w:sz w:val="28"/>
              </w:rPr>
              <w:t xml:space="preserve">Departament (Wydział): </w:t>
            </w:r>
          </w:p>
          <w:p w14:paraId="774FD8D1" w14:textId="47AE9048" w:rsidR="00B6613C" w:rsidRPr="000A4609"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r>
              <w:rPr>
                <w:rFonts w:ascii="Times New Roman" w:hAnsi="Times New Roman"/>
                <w:b/>
                <w:color w:val="2F5496" w:themeColor="accent1" w:themeShade="BF"/>
                <w:sz w:val="28"/>
              </w:rPr>
              <w:t>Miasto:</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r>
            <w:r>
              <w:rPr>
                <w:rFonts w:ascii="Times New Roman" w:hAnsi="Times New Roman"/>
                <w:sz w:val="28"/>
              </w:rPr>
              <w:tab/>
            </w:r>
            <w:r w:rsidR="00B86907">
              <w:rPr>
                <w:rFonts w:ascii="Times New Roman" w:hAnsi="Times New Roman"/>
                <w:sz w:val="28"/>
              </w:rPr>
              <w:t>Wiedeń</w:t>
            </w:r>
            <w:r>
              <w:rPr>
                <w:rFonts w:ascii="Times New Roman" w:hAnsi="Times New Roman"/>
                <w:sz w:val="28"/>
              </w:rPr>
              <w:t xml:space="preserve"> </w:t>
            </w:r>
          </w:p>
          <w:p w14:paraId="5507969A" w14:textId="5CA2DD3C" w:rsidR="00B6613C" w:rsidRPr="00FF4AF3" w:rsidRDefault="00B6613C" w:rsidP="00FF4AF3">
            <w:pPr>
              <w:suppressAutoHyphens/>
              <w:autoSpaceDN w:val="0"/>
              <w:spacing w:after="0" w:line="240" w:lineRule="auto"/>
              <w:jc w:val="both"/>
              <w:textAlignment w:val="baseline"/>
              <w:rPr>
                <w:rFonts w:ascii="Times New Roman" w:eastAsia="Calibri" w:hAnsi="Times New Roman" w:cs="Times New Roman"/>
                <w:b/>
                <w:color w:val="2F5496" w:themeColor="accent1" w:themeShade="BF"/>
                <w:sz w:val="28"/>
                <w:szCs w:val="28"/>
              </w:rPr>
            </w:pPr>
            <w:r>
              <w:rPr>
                <w:rFonts w:ascii="Times New Roman" w:hAnsi="Times New Roman"/>
                <w:b/>
                <w:color w:val="2F5496" w:themeColor="accent1" w:themeShade="BF"/>
                <w:sz w:val="28"/>
              </w:rPr>
              <w:t xml:space="preserve">Kod pocztowy: </w:t>
            </w:r>
            <w:r>
              <w:rPr>
                <w:rFonts w:ascii="Times New Roman" w:hAnsi="Times New Roman"/>
                <w:b/>
                <w:color w:val="2F5496" w:themeColor="accent1" w:themeShade="BF"/>
                <w:sz w:val="28"/>
              </w:rPr>
              <w:tab/>
            </w:r>
            <w:r>
              <w:rPr>
                <w:rFonts w:ascii="Times New Roman" w:hAnsi="Times New Roman"/>
                <w:sz w:val="28"/>
              </w:rPr>
              <w:t xml:space="preserve">1082 </w:t>
            </w:r>
          </w:p>
          <w:p w14:paraId="1FEA9E85" w14:textId="7D628F89" w:rsidR="00B6613C" w:rsidRPr="000A4609"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r>
              <w:rPr>
                <w:rFonts w:ascii="Times New Roman" w:hAnsi="Times New Roman"/>
                <w:b/>
                <w:color w:val="2F5496" w:themeColor="accent1" w:themeShade="BF"/>
                <w:sz w:val="28"/>
              </w:rPr>
              <w:t>Numer telefonu:</w:t>
            </w:r>
            <w:r>
              <w:rPr>
                <w:rFonts w:ascii="Times New Roman" w:hAnsi="Times New Roman"/>
                <w:color w:val="2F5496" w:themeColor="accent1" w:themeShade="BF"/>
                <w:sz w:val="28"/>
              </w:rPr>
              <w:t xml:space="preserve"> </w:t>
            </w:r>
            <w:r>
              <w:rPr>
                <w:rFonts w:ascii="Times New Roman" w:hAnsi="Times New Roman"/>
                <w:sz w:val="28"/>
              </w:rPr>
              <w:tab/>
              <w:t xml:space="preserve">+43 1 40127 0 </w:t>
            </w:r>
          </w:p>
          <w:p w14:paraId="1F296E1C" w14:textId="5B3F2B65" w:rsidR="00B6613C" w:rsidRPr="007B45FE" w:rsidRDefault="00E847ED" w:rsidP="00FF4AF3">
            <w:pPr>
              <w:suppressAutoHyphens/>
              <w:autoSpaceDN w:val="0"/>
              <w:spacing w:after="0" w:line="240" w:lineRule="auto"/>
              <w:jc w:val="both"/>
              <w:textAlignment w:val="baseline"/>
              <w:rPr>
                <w:rFonts w:ascii="Times New Roman" w:eastAsia="Calibri" w:hAnsi="Times New Roman" w:cs="Times New Roman"/>
                <w:b/>
                <w:color w:val="2F5496" w:themeColor="accent1" w:themeShade="BF"/>
                <w:sz w:val="28"/>
                <w:szCs w:val="28"/>
              </w:rPr>
            </w:pPr>
            <w:r>
              <w:rPr>
                <w:rFonts w:ascii="Times New Roman" w:hAnsi="Times New Roman"/>
                <w:b/>
                <w:color w:val="2F5496" w:themeColor="accent1" w:themeShade="BF"/>
                <w:sz w:val="28"/>
              </w:rPr>
              <w:t xml:space="preserve">Telefon komórkowy: </w:t>
            </w:r>
          </w:p>
          <w:p w14:paraId="79F5184E" w14:textId="3A4F23A8" w:rsidR="00B6613C" w:rsidRPr="000A4609"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r>
              <w:rPr>
                <w:rFonts w:ascii="Times New Roman" w:hAnsi="Times New Roman"/>
                <w:b/>
                <w:color w:val="2F5496" w:themeColor="accent1" w:themeShade="BF"/>
                <w:sz w:val="28"/>
              </w:rPr>
              <w:t>Numer faksu:</w:t>
            </w:r>
            <w:r>
              <w:rPr>
                <w:rFonts w:ascii="Times New Roman" w:hAnsi="Times New Roman"/>
                <w:color w:val="2F5496" w:themeColor="accent1" w:themeShade="BF"/>
                <w:sz w:val="28"/>
              </w:rPr>
              <w:t xml:space="preserve"> </w:t>
            </w:r>
            <w:r>
              <w:rPr>
                <w:rFonts w:ascii="Times New Roman" w:hAnsi="Times New Roman"/>
                <w:sz w:val="28"/>
              </w:rPr>
              <w:tab/>
              <w:t xml:space="preserve">+43 1 40127 306950 </w:t>
            </w:r>
          </w:p>
          <w:p w14:paraId="2512816A" w14:textId="18364833" w:rsidR="00481CDE" w:rsidRPr="007B45FE" w:rsidRDefault="00B6613C" w:rsidP="00FF4AF3">
            <w:pPr>
              <w:suppressAutoHyphens/>
              <w:autoSpaceDN w:val="0"/>
              <w:spacing w:after="0" w:line="240" w:lineRule="auto"/>
              <w:jc w:val="both"/>
              <w:textAlignment w:val="baseline"/>
              <w:rPr>
                <w:rFonts w:ascii="Times New Roman" w:eastAsia="Calibri" w:hAnsi="Times New Roman" w:cs="Times New Roman"/>
                <w:b/>
                <w:sz w:val="28"/>
                <w:szCs w:val="28"/>
              </w:rPr>
            </w:pPr>
            <w:r>
              <w:rPr>
                <w:rFonts w:ascii="Times New Roman" w:hAnsi="Times New Roman"/>
                <w:b/>
                <w:color w:val="2F5496" w:themeColor="accent1" w:themeShade="BF"/>
                <w:sz w:val="28"/>
              </w:rPr>
              <w:t>Adres e-mail:</w:t>
            </w:r>
          </w:p>
        </w:tc>
      </w:tr>
    </w:tbl>
    <w:p w14:paraId="4FD107E3" w14:textId="02DFD8B0" w:rsidR="006D0E69" w:rsidRDefault="002C2AB1" w:rsidP="0006125A">
      <w:pPr>
        <w:suppressAutoHyphens/>
        <w:autoSpaceDN w:val="0"/>
        <w:spacing w:before="160" w:line="240" w:lineRule="auto"/>
        <w:jc w:val="both"/>
        <w:textAlignment w:val="baseline"/>
        <w:rPr>
          <w:rFonts w:ascii="Times New Roman" w:eastAsia="Calibri" w:hAnsi="Times New Roman" w:cs="Times New Roman"/>
          <w:sz w:val="28"/>
          <w:szCs w:val="28"/>
        </w:rPr>
      </w:pPr>
      <w:r>
        <w:rPr>
          <w:rFonts w:ascii="Times New Roman" w:hAnsi="Times New Roman"/>
          <w:sz w:val="28"/>
        </w:rPr>
        <w:t xml:space="preserve">A link do </w:t>
      </w:r>
      <w:hyperlink r:id="rId20" w:history="1">
        <w:r>
          <w:rPr>
            <w:rStyle w:val="Hipercze"/>
            <w:rFonts w:ascii="Times New Roman" w:hAnsi="Times New Roman"/>
            <w:sz w:val="28"/>
          </w:rPr>
          <w:t>wyników znajduje się tutaj</w:t>
        </w:r>
      </w:hyperlink>
      <w:r>
        <w:rPr>
          <w:rFonts w:ascii="Times New Roman" w:hAnsi="Times New Roman"/>
          <w:sz w:val="28"/>
        </w:rPr>
        <w:t>.</w:t>
      </w:r>
    </w:p>
    <w:p w14:paraId="60889753" w14:textId="77777777" w:rsidR="0006125A" w:rsidRPr="0006125A" w:rsidRDefault="0006125A" w:rsidP="0006125A">
      <w:pPr>
        <w:suppressAutoHyphens/>
        <w:autoSpaceDN w:val="0"/>
        <w:spacing w:line="240" w:lineRule="auto"/>
        <w:jc w:val="both"/>
        <w:textAlignment w:val="baseline"/>
        <w:rPr>
          <w:rFonts w:ascii="Times New Roman" w:eastAsia="Calibri" w:hAnsi="Times New Roman" w:cs="Times New Roman"/>
          <w:sz w:val="28"/>
          <w:szCs w:val="28"/>
          <w:lang w:val="en-US"/>
        </w:rPr>
      </w:pPr>
    </w:p>
    <w:p w14:paraId="395FACD1" w14:textId="25C5D89C" w:rsidR="003838F4" w:rsidRPr="009708DE" w:rsidRDefault="00C116DD" w:rsidP="009708DE">
      <w:pPr>
        <w:rPr>
          <w:rFonts w:ascii="Times New Roman" w:hAnsi="Times New Roman" w:cs="Times New Roman"/>
          <w:i/>
          <w:iCs/>
          <w:sz w:val="28"/>
          <w:szCs w:val="28"/>
        </w:rPr>
      </w:pPr>
      <w:r>
        <w:rPr>
          <w:rFonts w:ascii="Times New Roman" w:hAnsi="Times New Roman"/>
          <w:b/>
          <w:i/>
          <w:color w:val="2F5496" w:themeColor="accent1" w:themeShade="BF"/>
          <w:sz w:val="28"/>
        </w:rPr>
        <w:t>P</w:t>
      </w:r>
      <w:r w:rsidR="00210A69">
        <w:rPr>
          <w:rFonts w:ascii="Times New Roman" w:hAnsi="Times New Roman"/>
          <w:b/>
          <w:i/>
          <w:color w:val="2F5496" w:themeColor="accent1" w:themeShade="BF"/>
          <w:sz w:val="28"/>
        </w:rPr>
        <w:t>5:</w:t>
      </w:r>
      <w:r w:rsidR="00210A69">
        <w:rPr>
          <w:rFonts w:ascii="Times New Roman" w:hAnsi="Times New Roman"/>
          <w:color w:val="2F5496" w:themeColor="accent1" w:themeShade="BF"/>
          <w:sz w:val="28"/>
        </w:rPr>
        <w:t xml:space="preserve"> Jak w tym przypadku postąpi właściwy organ wydający nakaz i właściwy organ wykonujący nakaz?</w:t>
      </w:r>
    </w:p>
    <w:p w14:paraId="7CFFAC15" w14:textId="47C8E3B9" w:rsidR="003838F4" w:rsidRPr="00FF4AF3" w:rsidRDefault="003838F4" w:rsidP="00FF4AF3">
      <w:pPr>
        <w:pStyle w:val="Akapitzlist"/>
        <w:numPr>
          <w:ilvl w:val="0"/>
          <w:numId w:val="7"/>
        </w:numPr>
        <w:suppressAutoHyphens/>
        <w:autoSpaceDN w:val="0"/>
        <w:spacing w:line="240" w:lineRule="auto"/>
        <w:contextualSpacing w:val="0"/>
        <w:jc w:val="both"/>
        <w:textAlignment w:val="baseline"/>
        <w:rPr>
          <w:rFonts w:ascii="Times New Roman" w:hAnsi="Times New Roman" w:cs="Times New Roman"/>
          <w:b/>
          <w:bCs/>
          <w:sz w:val="28"/>
          <w:szCs w:val="28"/>
        </w:rPr>
      </w:pPr>
      <w:r>
        <w:rPr>
          <w:rFonts w:ascii="Times New Roman" w:hAnsi="Times New Roman"/>
          <w:b/>
          <w:sz w:val="28"/>
        </w:rPr>
        <w:t>Właściwy organ wydający nakaz:</w:t>
      </w:r>
    </w:p>
    <w:p w14:paraId="69053B8D" w14:textId="678806F6" w:rsidR="00AB3782" w:rsidRPr="000A4609" w:rsidRDefault="003838F4" w:rsidP="000A4609">
      <w:pPr>
        <w:pStyle w:val="Akapitzlist"/>
        <w:numPr>
          <w:ilvl w:val="0"/>
          <w:numId w:val="6"/>
        </w:numPr>
        <w:suppressAutoHyphens/>
        <w:autoSpaceDN w:val="0"/>
        <w:spacing w:line="240" w:lineRule="auto"/>
        <w:ind w:left="709" w:hanging="425"/>
        <w:contextualSpacing w:val="0"/>
        <w:jc w:val="both"/>
        <w:textAlignment w:val="baseline"/>
        <w:rPr>
          <w:rFonts w:ascii="Times New Roman" w:hAnsi="Times New Roman" w:cs="Times New Roman"/>
          <w:i/>
          <w:iCs/>
          <w:sz w:val="28"/>
          <w:szCs w:val="28"/>
        </w:rPr>
      </w:pPr>
      <w:r>
        <w:rPr>
          <w:rFonts w:ascii="Times New Roman" w:hAnsi="Times New Roman"/>
          <w:i/>
          <w:sz w:val="28"/>
        </w:rPr>
        <w:t>Jeżeli jest to możliwe, przed podjęciem decyzji o przekazaniu decyzji w sprawie środka nadzoru należy przeprowadzić wcześniejsze konsultacje z właściwym organem państwa członkowskiego wykonującego nakaz zgodnie z art. 22 decyzji ramowej Rady i zebrać od organu wykonującego nakaz cenne informacje</w:t>
      </w:r>
      <w:r>
        <w:rPr>
          <w:rFonts w:ascii="Times New Roman" w:hAnsi="Times New Roman"/>
          <w:i/>
        </w:rPr>
        <w:t xml:space="preserve"> </w:t>
      </w:r>
      <w:r>
        <w:rPr>
          <w:rFonts w:ascii="Times New Roman" w:hAnsi="Times New Roman"/>
          <w:i/>
          <w:sz w:val="28"/>
        </w:rPr>
        <w:t>dotyczące możliwości objęcia nadzorem podejrzanej osoby.</w:t>
      </w:r>
    </w:p>
    <w:p w14:paraId="5BE71320" w14:textId="4EEA83C5" w:rsidR="00AB3782" w:rsidRPr="000A4609" w:rsidRDefault="004153F9" w:rsidP="000A4609">
      <w:pPr>
        <w:pStyle w:val="Akapitzlist"/>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Pr>
          <w:rFonts w:ascii="Times New Roman" w:hAnsi="Times New Roman"/>
          <w:i/>
          <w:sz w:val="28"/>
        </w:rPr>
        <w:t>Uzyskanie zgody podejrzanego zgodnie z art. 9 decyzji ramowej Rady w przypadku przekazania decyzji w sprawie środków nadzoru państwu członkowskiemu, w którym podejrzany ma legalne miejsce pobytu.</w:t>
      </w:r>
    </w:p>
    <w:p w14:paraId="6BD2F9CC" w14:textId="08810468" w:rsidR="00AB3782" w:rsidRPr="000A4609" w:rsidRDefault="00F9490A" w:rsidP="000A4609">
      <w:pPr>
        <w:pStyle w:val="Akapitzlist"/>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Pr>
          <w:rFonts w:ascii="Times New Roman" w:hAnsi="Times New Roman"/>
          <w:i/>
          <w:sz w:val="28"/>
        </w:rPr>
        <w:t>Sprawdzenie, czy podejrzany ma legalne i zwykłe miejsce pobytu zgodnie z art. 9 ust. 1 lub przypadki, w których państwo członkowskie wykonujące nakaz, inne niż państwo, w którym podejrzany ma legalne i zwykłe miejsce pobytu, wyraża zgodę na takie przekazanie (art. 9 ust. 2-4 decyzji ramowej Rady).</w:t>
      </w:r>
    </w:p>
    <w:p w14:paraId="24397BFD" w14:textId="0879E62E" w:rsidR="00AB3782" w:rsidRPr="000A4609" w:rsidRDefault="001C27A4" w:rsidP="000A4609">
      <w:pPr>
        <w:pStyle w:val="Akapitzlist"/>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Pr>
          <w:rFonts w:ascii="Times New Roman" w:hAnsi="Times New Roman"/>
          <w:i/>
          <w:sz w:val="28"/>
        </w:rPr>
        <w:t>Należy wskazać właściwy organ z państwa członkowskiego wykonującego nakaz, do którego należy przesłać zaświadczenie i decyzję w sprawie środków nadzoru (art. 10 ust. 6 decyzji ramowej Rady).</w:t>
      </w:r>
    </w:p>
    <w:p w14:paraId="2D57BBC6" w14:textId="6262FAD6" w:rsidR="00AB3782" w:rsidRPr="000A4609" w:rsidRDefault="00F9490A" w:rsidP="000A4609">
      <w:pPr>
        <w:pStyle w:val="Akapitzlist"/>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Pr>
          <w:rFonts w:ascii="Times New Roman" w:hAnsi="Times New Roman"/>
          <w:i/>
          <w:sz w:val="28"/>
        </w:rPr>
        <w:t>Wypełnić zaświadczenie przewidziane w załączniku I do decyzji ramowej Rady i przesłać je bezpośrednio do właściwego organu państwa członkowskiego wykonującego nakaz wraz z decyzją w sprawie środka nadzoru (która musi być wykonalna zgodnie z prawem krajowym państwa członkowskiego wydającego nakaz – zob. art. 4 lit. a) decyzji ramowej Rady).</w:t>
      </w:r>
    </w:p>
    <w:p w14:paraId="28072CED" w14:textId="0823EF69" w:rsidR="003838F4" w:rsidRPr="009708DE" w:rsidRDefault="002B2BFA" w:rsidP="000A4609">
      <w:pPr>
        <w:pStyle w:val="Akapitzlist"/>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Pr>
          <w:rFonts w:ascii="Times New Roman" w:hAnsi="Times New Roman"/>
          <w:i/>
          <w:sz w:val="28"/>
        </w:rPr>
        <w:lastRenderedPageBreak/>
        <w:t>Dalsze monitorowanie środków nadzoru do czasu otrzymania od organów państwa członkowskiego wykonującego nakaz informacji o decyzji o uznaniu decyzji w sprawie środków nadzoru (art. 11 ust. 1 decyzji ramowej Rady)</w:t>
      </w:r>
    </w:p>
    <w:p w14:paraId="34CBE197" w14:textId="29E7BFCB" w:rsidR="00D13BDB" w:rsidRPr="007B45FE" w:rsidRDefault="002B2BFA" w:rsidP="000A4609">
      <w:pPr>
        <w:pStyle w:val="Akapitzlist"/>
        <w:numPr>
          <w:ilvl w:val="0"/>
          <w:numId w:val="7"/>
        </w:numPr>
        <w:suppressAutoHyphens/>
        <w:autoSpaceDN w:val="0"/>
        <w:spacing w:line="240" w:lineRule="auto"/>
        <w:contextualSpacing w:val="0"/>
        <w:jc w:val="both"/>
        <w:textAlignment w:val="baseline"/>
        <w:rPr>
          <w:rFonts w:ascii="Times New Roman" w:hAnsi="Times New Roman" w:cs="Times New Roman"/>
          <w:b/>
          <w:bCs/>
          <w:sz w:val="28"/>
          <w:szCs w:val="28"/>
        </w:rPr>
      </w:pPr>
      <w:r>
        <w:rPr>
          <w:rFonts w:ascii="Times New Roman" w:hAnsi="Times New Roman"/>
          <w:b/>
          <w:sz w:val="28"/>
        </w:rPr>
        <w:t>Właściwy organ wykonawczy:</w:t>
      </w:r>
    </w:p>
    <w:p w14:paraId="701BB97A" w14:textId="7AD7A445" w:rsidR="009C640B" w:rsidRPr="000A4609" w:rsidRDefault="00D13BDB" w:rsidP="000A4609">
      <w:pPr>
        <w:pStyle w:val="Akapitzlist"/>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Pr>
          <w:rFonts w:ascii="Times New Roman" w:hAnsi="Times New Roman"/>
          <w:i/>
          <w:sz w:val="28"/>
        </w:rPr>
        <w:t>Po otrzymaniu decyzji w sprawie środków nadzoru organ wykonujący, który nie jest uprawniony do uznania tej decyzji, przekazuje ją wraz z zaświadczeniem właściwemu organowi i informuje właściwy organ w państwie wydającym nakaz, któremu organowi przekazał tę decyzję.</w:t>
      </w:r>
    </w:p>
    <w:p w14:paraId="4531314A" w14:textId="33433F54" w:rsidR="00475482" w:rsidRPr="000A4609" w:rsidRDefault="00AB3782" w:rsidP="000A4609">
      <w:pPr>
        <w:pStyle w:val="Akapitzlist"/>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Pr>
          <w:rFonts w:ascii="Times New Roman" w:hAnsi="Times New Roman"/>
          <w:i/>
          <w:sz w:val="28"/>
        </w:rPr>
        <w:t>Podjęcie decyzji w ciągu 20 dni roboczych od otrzymania decyzji w sprawie środków nadzoru (termin ten może zostać przedłużony o kolejne 20 dni roboczych, jeżeli od decyzji w sprawie uznania wniesiono środek odwoławczy).</w:t>
      </w:r>
    </w:p>
    <w:p w14:paraId="228C7852" w14:textId="19F7BDD8" w:rsidR="000F2378" w:rsidRPr="000A4609" w:rsidRDefault="00475482" w:rsidP="000A4609">
      <w:pPr>
        <w:pStyle w:val="Akapitzlist"/>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Pr>
          <w:rFonts w:ascii="Times New Roman" w:hAnsi="Times New Roman"/>
          <w:i/>
          <w:sz w:val="28"/>
        </w:rPr>
        <w:t>Jeżeli, w wyjątkowych okolicznościach, nie jest możliwe dotrzymanie terminów, niezwłocznie informuje o tym właściwy organ w państwie wydającym nakaz, w dowolny sposób, podając przyczyny opóźnienia i wskazując, jak długo spodziewa się czekać na wydanie ostatecznej decyzji.</w:t>
      </w:r>
    </w:p>
    <w:p w14:paraId="0DEB6894" w14:textId="74BCC62F" w:rsidR="006E2221" w:rsidRPr="000A4609" w:rsidRDefault="000F2378" w:rsidP="000A4609">
      <w:pPr>
        <w:pStyle w:val="Akapitzlist"/>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Pr>
          <w:rFonts w:ascii="Times New Roman" w:hAnsi="Times New Roman"/>
          <w:i/>
          <w:sz w:val="28"/>
        </w:rPr>
        <w:t>Odracza decyzję o uznaniu decyzji w sprawie środków nadzoru, jeżeli otrzymane zaświadczenie jest niekompletne lub w sposób oczywisty nie odpowiada decyzji w sprawie środków nadzoru, do upływu rozsądnego terminu wyznaczonego na uzupełnienie lub poprawienie zaświadczenia.</w:t>
      </w:r>
    </w:p>
    <w:p w14:paraId="0B415CB2" w14:textId="6159439B" w:rsidR="009708DE" w:rsidRDefault="006E2221" w:rsidP="0006125A">
      <w:pPr>
        <w:pStyle w:val="Akapitzlist"/>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Pr>
          <w:rFonts w:ascii="Times New Roman" w:hAnsi="Times New Roman"/>
          <w:i/>
          <w:sz w:val="28"/>
        </w:rPr>
        <w:t>Informuje właściwy organ w państwie wydającym nakaz o ostatecznej decyzji o uznaniu decyzji w sprawie środków nadzoru i podejmuje wszelkie niezbędne środki w celu monitorowania środków nadzoru</w:t>
      </w:r>
    </w:p>
    <w:p w14:paraId="388389F2" w14:textId="77777777" w:rsidR="0006125A" w:rsidRPr="0006125A" w:rsidRDefault="0006125A" w:rsidP="0006125A">
      <w:pPr>
        <w:suppressAutoHyphens/>
        <w:autoSpaceDN w:val="0"/>
        <w:spacing w:line="240" w:lineRule="auto"/>
        <w:jc w:val="both"/>
        <w:textAlignment w:val="baseline"/>
        <w:rPr>
          <w:rFonts w:ascii="Times New Roman" w:hAnsi="Times New Roman" w:cs="Times New Roman"/>
          <w:i/>
          <w:iCs/>
          <w:sz w:val="28"/>
          <w:szCs w:val="28"/>
          <w:lang w:val="en-US"/>
        </w:rPr>
      </w:pPr>
    </w:p>
    <w:p w14:paraId="1B466E22" w14:textId="4C8D683B" w:rsidR="00600CBA" w:rsidRPr="007B45FE" w:rsidRDefault="00B86907" w:rsidP="000A4609">
      <w:pPr>
        <w:suppressAutoHyphens/>
        <w:autoSpaceDN w:val="0"/>
        <w:spacing w:line="240" w:lineRule="auto"/>
        <w:jc w:val="both"/>
        <w:textAlignment w:val="baseline"/>
        <w:rPr>
          <w:rFonts w:ascii="Times New Roman" w:hAnsi="Times New Roman" w:cs="Times New Roman"/>
          <w:color w:val="2F5496" w:themeColor="accent1" w:themeShade="BF"/>
          <w:sz w:val="28"/>
          <w:szCs w:val="28"/>
        </w:rPr>
      </w:pPr>
      <w:r>
        <w:rPr>
          <w:rFonts w:ascii="Times New Roman" w:hAnsi="Times New Roman"/>
          <w:b/>
          <w:i/>
          <w:color w:val="2F5496" w:themeColor="accent1" w:themeShade="BF"/>
          <w:sz w:val="28"/>
        </w:rPr>
        <w:t>P</w:t>
      </w:r>
      <w:r w:rsidR="00210A69">
        <w:rPr>
          <w:rFonts w:ascii="Times New Roman" w:hAnsi="Times New Roman"/>
          <w:b/>
          <w:i/>
          <w:color w:val="2F5496" w:themeColor="accent1" w:themeShade="BF"/>
          <w:sz w:val="28"/>
        </w:rPr>
        <w:t>6:</w:t>
      </w:r>
      <w:r w:rsidR="00210A69">
        <w:rPr>
          <w:rFonts w:ascii="Times New Roman" w:hAnsi="Times New Roman"/>
          <w:color w:val="2F5496" w:themeColor="accent1" w:themeShade="BF"/>
          <w:sz w:val="28"/>
        </w:rPr>
        <w:t xml:space="preserve"> Jakie wyzwania mogą stać przed właściwymi organami wydającymi nakaz i wykonującymi nakaz oraz jak im sprostać?</w:t>
      </w:r>
    </w:p>
    <w:p w14:paraId="6F64AC8B" w14:textId="66D71CF0" w:rsidR="00181C74" w:rsidRDefault="00E416FC" w:rsidP="00181C74">
      <w:pPr>
        <w:pStyle w:val="Akapitzlist"/>
        <w:numPr>
          <w:ilvl w:val="0"/>
          <w:numId w:val="13"/>
        </w:numPr>
        <w:suppressAutoHyphens/>
        <w:autoSpaceDN w:val="0"/>
        <w:spacing w:line="240" w:lineRule="auto"/>
        <w:ind w:left="0" w:firstLine="0"/>
        <w:contextualSpacing w:val="0"/>
        <w:jc w:val="both"/>
        <w:textAlignment w:val="baseline"/>
        <w:rPr>
          <w:rFonts w:ascii="Times New Roman" w:hAnsi="Times New Roman" w:cs="Times New Roman"/>
          <w:b/>
          <w:bCs/>
          <w:color w:val="2F5496" w:themeColor="accent1" w:themeShade="BF"/>
          <w:sz w:val="32"/>
          <w:szCs w:val="28"/>
          <w:u w:val="single"/>
        </w:rPr>
      </w:pPr>
      <w:r>
        <w:rPr>
          <w:rFonts w:ascii="Times New Roman" w:hAnsi="Times New Roman"/>
          <w:b/>
          <w:color w:val="2F5496" w:themeColor="accent1" w:themeShade="BF"/>
          <w:sz w:val="32"/>
          <w:u w:val="single"/>
        </w:rPr>
        <w:t>Właściwy organ wydający nakaz</w:t>
      </w:r>
    </w:p>
    <w:p w14:paraId="657E2317" w14:textId="77777777" w:rsidR="00181C74" w:rsidRPr="00181C74" w:rsidRDefault="00181C74" w:rsidP="00181C74">
      <w:pPr>
        <w:pStyle w:val="Akapitzlist"/>
        <w:suppressAutoHyphens/>
        <w:autoSpaceDN w:val="0"/>
        <w:spacing w:line="240" w:lineRule="auto"/>
        <w:ind w:left="0"/>
        <w:contextualSpacing w:val="0"/>
        <w:jc w:val="both"/>
        <w:textAlignment w:val="baseline"/>
        <w:rPr>
          <w:rFonts w:ascii="Times New Roman" w:hAnsi="Times New Roman" w:cs="Times New Roman"/>
          <w:b/>
          <w:bCs/>
          <w:color w:val="2F5496" w:themeColor="accent1" w:themeShade="BF"/>
          <w:sz w:val="28"/>
          <w:szCs w:val="28"/>
          <w:u w:val="single"/>
          <w:lang w:val="en-US"/>
        </w:rPr>
      </w:pPr>
    </w:p>
    <w:p w14:paraId="6EB40FD2" w14:textId="505FAE17" w:rsidR="009224D4" w:rsidRPr="000A4609" w:rsidRDefault="009224D4" w:rsidP="000A4609">
      <w:pPr>
        <w:pStyle w:val="Akapitzlist"/>
        <w:numPr>
          <w:ilvl w:val="0"/>
          <w:numId w:val="3"/>
        </w:numPr>
        <w:suppressAutoHyphens/>
        <w:autoSpaceDN w:val="0"/>
        <w:spacing w:line="240" w:lineRule="auto"/>
        <w:ind w:left="714" w:hanging="357"/>
        <w:contextualSpacing w:val="0"/>
        <w:jc w:val="both"/>
        <w:textAlignment w:val="baseline"/>
        <w:rPr>
          <w:rFonts w:ascii="Times New Roman" w:hAnsi="Times New Roman" w:cs="Times New Roman"/>
        </w:rPr>
      </w:pPr>
      <w:r>
        <w:rPr>
          <w:rFonts w:ascii="Times New Roman" w:hAnsi="Times New Roman"/>
          <w:b/>
          <w:i/>
          <w:sz w:val="28"/>
        </w:rPr>
        <w:t>Nie zna decyzji ramowej Rady 2009/829</w:t>
      </w:r>
    </w:p>
    <w:p w14:paraId="08341369" w14:textId="6381F1A6" w:rsidR="009224D4" w:rsidRPr="007B45FE" w:rsidRDefault="009224D4" w:rsidP="000A4609">
      <w:pPr>
        <w:jc w:val="both"/>
        <w:rPr>
          <w:rFonts w:ascii="Times New Roman" w:hAnsi="Times New Roman" w:cs="Times New Roman"/>
        </w:rPr>
      </w:pPr>
      <w:r>
        <w:rPr>
          <w:rFonts w:ascii="Times New Roman" w:hAnsi="Times New Roman"/>
          <w:sz w:val="28"/>
        </w:rPr>
        <w:t xml:space="preserve">Mimo że decyzja ramowa Rady 2009/829 obowiązuje od dnia 1 grudnia 2012 r., ten instrument prawny nadal nie jest zbyt często wykorzystywany na szczeblu europejskim (w większości przypadków jest on stosowany wyłącznie na szczeblu regionalnym lub między państwami członkowskimi, które mają tradycję współpracy w zakresie procedur nadzoru). Jedną z przyczyn takiego </w:t>
      </w:r>
      <w:r>
        <w:rPr>
          <w:rFonts w:ascii="Times New Roman" w:hAnsi="Times New Roman"/>
          <w:sz w:val="28"/>
        </w:rPr>
        <w:lastRenderedPageBreak/>
        <w:t xml:space="preserve">stanu rzeczy jest </w:t>
      </w:r>
      <w:r>
        <w:rPr>
          <w:rFonts w:ascii="Times New Roman" w:hAnsi="Times New Roman"/>
          <w:i/>
          <w:sz w:val="28"/>
        </w:rPr>
        <w:t>brak świadomości</w:t>
      </w:r>
      <w:r>
        <w:rPr>
          <w:rFonts w:ascii="Times New Roman" w:hAnsi="Times New Roman"/>
          <w:sz w:val="28"/>
        </w:rPr>
        <w:t xml:space="preserve"> wśród właściwych organów, przedstawicieli zawodów prawniczych i osób podejrzanych. </w:t>
      </w:r>
    </w:p>
    <w:tbl>
      <w:tblPr>
        <w:tblW w:w="9108" w:type="dxa"/>
        <w:tblInd w:w="-29" w:type="dxa"/>
        <w:tblCellMar>
          <w:left w:w="10" w:type="dxa"/>
          <w:right w:w="10" w:type="dxa"/>
        </w:tblCellMar>
        <w:tblLook w:val="0000" w:firstRow="0" w:lastRow="0" w:firstColumn="0" w:lastColumn="0" w:noHBand="0" w:noVBand="0"/>
      </w:tblPr>
      <w:tblGrid>
        <w:gridCol w:w="9108"/>
      </w:tblGrid>
      <w:tr w:rsidR="009224D4" w:rsidRPr="000A4609" w14:paraId="16F2A846" w14:textId="77777777" w:rsidTr="007B45FE">
        <w:trPr>
          <w:trHeight w:val="949"/>
        </w:trPr>
        <w:tc>
          <w:tcPr>
            <w:tcW w:w="910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5CFF3CD" w14:textId="4795B87D" w:rsidR="009224D4" w:rsidRPr="000A4609" w:rsidRDefault="00D905DF" w:rsidP="000A4609">
            <w:pPr>
              <w:pStyle w:val="Akapitzlist"/>
              <w:numPr>
                <w:ilvl w:val="0"/>
                <w:numId w:val="11"/>
              </w:numPr>
              <w:contextualSpacing w:val="0"/>
              <w:jc w:val="both"/>
              <w:rPr>
                <w:rFonts w:ascii="Times New Roman" w:hAnsi="Times New Roman" w:cs="Times New Roman"/>
                <w:sz w:val="28"/>
                <w:szCs w:val="28"/>
              </w:rPr>
            </w:pPr>
            <w:r>
              <w:rPr>
                <w:rFonts w:ascii="Times New Roman" w:hAnsi="Times New Roman"/>
                <w:sz w:val="28"/>
              </w:rPr>
              <w:t>Podnoszenie świadomości na temat instrumentu prawnego wśród właściwych organów, zarówno jako organów wydających nakaz, jak i wykonujących.</w:t>
            </w:r>
          </w:p>
          <w:p w14:paraId="3B787378" w14:textId="5B614249" w:rsidR="00D905DF" w:rsidRPr="000A4609" w:rsidRDefault="002B5881" w:rsidP="000A4609">
            <w:pPr>
              <w:pStyle w:val="Akapitzlist"/>
              <w:numPr>
                <w:ilvl w:val="0"/>
                <w:numId w:val="11"/>
              </w:numPr>
              <w:contextualSpacing w:val="0"/>
              <w:jc w:val="both"/>
              <w:rPr>
                <w:rFonts w:ascii="Times New Roman" w:hAnsi="Times New Roman" w:cs="Times New Roman"/>
              </w:rPr>
            </w:pPr>
            <w:r>
              <w:rPr>
                <w:rFonts w:ascii="Times New Roman" w:hAnsi="Times New Roman"/>
                <w:sz w:val="28"/>
              </w:rPr>
              <w:t>Udostępnianie informacji dla podejrzanych i prawników (np. strony internetowe, szkolenia).</w:t>
            </w:r>
          </w:p>
        </w:tc>
      </w:tr>
    </w:tbl>
    <w:p w14:paraId="7FB781E0" w14:textId="35A51C27" w:rsidR="009224D4" w:rsidRPr="000A4609" w:rsidRDefault="009224D4" w:rsidP="000A4609">
      <w:pPr>
        <w:pStyle w:val="Akapitzlist"/>
        <w:numPr>
          <w:ilvl w:val="0"/>
          <w:numId w:val="9"/>
        </w:numPr>
        <w:suppressAutoHyphens/>
        <w:autoSpaceDN w:val="0"/>
        <w:spacing w:line="240" w:lineRule="auto"/>
        <w:ind w:left="714" w:hanging="357"/>
        <w:contextualSpacing w:val="0"/>
        <w:jc w:val="both"/>
        <w:textAlignment w:val="baseline"/>
        <w:rPr>
          <w:rFonts w:ascii="Times New Roman" w:hAnsi="Times New Roman" w:cs="Times New Roman"/>
          <w:b/>
          <w:bCs/>
          <w:i/>
          <w:iCs/>
          <w:sz w:val="28"/>
          <w:szCs w:val="28"/>
        </w:rPr>
      </w:pPr>
      <w:r>
        <w:rPr>
          <w:rFonts w:ascii="Times New Roman" w:hAnsi="Times New Roman"/>
          <w:b/>
          <w:i/>
          <w:sz w:val="28"/>
        </w:rPr>
        <w:t>Nieznajomość innego systemu sądownictwa</w:t>
      </w:r>
    </w:p>
    <w:p w14:paraId="3DFE7A7E" w14:textId="4333308A" w:rsidR="009224D4" w:rsidRPr="000A4609" w:rsidRDefault="009224D4" w:rsidP="000A4609">
      <w:pPr>
        <w:jc w:val="both"/>
        <w:rPr>
          <w:rFonts w:ascii="Times New Roman" w:hAnsi="Times New Roman" w:cs="Times New Roman"/>
          <w:sz w:val="28"/>
          <w:szCs w:val="28"/>
        </w:rPr>
      </w:pPr>
      <w:r>
        <w:rPr>
          <w:rFonts w:ascii="Times New Roman" w:hAnsi="Times New Roman"/>
          <w:sz w:val="28"/>
        </w:rPr>
        <w:t>Właściwe organy sądowe z państwa członkowskiego wydającego nakaz zazwyczaj niechętnie zwracają się o przekazanie decyzji w sprawie środków nadzoru. Brak znajomości innego systemu sądownictwa jest jednym z wyzwań dla organu państwa członkowskiego wydającego nakaz.</w:t>
      </w:r>
    </w:p>
    <w:p w14:paraId="3C6A276F" w14:textId="07844457" w:rsidR="009224D4" w:rsidRPr="000A4609" w:rsidRDefault="009224D4" w:rsidP="000A4609">
      <w:pPr>
        <w:jc w:val="both"/>
        <w:rPr>
          <w:rFonts w:ascii="Times New Roman" w:hAnsi="Times New Roman" w:cs="Times New Roman"/>
          <w:sz w:val="28"/>
          <w:szCs w:val="28"/>
        </w:rPr>
      </w:pPr>
      <w:r>
        <w:rPr>
          <w:rFonts w:ascii="Times New Roman" w:hAnsi="Times New Roman"/>
          <w:sz w:val="28"/>
        </w:rPr>
        <w:t xml:space="preserve">W przypadku wątpliwości co do innego systemu sądowego, właściwy organ wydający nakaz ma wiele źródeł informacji. </w:t>
      </w:r>
    </w:p>
    <w:tbl>
      <w:tblPr>
        <w:tblW w:w="9036" w:type="dxa"/>
        <w:tblInd w:w="7" w:type="dxa"/>
        <w:tblCellMar>
          <w:left w:w="10" w:type="dxa"/>
          <w:right w:w="10" w:type="dxa"/>
        </w:tblCellMar>
        <w:tblLook w:val="0000" w:firstRow="0" w:lastRow="0" w:firstColumn="0" w:lastColumn="0" w:noHBand="0" w:noVBand="0"/>
      </w:tblPr>
      <w:tblGrid>
        <w:gridCol w:w="9036"/>
      </w:tblGrid>
      <w:tr w:rsidR="009224D4" w:rsidRPr="000A4609" w14:paraId="5917F312" w14:textId="77777777" w:rsidTr="003E17A1">
        <w:trPr>
          <w:trHeight w:val="1051"/>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C7A40E2" w14:textId="776A8951" w:rsidR="001640EF" w:rsidRPr="003E17A1" w:rsidRDefault="00E847ED" w:rsidP="003E17A1">
            <w:pPr>
              <w:pStyle w:val="Akapitzlist"/>
              <w:numPr>
                <w:ilvl w:val="0"/>
                <w:numId w:val="12"/>
              </w:numPr>
              <w:contextualSpacing w:val="0"/>
              <w:jc w:val="both"/>
              <w:rPr>
                <w:rFonts w:ascii="Times New Roman" w:hAnsi="Times New Roman" w:cs="Times New Roman"/>
                <w:sz w:val="28"/>
                <w:szCs w:val="28"/>
              </w:rPr>
            </w:pPr>
            <w:r>
              <w:rPr>
                <w:rFonts w:ascii="Times New Roman" w:hAnsi="Times New Roman"/>
                <w:sz w:val="28"/>
              </w:rPr>
              <w:t xml:space="preserve">W </w:t>
            </w:r>
            <w:hyperlink r:id="rId21" w:history="1">
              <w:r>
                <w:rPr>
                  <w:rStyle w:val="Hipercze"/>
                  <w:rFonts w:ascii="Times New Roman" w:hAnsi="Times New Roman"/>
                  <w:sz w:val="28"/>
                </w:rPr>
                <w:t>sekcji poświęconej WPZiB 2009/928</w:t>
              </w:r>
            </w:hyperlink>
            <w:r>
              <w:rPr>
                <w:rStyle w:val="Hipercze"/>
                <w:rFonts w:ascii="Times New Roman" w:hAnsi="Times New Roman"/>
                <w:sz w:val="28"/>
              </w:rPr>
              <w:t xml:space="preserve"> </w:t>
            </w:r>
            <w:r>
              <w:rPr>
                <w:rFonts w:ascii="Times New Roman" w:hAnsi="Times New Roman"/>
                <w:sz w:val="28"/>
              </w:rPr>
              <w:t xml:space="preserve">strona internetowa EJN zawiera cenne informacje na temat systemu sądowego wszystkich państw członkowskich (np. ustawodawstwo krajowe, powiadomienia, deklaracje, sprawozdania itp.) </w:t>
            </w:r>
          </w:p>
        </w:tc>
      </w:tr>
    </w:tbl>
    <w:p w14:paraId="2DA14334" w14:textId="17F15FDE" w:rsidR="009224D4" w:rsidRPr="000A4609" w:rsidRDefault="009224D4" w:rsidP="003E17A1">
      <w:pPr>
        <w:spacing w:before="160"/>
        <w:jc w:val="both"/>
        <w:rPr>
          <w:rFonts w:ascii="Times New Roman" w:hAnsi="Times New Roman" w:cs="Times New Roman"/>
          <w:sz w:val="28"/>
          <w:szCs w:val="28"/>
        </w:rPr>
      </w:pPr>
      <w:r>
        <w:rPr>
          <w:rFonts w:ascii="Times New Roman" w:hAnsi="Times New Roman"/>
          <w:sz w:val="28"/>
        </w:rPr>
        <w:t xml:space="preserve">Należy również pamiętać, że </w:t>
      </w:r>
      <w:r>
        <w:rPr>
          <w:rFonts w:ascii="Times New Roman" w:hAnsi="Times New Roman"/>
          <w:b/>
          <w:sz w:val="28"/>
        </w:rPr>
        <w:t>wszystkie</w:t>
      </w:r>
      <w:r>
        <w:rPr>
          <w:rFonts w:ascii="Times New Roman" w:hAnsi="Times New Roman"/>
          <w:sz w:val="28"/>
        </w:rPr>
        <w:t xml:space="preserve"> </w:t>
      </w:r>
      <w:r>
        <w:rPr>
          <w:rFonts w:ascii="Times New Roman" w:hAnsi="Times New Roman"/>
          <w:b/>
          <w:sz w:val="28"/>
        </w:rPr>
        <w:t>państwa członkowskie</w:t>
      </w:r>
      <w:r>
        <w:rPr>
          <w:rFonts w:ascii="Times New Roman" w:hAnsi="Times New Roman"/>
          <w:sz w:val="28"/>
        </w:rPr>
        <w:t xml:space="preserve"> (z wyjątkiem Irlandii, gdzie proces wdrażania jest w toku) </w:t>
      </w:r>
      <w:r>
        <w:rPr>
          <w:rFonts w:ascii="Times New Roman" w:hAnsi="Times New Roman"/>
          <w:sz w:val="28"/>
          <w:u w:val="single"/>
        </w:rPr>
        <w:t>wdrożyły decyzję ramową Rady</w:t>
      </w:r>
      <w:r>
        <w:rPr>
          <w:rFonts w:ascii="Times New Roman" w:hAnsi="Times New Roman"/>
          <w:sz w:val="28"/>
        </w:rPr>
        <w:t>, co oznacza, że środki zawieszenia przewidziane w art. 8 ust. 1 decyzji ramowej Rady są dostępne i mogą być monitorowane we wszystkich państwach członkowskich (z wyjątkiem sytuacji, w których państwo członkowskie powiadomiło lub zadeklarowało, że nie będzie ich stosować przy przekazywaniu nadzoru nad wykonywaniem kary).</w:t>
      </w:r>
    </w:p>
    <w:p w14:paraId="2BF77B08" w14:textId="47C17F1F" w:rsidR="007B45FE" w:rsidRDefault="009224D4" w:rsidP="000A4609">
      <w:pPr>
        <w:jc w:val="both"/>
        <w:rPr>
          <w:rFonts w:ascii="Times New Roman" w:hAnsi="Times New Roman" w:cs="Times New Roman"/>
          <w:sz w:val="28"/>
          <w:szCs w:val="28"/>
        </w:rPr>
      </w:pPr>
      <w:r>
        <w:rPr>
          <w:rFonts w:ascii="Times New Roman" w:hAnsi="Times New Roman"/>
          <w:sz w:val="28"/>
        </w:rPr>
        <w:t xml:space="preserve">Art. 8 ust. 2 decyzji ramowej Rady stanowi, że przy wdrażaniu niniejszej decyzji ramowej każde państwo członkowskie powiadamia Sekretariat Generalny Rady o tym, jakie środki nadzoru – </w:t>
      </w:r>
      <w:r>
        <w:rPr>
          <w:rFonts w:ascii="Times New Roman" w:hAnsi="Times New Roman"/>
          <w:i/>
          <w:sz w:val="28"/>
        </w:rPr>
        <w:t>oprócz tych, o których mowa w ust. 1 – jest gotowe monitorować</w:t>
      </w:r>
      <w:r>
        <w:rPr>
          <w:rFonts w:ascii="Times New Roman" w:hAnsi="Times New Roman"/>
          <w:sz w:val="28"/>
        </w:rPr>
        <w:t xml:space="preserve">. </w:t>
      </w:r>
    </w:p>
    <w:p w14:paraId="6536B189" w14:textId="77777777" w:rsidR="00181C74" w:rsidRPr="007B45FE" w:rsidRDefault="00181C74" w:rsidP="000A4609">
      <w:pPr>
        <w:jc w:val="both"/>
        <w:rPr>
          <w:rFonts w:ascii="Times New Roman" w:hAnsi="Times New Roman" w:cs="Times New Roman"/>
          <w:sz w:val="28"/>
          <w:szCs w:val="28"/>
          <w:lang w:val="en-US"/>
        </w:rPr>
      </w:pPr>
    </w:p>
    <w:p w14:paraId="748E44BD" w14:textId="68AEAEC0" w:rsidR="009224D4" w:rsidRPr="000A4609" w:rsidRDefault="009224D4" w:rsidP="000A4609">
      <w:pPr>
        <w:pStyle w:val="Akapitzlist"/>
        <w:numPr>
          <w:ilvl w:val="0"/>
          <w:numId w:val="9"/>
        </w:numPr>
        <w:suppressAutoHyphens/>
        <w:autoSpaceDN w:val="0"/>
        <w:spacing w:line="240" w:lineRule="auto"/>
        <w:ind w:left="714" w:hanging="357"/>
        <w:contextualSpacing w:val="0"/>
        <w:jc w:val="both"/>
        <w:textAlignment w:val="baseline"/>
        <w:rPr>
          <w:rFonts w:ascii="Times New Roman" w:hAnsi="Times New Roman" w:cs="Times New Roman"/>
          <w:b/>
          <w:bCs/>
          <w:i/>
          <w:iCs/>
          <w:sz w:val="28"/>
          <w:szCs w:val="28"/>
        </w:rPr>
      </w:pPr>
      <w:r>
        <w:rPr>
          <w:rFonts w:ascii="Times New Roman" w:hAnsi="Times New Roman"/>
          <w:b/>
          <w:i/>
          <w:sz w:val="28"/>
        </w:rPr>
        <w:t>Brak zaufania do innego systemu sądownictwa</w:t>
      </w:r>
    </w:p>
    <w:p w14:paraId="238DCE76" w14:textId="25AF95F5" w:rsidR="009172F7" w:rsidRPr="000A4609" w:rsidRDefault="009224D4" w:rsidP="000A4609">
      <w:pPr>
        <w:jc w:val="both"/>
        <w:rPr>
          <w:rFonts w:ascii="Times New Roman" w:hAnsi="Times New Roman" w:cs="Times New Roman"/>
          <w:sz w:val="28"/>
          <w:szCs w:val="28"/>
        </w:rPr>
      </w:pPr>
      <w:r>
        <w:rPr>
          <w:rFonts w:ascii="Times New Roman" w:hAnsi="Times New Roman"/>
          <w:sz w:val="28"/>
        </w:rPr>
        <w:t xml:space="preserve">Często właściwe organy wydające nakaz mają inne wątpliwości, np. nie ufają innemu systemowi sądowemu, i nie składają wniosku o przeniesienie decyzji w </w:t>
      </w:r>
      <w:r>
        <w:rPr>
          <w:rFonts w:ascii="Times New Roman" w:hAnsi="Times New Roman"/>
          <w:sz w:val="28"/>
        </w:rPr>
        <w:lastRenderedPageBreak/>
        <w:t xml:space="preserve">sprawie środków nadzoru, zwłaszcza że decyzja ramowa Rady nie przewiduje wyraźnie takiego obowiązku. </w:t>
      </w:r>
    </w:p>
    <w:tbl>
      <w:tblPr>
        <w:tblW w:w="9012" w:type="dxa"/>
        <w:tblInd w:w="7" w:type="dxa"/>
        <w:tblCellMar>
          <w:left w:w="10" w:type="dxa"/>
          <w:right w:w="10" w:type="dxa"/>
        </w:tblCellMar>
        <w:tblLook w:val="0000" w:firstRow="0" w:lastRow="0" w:firstColumn="0" w:lastColumn="0" w:noHBand="0" w:noVBand="0"/>
      </w:tblPr>
      <w:tblGrid>
        <w:gridCol w:w="9012"/>
      </w:tblGrid>
      <w:tr w:rsidR="009224D4" w:rsidRPr="000A4609" w14:paraId="0022AD92" w14:textId="77777777" w:rsidTr="007B45FE">
        <w:trPr>
          <w:trHeight w:val="1835"/>
        </w:trPr>
        <w:tc>
          <w:tcPr>
            <w:tcW w:w="901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275E6C4" w14:textId="591A702E" w:rsidR="009224D4" w:rsidRPr="000A4609" w:rsidRDefault="008A2935" w:rsidP="000A4609">
            <w:pPr>
              <w:pStyle w:val="Akapitzlist"/>
              <w:numPr>
                <w:ilvl w:val="0"/>
                <w:numId w:val="12"/>
              </w:numPr>
              <w:contextualSpacing w:val="0"/>
              <w:jc w:val="both"/>
              <w:rPr>
                <w:rFonts w:ascii="Times New Roman" w:hAnsi="Times New Roman" w:cs="Times New Roman"/>
              </w:rPr>
            </w:pPr>
            <w:r>
              <w:rPr>
                <w:rFonts w:ascii="Times New Roman" w:hAnsi="Times New Roman"/>
                <w:sz w:val="28"/>
              </w:rPr>
              <w:t>Gromadzenie informacji od organu wykonującego nakaz</w:t>
            </w:r>
            <w:r>
              <w:rPr>
                <w:rFonts w:ascii="Times New Roman" w:hAnsi="Times New Roman"/>
              </w:rPr>
              <w:t xml:space="preserve"> </w:t>
            </w:r>
            <w:r>
              <w:rPr>
                <w:rFonts w:ascii="Times New Roman" w:hAnsi="Times New Roman"/>
                <w:sz w:val="28"/>
              </w:rPr>
              <w:t>informacji dotyczących możliwości nadzoru nad podejrzanym w innym państwie członkowskim poprzez konsultacje z właściwym organem wykonującym w trakcie przygotowań lub przynajmniej przed przekazaniem decyzji w sprawie środków nadzoru wraz z zaświadczeniem (art. 22 decyzji ramowej Rady)</w:t>
            </w:r>
          </w:p>
        </w:tc>
      </w:tr>
    </w:tbl>
    <w:p w14:paraId="39D603DE" w14:textId="457F1CF5" w:rsidR="009172F7" w:rsidRPr="009172F7" w:rsidRDefault="009172F7" w:rsidP="003E17A1">
      <w:pPr>
        <w:rPr>
          <w:rFonts w:ascii="Times New Roman" w:hAnsi="Times New Roman" w:cs="Times New Roman"/>
          <w:bCs/>
          <w:i/>
          <w:iCs/>
          <w:sz w:val="28"/>
          <w:szCs w:val="28"/>
          <w:lang w:val="en-US"/>
        </w:rPr>
      </w:pPr>
    </w:p>
    <w:p w14:paraId="52A5F300" w14:textId="1D4B3453" w:rsidR="009172F7" w:rsidRPr="003E17A1" w:rsidRDefault="009224D4" w:rsidP="003E17A1">
      <w:pPr>
        <w:pStyle w:val="Akapitzlist"/>
        <w:numPr>
          <w:ilvl w:val="0"/>
          <w:numId w:val="9"/>
        </w:numPr>
        <w:suppressAutoHyphens/>
        <w:autoSpaceDN w:val="0"/>
        <w:spacing w:line="240" w:lineRule="auto"/>
        <w:ind w:left="714" w:hanging="357"/>
        <w:contextualSpacing w:val="0"/>
        <w:jc w:val="both"/>
        <w:textAlignment w:val="baseline"/>
        <w:rPr>
          <w:rFonts w:ascii="Times New Roman" w:hAnsi="Times New Roman" w:cs="Times New Roman"/>
          <w:b/>
          <w:bCs/>
          <w:i/>
          <w:iCs/>
          <w:sz w:val="28"/>
          <w:szCs w:val="28"/>
        </w:rPr>
      </w:pPr>
      <w:r>
        <w:rPr>
          <w:rFonts w:ascii="Times New Roman" w:hAnsi="Times New Roman"/>
          <w:b/>
          <w:i/>
          <w:sz w:val="28"/>
        </w:rPr>
        <w:t>Trudności w ustaleniu kryteriów przewidzianych w art. 9 decyzji ramowej Rady</w:t>
      </w:r>
    </w:p>
    <w:p w14:paraId="34AB1645" w14:textId="2FEFE5F7" w:rsidR="009224D4" w:rsidRPr="000A4609" w:rsidRDefault="009224D4" w:rsidP="000A4609">
      <w:pPr>
        <w:jc w:val="both"/>
        <w:rPr>
          <w:rFonts w:ascii="Times New Roman" w:hAnsi="Times New Roman" w:cs="Times New Roman"/>
          <w:sz w:val="28"/>
          <w:szCs w:val="28"/>
        </w:rPr>
      </w:pPr>
      <w:r>
        <w:rPr>
          <w:rFonts w:ascii="Times New Roman" w:hAnsi="Times New Roman"/>
          <w:sz w:val="28"/>
        </w:rPr>
        <w:t>Zazwyczaj informacje o legalnym i stałym miejscu zamieszkania podejrzanego są dostępne w aktach sprawy dla właściwego organu państwa członkowskiego wydającego nakaz, aby ustalić, gdzie należy się zwrócić zgodnie z art. 10 decyzji ramowej Rady.</w:t>
      </w:r>
    </w:p>
    <w:p w14:paraId="07522A6B" w14:textId="4303A356" w:rsidR="00A52158" w:rsidRPr="000A4609" w:rsidRDefault="009C34DC" w:rsidP="000A4609">
      <w:pPr>
        <w:jc w:val="both"/>
        <w:rPr>
          <w:rFonts w:ascii="Times New Roman" w:hAnsi="Times New Roman" w:cs="Times New Roman"/>
          <w:sz w:val="28"/>
          <w:szCs w:val="28"/>
        </w:rPr>
      </w:pPr>
      <w:r>
        <w:rPr>
          <w:rFonts w:ascii="Times New Roman" w:hAnsi="Times New Roman"/>
          <w:sz w:val="28"/>
        </w:rPr>
        <w:t>W odniesieniu do innych kryteriów i warunków przewidzianych w art. 9 ust. 2 decyzji ramowej Rady, właściwy organ wydający nakaz musi zebrać informacje</w:t>
      </w:r>
    </w:p>
    <w:tbl>
      <w:tblPr>
        <w:tblW w:w="9036" w:type="dxa"/>
        <w:tblInd w:w="43" w:type="dxa"/>
        <w:tblCellMar>
          <w:left w:w="10" w:type="dxa"/>
          <w:right w:w="10" w:type="dxa"/>
        </w:tblCellMar>
        <w:tblLook w:val="0000" w:firstRow="0" w:lastRow="0" w:firstColumn="0" w:lastColumn="0" w:noHBand="0" w:noVBand="0"/>
      </w:tblPr>
      <w:tblGrid>
        <w:gridCol w:w="9036"/>
      </w:tblGrid>
      <w:tr w:rsidR="009224D4" w:rsidRPr="000A4609" w14:paraId="006E2D81" w14:textId="77777777" w:rsidTr="007B45FE">
        <w:trPr>
          <w:trHeight w:val="699"/>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E438C66" w14:textId="5613F42E" w:rsidR="009224D4" w:rsidRPr="000A4609" w:rsidRDefault="00774DCD" w:rsidP="000A4609">
            <w:pPr>
              <w:pStyle w:val="Akapitzlist"/>
              <w:numPr>
                <w:ilvl w:val="0"/>
                <w:numId w:val="12"/>
              </w:numPr>
              <w:contextualSpacing w:val="0"/>
              <w:jc w:val="both"/>
              <w:rPr>
                <w:rFonts w:ascii="Times New Roman" w:hAnsi="Times New Roman" w:cs="Times New Roman"/>
              </w:rPr>
            </w:pPr>
            <w:r>
              <w:rPr>
                <w:rFonts w:ascii="Times New Roman" w:hAnsi="Times New Roman"/>
                <w:sz w:val="28"/>
              </w:rPr>
              <w:t>Art. 22 decyzji ramowej Rady stanowi, że właściwe organy państwa wydającego nakaz i państwa wykonującego nakaz konsultują się ze sobą podczas przygotowywania lub co najmniej przed przekazaniem decyzji w sprawie środków nadzoru wraz z informacjami o zaświadczeniu umożliwiającymi sprawdzenie tożsamości i miejsca zamieszkania danej osoby lub innymi informacjami, które są potrzebne do oceny warunków przewidzianych w art. 9 ust. 2-4. 2-4.</w:t>
            </w:r>
          </w:p>
        </w:tc>
      </w:tr>
    </w:tbl>
    <w:p w14:paraId="0F8F4973" w14:textId="77777777" w:rsidR="009172F7" w:rsidRPr="009172F7" w:rsidRDefault="009172F7" w:rsidP="009172F7">
      <w:pPr>
        <w:suppressAutoHyphens/>
        <w:autoSpaceDN w:val="0"/>
        <w:spacing w:line="240" w:lineRule="auto"/>
        <w:jc w:val="both"/>
        <w:textAlignment w:val="baseline"/>
        <w:rPr>
          <w:rFonts w:ascii="Times New Roman" w:hAnsi="Times New Roman" w:cs="Times New Roman"/>
          <w:bCs/>
          <w:i/>
          <w:iCs/>
          <w:sz w:val="28"/>
          <w:szCs w:val="28"/>
          <w:lang w:val="en-US"/>
        </w:rPr>
      </w:pPr>
    </w:p>
    <w:p w14:paraId="70DB0257" w14:textId="43683392" w:rsidR="00600CBA" w:rsidRPr="007B45FE" w:rsidRDefault="009224D4" w:rsidP="007B45FE">
      <w:pPr>
        <w:pStyle w:val="Akapitzlist"/>
        <w:numPr>
          <w:ilvl w:val="0"/>
          <w:numId w:val="9"/>
        </w:numPr>
        <w:suppressAutoHyphens/>
        <w:autoSpaceDN w:val="0"/>
        <w:spacing w:line="240" w:lineRule="auto"/>
        <w:contextualSpacing w:val="0"/>
        <w:jc w:val="both"/>
        <w:textAlignment w:val="baseline"/>
        <w:rPr>
          <w:rFonts w:ascii="Times New Roman" w:hAnsi="Times New Roman" w:cs="Times New Roman"/>
          <w:b/>
          <w:bCs/>
          <w:i/>
          <w:iCs/>
          <w:sz w:val="28"/>
          <w:szCs w:val="28"/>
        </w:rPr>
      </w:pPr>
      <w:r>
        <w:rPr>
          <w:rFonts w:ascii="Times New Roman" w:hAnsi="Times New Roman"/>
          <w:b/>
          <w:i/>
          <w:sz w:val="28"/>
        </w:rPr>
        <w:t>Brak wiedzy na temat tego, gdzie wysłać zaświadczenie i decyzję w sprawie środka nadzoru</w:t>
      </w:r>
    </w:p>
    <w:p w14:paraId="1CA4C213" w14:textId="1D00E5F3" w:rsidR="000D4CC8" w:rsidRPr="007B45FE" w:rsidRDefault="009224D4" w:rsidP="000A4609">
      <w:pPr>
        <w:jc w:val="both"/>
        <w:rPr>
          <w:rFonts w:ascii="Times New Roman" w:hAnsi="Times New Roman" w:cs="Times New Roman"/>
        </w:rPr>
      </w:pPr>
      <w:r>
        <w:rPr>
          <w:rFonts w:ascii="Times New Roman" w:hAnsi="Times New Roman"/>
          <w:sz w:val="28"/>
        </w:rPr>
        <w:t xml:space="preserve">Znalezienie właściwego organu w państwie członkowskim wykonującym nakaz nie jest trudnym zadaniem, zwłaszcza że </w:t>
      </w:r>
      <w:r>
        <w:rPr>
          <w:rFonts w:ascii="Times New Roman" w:hAnsi="Times New Roman"/>
          <w:b/>
          <w:i/>
          <w:sz w:val="28"/>
        </w:rPr>
        <w:t xml:space="preserve">atlas </w:t>
      </w:r>
      <w:r>
        <w:rPr>
          <w:rFonts w:ascii="Times New Roman" w:hAnsi="Times New Roman"/>
          <w:sz w:val="28"/>
        </w:rPr>
        <w:t>ze strony internetowej EJN pomaga prawnikom praktykom w ustaleniu właściwego organu wykonującego nakaz w innych państwach członkowskich (jak wskazano w pkt 4 powyżej).</w:t>
      </w:r>
    </w:p>
    <w:tbl>
      <w:tblPr>
        <w:tblW w:w="898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82"/>
      </w:tblGrid>
      <w:tr w:rsidR="000D4CC8" w:rsidRPr="000A4609" w14:paraId="39F5E03E" w14:textId="77777777" w:rsidTr="007B45FE">
        <w:trPr>
          <w:trHeight w:val="4416"/>
        </w:trPr>
        <w:tc>
          <w:tcPr>
            <w:tcW w:w="8982" w:type="dxa"/>
            <w:shd w:val="clear" w:color="auto" w:fill="B4C6E7" w:themeFill="accent1" w:themeFillTint="66"/>
          </w:tcPr>
          <w:p w14:paraId="42C899AA" w14:textId="77777777" w:rsidR="000D4CC8" w:rsidRPr="000A4609" w:rsidRDefault="000D4CC8" w:rsidP="000A4609">
            <w:pPr>
              <w:pStyle w:val="Akapitzlist"/>
              <w:numPr>
                <w:ilvl w:val="0"/>
                <w:numId w:val="12"/>
              </w:numPr>
              <w:contextualSpacing w:val="0"/>
              <w:jc w:val="both"/>
              <w:rPr>
                <w:rFonts w:ascii="Times New Roman" w:hAnsi="Times New Roman" w:cs="Times New Roman"/>
                <w:sz w:val="28"/>
                <w:szCs w:val="28"/>
              </w:rPr>
            </w:pPr>
            <w:r>
              <w:rPr>
                <w:rFonts w:ascii="Times New Roman" w:hAnsi="Times New Roman"/>
                <w:sz w:val="28"/>
              </w:rPr>
              <w:lastRenderedPageBreak/>
              <w:t xml:space="preserve">Jeżeli właściwy organ państwa wykonującego nakaz nie jest znany właściwemu organowi państwa wydającego nakaz, ten ostatni podejmuje wszelkie niezbędne starania, </w:t>
            </w:r>
            <w:r>
              <w:rPr>
                <w:rFonts w:ascii="Times New Roman" w:hAnsi="Times New Roman"/>
                <w:i/>
                <w:sz w:val="28"/>
              </w:rPr>
              <w:t>w tym za pośrednictwem punktów kontaktowych europejskiej sieci sądowej utworzonej na podstawie wspólnego działania Rady 98/428/WSiSW</w:t>
            </w:r>
            <w:r>
              <w:rPr>
                <w:rFonts w:ascii="Times New Roman" w:hAnsi="Times New Roman"/>
                <w:sz w:val="28"/>
              </w:rPr>
              <w:t>, by uzyskać te informacje od państwa wykonującego nakaz (art. 10 ust. 7 DWS).</w:t>
            </w:r>
          </w:p>
          <w:p w14:paraId="0FD35879" w14:textId="369459A9" w:rsidR="000D4CC8" w:rsidRPr="000A4609" w:rsidRDefault="000D4CC8" w:rsidP="000A4609">
            <w:pPr>
              <w:pStyle w:val="Akapitzlist"/>
              <w:numPr>
                <w:ilvl w:val="0"/>
                <w:numId w:val="12"/>
              </w:numPr>
              <w:contextualSpacing w:val="0"/>
              <w:jc w:val="both"/>
              <w:rPr>
                <w:rFonts w:ascii="Times New Roman" w:hAnsi="Times New Roman" w:cs="Times New Roman"/>
                <w:sz w:val="28"/>
                <w:szCs w:val="28"/>
              </w:rPr>
            </w:pPr>
            <w:r>
              <w:rPr>
                <w:rFonts w:ascii="Times New Roman" w:hAnsi="Times New Roman"/>
                <w:sz w:val="28"/>
              </w:rPr>
              <w:t xml:space="preserve">Jeżeli organ państwa wykonania, który otrzymał decyzję w sprawie warunków nadzoru wraz z zaświadczeniem, nie jest właściwy do jej uznania ani do podjęcia wynikających z niej działań niezbędnych do nadzoru nad przestrzeganiem warunku zawieszenia lub obowiązków wynikających z kary alternatywnej, </w:t>
            </w:r>
            <w:r>
              <w:rPr>
                <w:rFonts w:ascii="Times New Roman" w:hAnsi="Times New Roman"/>
                <w:i/>
                <w:sz w:val="28"/>
              </w:rPr>
              <w:t xml:space="preserve">przekazuje ją z urzędu właściwemu organowi i niezwłocznie informuje o tym właściwy organ państwa wydania </w:t>
            </w:r>
            <w:r>
              <w:rPr>
                <w:rFonts w:ascii="Times New Roman" w:hAnsi="Times New Roman"/>
                <w:sz w:val="28"/>
              </w:rPr>
              <w:t>w sposób umożliwiający uzyskanie potwierdzenia pisemnego (art. 10 ust. 8 decyzji ramowej Rady).</w:t>
            </w:r>
          </w:p>
        </w:tc>
      </w:tr>
    </w:tbl>
    <w:p w14:paraId="35D29FDC" w14:textId="2691C32E" w:rsidR="003E17A1" w:rsidRDefault="003E17A1" w:rsidP="000A4609">
      <w:pPr>
        <w:suppressAutoHyphens/>
        <w:autoSpaceDN w:val="0"/>
        <w:spacing w:line="240" w:lineRule="auto"/>
        <w:jc w:val="both"/>
        <w:textAlignment w:val="baseline"/>
        <w:rPr>
          <w:rFonts w:ascii="Times New Roman" w:hAnsi="Times New Roman" w:cs="Times New Roman"/>
          <w:i/>
          <w:iCs/>
          <w:color w:val="FF0000"/>
          <w:sz w:val="28"/>
          <w:szCs w:val="28"/>
          <w:lang w:val="en-US"/>
        </w:rPr>
      </w:pPr>
    </w:p>
    <w:p w14:paraId="015B4C7B" w14:textId="41ABE23E" w:rsidR="00C06687" w:rsidRPr="000A4609" w:rsidRDefault="003E17A1" w:rsidP="003E17A1">
      <w:pPr>
        <w:rPr>
          <w:rFonts w:ascii="Times New Roman" w:hAnsi="Times New Roman" w:cs="Times New Roman"/>
          <w:i/>
          <w:iCs/>
          <w:color w:val="FF0000"/>
          <w:sz w:val="28"/>
          <w:szCs w:val="28"/>
        </w:rPr>
      </w:pPr>
      <w:r>
        <w:br w:type="page"/>
      </w:r>
    </w:p>
    <w:p w14:paraId="037509A8" w14:textId="526A3F86" w:rsidR="00BD138F" w:rsidRPr="007B45FE" w:rsidRDefault="00B45AFA" w:rsidP="000A4609">
      <w:pPr>
        <w:pStyle w:val="Akapitzlist"/>
        <w:numPr>
          <w:ilvl w:val="0"/>
          <w:numId w:val="9"/>
        </w:numPr>
        <w:suppressAutoHyphens/>
        <w:autoSpaceDN w:val="0"/>
        <w:spacing w:line="240" w:lineRule="auto"/>
        <w:contextualSpacing w:val="0"/>
        <w:jc w:val="both"/>
        <w:textAlignment w:val="baseline"/>
        <w:rPr>
          <w:rFonts w:ascii="Times New Roman" w:hAnsi="Times New Roman" w:cs="Times New Roman"/>
          <w:b/>
          <w:bCs/>
          <w:i/>
          <w:iCs/>
          <w:sz w:val="28"/>
          <w:szCs w:val="28"/>
        </w:rPr>
      </w:pPr>
      <w:r>
        <w:rPr>
          <w:rFonts w:ascii="Times New Roman" w:hAnsi="Times New Roman"/>
          <w:b/>
          <w:i/>
          <w:sz w:val="28"/>
        </w:rPr>
        <w:lastRenderedPageBreak/>
        <w:t>Czas potrzebny do podjęcia decyzji w sprawie środków nadzoru</w:t>
      </w:r>
    </w:p>
    <w:p w14:paraId="4221E2D7" w14:textId="5113C7B4" w:rsidR="00F06031" w:rsidRPr="000A4609" w:rsidRDefault="00BD138F"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Właściwe organy wydające nakaz znajdują się w sytuacji, w której muszą podjąć decyzję o zastosowaniu środków nadzoru zamiast decyzji tymczasowej w ciągu kilku godzin od popełnienia przestępstwa. Nie zapewni to wystarczającej ilości czasu na rozpoczęcie konsultacji z właściwymi organami z innych państw członkowskich.</w:t>
      </w:r>
    </w:p>
    <w:tbl>
      <w:tblPr>
        <w:tblW w:w="9072" w:type="dxa"/>
        <w:tblInd w:w="7" w:type="dxa"/>
        <w:tblCellMar>
          <w:left w:w="10" w:type="dxa"/>
          <w:right w:w="10" w:type="dxa"/>
        </w:tblCellMar>
        <w:tblLook w:val="0000" w:firstRow="0" w:lastRow="0" w:firstColumn="0" w:lastColumn="0" w:noHBand="0" w:noVBand="0"/>
      </w:tblPr>
      <w:tblGrid>
        <w:gridCol w:w="9072"/>
      </w:tblGrid>
      <w:tr w:rsidR="009224D4" w:rsidRPr="000A4609" w14:paraId="221E0E67" w14:textId="77777777" w:rsidTr="007B45FE">
        <w:trPr>
          <w:trHeight w:val="2537"/>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BCB5238" w14:textId="417900DD" w:rsidR="009224D4" w:rsidRPr="000A4609" w:rsidRDefault="00BD138F" w:rsidP="000A4609">
            <w:pPr>
              <w:pStyle w:val="Akapitzlist"/>
              <w:numPr>
                <w:ilvl w:val="0"/>
                <w:numId w:val="14"/>
              </w:numPr>
              <w:contextualSpacing w:val="0"/>
              <w:jc w:val="both"/>
              <w:rPr>
                <w:rFonts w:ascii="Times New Roman" w:hAnsi="Times New Roman" w:cs="Times New Roman"/>
                <w:sz w:val="28"/>
                <w:szCs w:val="28"/>
              </w:rPr>
            </w:pPr>
            <w:r>
              <w:rPr>
                <w:rFonts w:ascii="Times New Roman" w:hAnsi="Times New Roman"/>
                <w:sz w:val="28"/>
              </w:rPr>
              <w:t xml:space="preserve">Jeżeli decyzja w sprawie środków nadzoru musi zostać podjęta szybko zgodnie z prawem krajowym, nic nie stoi na przeszkodzie, aby właściwy organ wydający nakaz podjął taką decyzję, tak jak we wszystkich podobnych sprawach krajowych. Po podjęciu decyzji decyzję w sprawie środków nadzoru można </w:t>
            </w:r>
            <w:r>
              <w:rPr>
                <w:rFonts w:ascii="Times New Roman" w:hAnsi="Times New Roman"/>
                <w:sz w:val="28"/>
                <w:u w:val="single"/>
              </w:rPr>
              <w:t>później</w:t>
            </w:r>
            <w:r>
              <w:rPr>
                <w:rFonts w:ascii="Times New Roman" w:hAnsi="Times New Roman"/>
                <w:sz w:val="28"/>
              </w:rPr>
              <w:t xml:space="preserve"> przekazać innemu państwu członkowskiemu, a środki nadzoru dostosować zgodnie z art. 13 decyzji ramowej Rady w drodze konsensusu między dwoma zaangażowanymi państwami członkowskimi.</w:t>
            </w:r>
          </w:p>
        </w:tc>
      </w:tr>
    </w:tbl>
    <w:p w14:paraId="67D611D4" w14:textId="7A133418" w:rsidR="009224D4" w:rsidRPr="000A4609" w:rsidRDefault="009224D4" w:rsidP="000A4609">
      <w:pPr>
        <w:rPr>
          <w:rFonts w:ascii="Times New Roman" w:hAnsi="Times New Roman" w:cs="Times New Roman"/>
          <w:i/>
          <w:iCs/>
          <w:color w:val="FF0000"/>
          <w:sz w:val="28"/>
          <w:szCs w:val="28"/>
          <w:lang w:val="en-US"/>
        </w:rPr>
      </w:pPr>
    </w:p>
    <w:p w14:paraId="7BA31D58" w14:textId="3886BC65" w:rsidR="009224D4" w:rsidRDefault="00E416FC" w:rsidP="007B45FE">
      <w:pPr>
        <w:pStyle w:val="Akapitzlist"/>
        <w:numPr>
          <w:ilvl w:val="0"/>
          <w:numId w:val="13"/>
        </w:numPr>
        <w:ind w:left="0" w:firstLine="0"/>
        <w:contextualSpacing w:val="0"/>
        <w:jc w:val="both"/>
        <w:rPr>
          <w:rFonts w:ascii="Times New Roman" w:hAnsi="Times New Roman" w:cs="Times New Roman"/>
          <w:b/>
          <w:bCs/>
          <w:color w:val="2F5496" w:themeColor="accent1" w:themeShade="BF"/>
          <w:sz w:val="32"/>
          <w:szCs w:val="28"/>
          <w:u w:val="single"/>
        </w:rPr>
      </w:pPr>
      <w:r>
        <w:rPr>
          <w:rFonts w:ascii="Times New Roman" w:hAnsi="Times New Roman"/>
          <w:b/>
          <w:color w:val="2F5496" w:themeColor="accent1" w:themeShade="BF"/>
          <w:sz w:val="32"/>
          <w:u w:val="single"/>
        </w:rPr>
        <w:t xml:space="preserve">Właściwy organ wykonawczy </w:t>
      </w:r>
    </w:p>
    <w:p w14:paraId="23F63CEB" w14:textId="77777777" w:rsidR="00842088" w:rsidRPr="00842088" w:rsidRDefault="00842088" w:rsidP="00842088">
      <w:pPr>
        <w:pStyle w:val="Akapitzlist"/>
        <w:ind w:left="0"/>
        <w:contextualSpacing w:val="0"/>
        <w:jc w:val="both"/>
        <w:rPr>
          <w:rFonts w:ascii="Times New Roman" w:hAnsi="Times New Roman" w:cs="Times New Roman"/>
          <w:b/>
          <w:bCs/>
          <w:color w:val="2F5496" w:themeColor="accent1" w:themeShade="BF"/>
          <w:sz w:val="28"/>
          <w:szCs w:val="28"/>
          <w:u w:val="single"/>
          <w:lang w:val="en-US"/>
        </w:rPr>
      </w:pPr>
    </w:p>
    <w:p w14:paraId="7945BDE6" w14:textId="525BA0FA" w:rsidR="009224D4" w:rsidRPr="007B45FE" w:rsidRDefault="009224D4" w:rsidP="007B45FE">
      <w:pPr>
        <w:pStyle w:val="Akapitzlist"/>
        <w:numPr>
          <w:ilvl w:val="0"/>
          <w:numId w:val="9"/>
        </w:numPr>
        <w:suppressAutoHyphens/>
        <w:autoSpaceDN w:val="0"/>
        <w:spacing w:line="240" w:lineRule="auto"/>
        <w:contextualSpacing w:val="0"/>
        <w:jc w:val="both"/>
        <w:textAlignment w:val="baseline"/>
        <w:rPr>
          <w:rFonts w:ascii="Times New Roman" w:hAnsi="Times New Roman" w:cs="Times New Roman"/>
        </w:rPr>
      </w:pPr>
      <w:r>
        <w:rPr>
          <w:rFonts w:ascii="Times New Roman" w:hAnsi="Times New Roman"/>
          <w:b/>
          <w:i/>
          <w:sz w:val="28"/>
        </w:rPr>
        <w:t>Problemy związane z otrzymanym zaświadczeniem (niekompletne, mylące informacje, nieprawidłowo zaznaczone lub w ogóle niezaznaczone pola, które były obowiązkowe itp.)</w:t>
      </w:r>
    </w:p>
    <w:p w14:paraId="25E9EA60" w14:textId="203B6BB7" w:rsidR="00C06687" w:rsidRPr="000A4609" w:rsidRDefault="009224D4" w:rsidP="000A4609">
      <w:pPr>
        <w:jc w:val="both"/>
        <w:rPr>
          <w:rFonts w:ascii="Times New Roman" w:hAnsi="Times New Roman" w:cs="Times New Roman"/>
          <w:sz w:val="28"/>
          <w:szCs w:val="28"/>
        </w:rPr>
      </w:pPr>
      <w:r>
        <w:rPr>
          <w:rFonts w:ascii="Times New Roman" w:hAnsi="Times New Roman"/>
          <w:sz w:val="28"/>
        </w:rPr>
        <w:t>Sytuacje te stanowią podstawę do odmowy uznania i nadzoru zgodnie z art. 15 ust. 1 lit. a) decyzji ramowej Rady przez właściwy organ państwa członkowskiego wykonującego nakaz. 1 lit. a) decyzji ramowej Rady przez właściwy organ państwa członkowskiego wykonującego nakaz.</w:t>
      </w:r>
    </w:p>
    <w:tbl>
      <w:tblPr>
        <w:tblW w:w="8910" w:type="dxa"/>
        <w:tblInd w:w="85" w:type="dxa"/>
        <w:tblCellMar>
          <w:left w:w="10" w:type="dxa"/>
          <w:right w:w="10" w:type="dxa"/>
        </w:tblCellMar>
        <w:tblLook w:val="0000" w:firstRow="0" w:lastRow="0" w:firstColumn="0" w:lastColumn="0" w:noHBand="0" w:noVBand="0"/>
      </w:tblPr>
      <w:tblGrid>
        <w:gridCol w:w="8910"/>
      </w:tblGrid>
      <w:tr w:rsidR="009224D4" w:rsidRPr="000A4609" w14:paraId="51D9DB86" w14:textId="77777777" w:rsidTr="007B45FE">
        <w:trPr>
          <w:trHeight w:val="105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EAC44D8" w14:textId="65BBE607" w:rsidR="009224D4" w:rsidRPr="000A4609" w:rsidRDefault="007B3966" w:rsidP="000A4609">
            <w:pPr>
              <w:pStyle w:val="Akapitzlist"/>
              <w:numPr>
                <w:ilvl w:val="0"/>
                <w:numId w:val="14"/>
              </w:numPr>
              <w:contextualSpacing w:val="0"/>
              <w:jc w:val="both"/>
              <w:rPr>
                <w:rFonts w:ascii="Times New Roman" w:hAnsi="Times New Roman" w:cs="Times New Roman"/>
                <w:sz w:val="28"/>
                <w:szCs w:val="28"/>
              </w:rPr>
            </w:pPr>
            <w:r>
              <w:rPr>
                <w:rFonts w:ascii="Times New Roman" w:hAnsi="Times New Roman"/>
                <w:sz w:val="28"/>
              </w:rPr>
              <w:t xml:space="preserve">Właściwy organ państwa członkowskiego wykonującego nakaz może odroczyć decyzję o uznaniu decyzji w sprawie środków nadzoru, jeżeli zaświadczenie jest niekompletne lub w sposób oczywisty nie odpowiada decyzji w sprawie środków nadzoru, </w:t>
            </w:r>
            <w:r>
              <w:rPr>
                <w:rFonts w:ascii="Times New Roman" w:hAnsi="Times New Roman"/>
                <w:sz w:val="28"/>
                <w:u w:val="single"/>
              </w:rPr>
              <w:t>do</w:t>
            </w:r>
            <w:r>
              <w:rPr>
                <w:rFonts w:ascii="Times New Roman" w:hAnsi="Times New Roman"/>
                <w:sz w:val="28"/>
              </w:rPr>
              <w:t xml:space="preserve"> upływu rozsądnego terminu wyznaczonego na uzupełnienie lub skorygowanie zaświadczenia.</w:t>
            </w:r>
          </w:p>
        </w:tc>
      </w:tr>
    </w:tbl>
    <w:p w14:paraId="4EC30951" w14:textId="77777777" w:rsidR="009224D4" w:rsidRPr="000A4609" w:rsidRDefault="009224D4" w:rsidP="000A4609">
      <w:pPr>
        <w:jc w:val="both"/>
        <w:rPr>
          <w:rFonts w:ascii="Times New Roman" w:hAnsi="Times New Roman" w:cs="Times New Roman"/>
          <w:i/>
          <w:iCs/>
          <w:sz w:val="28"/>
          <w:szCs w:val="28"/>
          <w:lang w:val="en-US"/>
        </w:rPr>
      </w:pPr>
    </w:p>
    <w:p w14:paraId="36D8C159" w14:textId="722AA255" w:rsidR="009224D4" w:rsidRPr="007B45FE" w:rsidRDefault="009224D4" w:rsidP="000A4609">
      <w:pPr>
        <w:pStyle w:val="Akapitzlist"/>
        <w:numPr>
          <w:ilvl w:val="0"/>
          <w:numId w:val="9"/>
        </w:numPr>
        <w:suppressAutoHyphens/>
        <w:autoSpaceDN w:val="0"/>
        <w:spacing w:line="240" w:lineRule="auto"/>
        <w:contextualSpacing w:val="0"/>
        <w:jc w:val="both"/>
        <w:textAlignment w:val="baseline"/>
        <w:rPr>
          <w:rFonts w:ascii="Times New Roman" w:hAnsi="Times New Roman" w:cs="Times New Roman"/>
          <w:b/>
          <w:bCs/>
          <w:i/>
          <w:iCs/>
          <w:sz w:val="28"/>
          <w:szCs w:val="28"/>
        </w:rPr>
      </w:pPr>
      <w:r>
        <w:rPr>
          <w:rFonts w:ascii="Times New Roman" w:hAnsi="Times New Roman"/>
          <w:b/>
          <w:i/>
          <w:sz w:val="28"/>
        </w:rPr>
        <w:t xml:space="preserve">Problemy z przestrzeganiem terminów </w:t>
      </w:r>
    </w:p>
    <w:p w14:paraId="268CDD68" w14:textId="14DBE53F" w:rsidR="009224D4" w:rsidRPr="000A4609" w:rsidRDefault="009224D4" w:rsidP="000A4609">
      <w:pPr>
        <w:jc w:val="both"/>
        <w:rPr>
          <w:rFonts w:ascii="Times New Roman" w:hAnsi="Times New Roman" w:cs="Times New Roman"/>
          <w:sz w:val="28"/>
          <w:szCs w:val="28"/>
        </w:rPr>
      </w:pPr>
      <w:r>
        <w:rPr>
          <w:rFonts w:ascii="Times New Roman" w:hAnsi="Times New Roman"/>
          <w:sz w:val="28"/>
        </w:rPr>
        <w:t xml:space="preserve">Jeżeli nie jest możliwe dotrzymanie terminów przewidzianych w art. 12 decyzji ramowej Rady, właściwy organ państwa wykonującego nakaz niezwłocznie informuje o tym fakcie właściwy organ państwa wydającego nakaz w dowolny </w:t>
      </w:r>
      <w:r>
        <w:rPr>
          <w:rFonts w:ascii="Times New Roman" w:hAnsi="Times New Roman"/>
          <w:sz w:val="28"/>
        </w:rPr>
        <w:lastRenderedPageBreak/>
        <w:t>sposób, podając przyczyny opóźnienia i wskazując szacunkowy okres potrzebny do podjęcia ostatecznej decyzji</w:t>
      </w:r>
    </w:p>
    <w:p w14:paraId="52F66998" w14:textId="77777777" w:rsidR="00C06687" w:rsidRPr="000A4609" w:rsidRDefault="00C06687" w:rsidP="000A4609">
      <w:pPr>
        <w:jc w:val="both"/>
        <w:rPr>
          <w:rFonts w:ascii="Times New Roman" w:hAnsi="Times New Roman" w:cs="Times New Roman"/>
          <w:sz w:val="28"/>
          <w:szCs w:val="28"/>
          <w:lang w:val="en-US"/>
        </w:rPr>
      </w:pPr>
    </w:p>
    <w:tbl>
      <w:tblPr>
        <w:tblW w:w="8958" w:type="dxa"/>
        <w:tblInd w:w="85" w:type="dxa"/>
        <w:tblCellMar>
          <w:left w:w="10" w:type="dxa"/>
          <w:right w:w="10" w:type="dxa"/>
        </w:tblCellMar>
        <w:tblLook w:val="0000" w:firstRow="0" w:lastRow="0" w:firstColumn="0" w:lastColumn="0" w:noHBand="0" w:noVBand="0"/>
      </w:tblPr>
      <w:tblGrid>
        <w:gridCol w:w="8958"/>
      </w:tblGrid>
      <w:tr w:rsidR="009224D4" w:rsidRPr="000A4609" w14:paraId="5031C5E9" w14:textId="77777777" w:rsidTr="007B45FE">
        <w:trPr>
          <w:trHeight w:val="1584"/>
        </w:trPr>
        <w:tc>
          <w:tcPr>
            <w:tcW w:w="895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516A12C" w14:textId="77777777" w:rsidR="009224D4" w:rsidRPr="000A4609" w:rsidRDefault="009224D4" w:rsidP="000A4609">
            <w:pPr>
              <w:pStyle w:val="Akapitzlist"/>
              <w:numPr>
                <w:ilvl w:val="0"/>
                <w:numId w:val="14"/>
              </w:numPr>
              <w:contextualSpacing w:val="0"/>
              <w:jc w:val="both"/>
              <w:rPr>
                <w:rFonts w:ascii="Times New Roman" w:hAnsi="Times New Roman" w:cs="Times New Roman"/>
              </w:rPr>
            </w:pPr>
            <w:r>
              <w:rPr>
                <w:rFonts w:ascii="Times New Roman" w:hAnsi="Times New Roman"/>
                <w:sz w:val="28"/>
              </w:rPr>
              <w:t xml:space="preserve">Przyczyny nieprzestrzegania terminów przewidzianych w art. 12 decyzji ramowej Rady muszą stanowić </w:t>
            </w:r>
            <w:r>
              <w:rPr>
                <w:rFonts w:ascii="Times New Roman" w:hAnsi="Times New Roman"/>
                <w:sz w:val="28"/>
                <w:u w:val="single"/>
              </w:rPr>
              <w:t xml:space="preserve">wyjątkowe okoliczności i powinny być ograniczone wyłącznie do sytuacji obiektywnych </w:t>
            </w:r>
            <w:r>
              <w:rPr>
                <w:rFonts w:ascii="Times New Roman" w:hAnsi="Times New Roman"/>
                <w:i/>
                <w:sz w:val="28"/>
              </w:rPr>
              <w:t>(np. potrzebne są dodatkowe informacje od państwa członkowskiego wydającego nakaz lub od innych właściwych organów zaangażowanych w proces uznawania</w:t>
            </w:r>
            <w:r>
              <w:rPr>
                <w:rFonts w:ascii="Times New Roman" w:hAnsi="Times New Roman"/>
                <w:sz w:val="28"/>
              </w:rPr>
              <w:t>).</w:t>
            </w:r>
          </w:p>
        </w:tc>
      </w:tr>
    </w:tbl>
    <w:p w14:paraId="6AF0076A" w14:textId="77777777" w:rsidR="00A52158" w:rsidRPr="000A4609" w:rsidRDefault="00A52158" w:rsidP="000A4609">
      <w:pPr>
        <w:pStyle w:val="Akapitzlist"/>
        <w:suppressAutoHyphens/>
        <w:autoSpaceDN w:val="0"/>
        <w:spacing w:line="240" w:lineRule="auto"/>
        <w:contextualSpacing w:val="0"/>
        <w:jc w:val="both"/>
        <w:textAlignment w:val="baseline"/>
        <w:rPr>
          <w:rFonts w:ascii="Times New Roman" w:hAnsi="Times New Roman" w:cs="Times New Roman"/>
          <w:i/>
          <w:iCs/>
          <w:sz w:val="28"/>
          <w:szCs w:val="28"/>
          <w:lang w:val="en-US"/>
        </w:rPr>
      </w:pPr>
    </w:p>
    <w:p w14:paraId="30730DA1" w14:textId="4CAFB715" w:rsidR="00D043DE" w:rsidRPr="007B45FE" w:rsidRDefault="009224D4" w:rsidP="007B45FE">
      <w:pPr>
        <w:pStyle w:val="Akapitzlist"/>
        <w:numPr>
          <w:ilvl w:val="0"/>
          <w:numId w:val="16"/>
        </w:numPr>
        <w:suppressAutoHyphens/>
        <w:autoSpaceDN w:val="0"/>
        <w:spacing w:line="240" w:lineRule="auto"/>
        <w:contextualSpacing w:val="0"/>
        <w:jc w:val="both"/>
        <w:textAlignment w:val="baseline"/>
        <w:rPr>
          <w:rFonts w:ascii="Times New Roman" w:hAnsi="Times New Roman" w:cs="Times New Roman"/>
          <w:i/>
          <w:iCs/>
          <w:sz w:val="28"/>
          <w:szCs w:val="28"/>
        </w:rPr>
      </w:pPr>
      <w:r>
        <w:rPr>
          <w:rFonts w:ascii="Times New Roman" w:hAnsi="Times New Roman"/>
          <w:b/>
          <w:i/>
          <w:sz w:val="28"/>
        </w:rPr>
        <w:t>Problemy związane z dostosowaniem środków nadzoru</w:t>
      </w:r>
    </w:p>
    <w:p w14:paraId="3F545558" w14:textId="0426786B" w:rsidR="009224D4" w:rsidRPr="008A2531" w:rsidRDefault="00D043DE" w:rsidP="008A2531">
      <w:pPr>
        <w:ind w:firstLine="720"/>
        <w:jc w:val="both"/>
        <w:rPr>
          <w:rFonts w:ascii="Times New Roman" w:hAnsi="Times New Roman" w:cs="Times New Roman"/>
        </w:rPr>
      </w:pPr>
      <w:r>
        <w:rPr>
          <w:rFonts w:ascii="Times New Roman" w:hAnsi="Times New Roman"/>
          <w:sz w:val="28"/>
        </w:rPr>
        <w:t xml:space="preserve">Jeżeli </w:t>
      </w:r>
      <w:r>
        <w:rPr>
          <w:rFonts w:ascii="Times New Roman" w:hAnsi="Times New Roman"/>
          <w:b/>
          <w:sz w:val="28"/>
        </w:rPr>
        <w:t>charakter środków nadzoru</w:t>
      </w:r>
      <w:r>
        <w:rPr>
          <w:rFonts w:ascii="Times New Roman" w:hAnsi="Times New Roman"/>
          <w:sz w:val="28"/>
        </w:rPr>
        <w:t xml:space="preserve"> jest niezgodny z prawem państwa wykonującego nakaz, właściwy organ w tym państwie członkowskim może dostosować je do rodzajów środków nadzoru, które zgodnie z prawem państwa wykonującego nakaz stosuje się w przypadku równoważnych przestępstw. Dostosowany środek nadzoru odpowiada w jak największym stopniu środkowi nałożonemu w państwie wydającym nakaz (art. 13 ust. 1 decyzji ramowej Rady).</w:t>
      </w:r>
    </w:p>
    <w:tbl>
      <w:tblPr>
        <w:tblW w:w="9180" w:type="dxa"/>
        <w:tblInd w:w="-5" w:type="dxa"/>
        <w:tblCellMar>
          <w:left w:w="10" w:type="dxa"/>
          <w:right w:w="10" w:type="dxa"/>
        </w:tblCellMar>
        <w:tblLook w:val="0000" w:firstRow="0" w:lastRow="0" w:firstColumn="0" w:lastColumn="0" w:noHBand="0" w:noVBand="0"/>
      </w:tblPr>
      <w:tblGrid>
        <w:gridCol w:w="9180"/>
      </w:tblGrid>
      <w:tr w:rsidR="009224D4" w:rsidRPr="000A4609" w14:paraId="31E7FD96" w14:textId="77777777" w:rsidTr="007B45FE">
        <w:trPr>
          <w:trHeight w:val="1844"/>
        </w:trPr>
        <w:tc>
          <w:tcPr>
            <w:tcW w:w="918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6FD63BC" w14:textId="67E46E2E" w:rsidR="009224D4" w:rsidRPr="000A4609" w:rsidRDefault="009224D4" w:rsidP="000A4609">
            <w:pPr>
              <w:pStyle w:val="Akapitzlist"/>
              <w:numPr>
                <w:ilvl w:val="0"/>
                <w:numId w:val="14"/>
              </w:numPr>
              <w:contextualSpacing w:val="0"/>
              <w:jc w:val="both"/>
              <w:rPr>
                <w:rFonts w:ascii="Times New Roman" w:hAnsi="Times New Roman" w:cs="Times New Roman"/>
                <w:sz w:val="28"/>
                <w:szCs w:val="28"/>
              </w:rPr>
            </w:pPr>
            <w:r>
              <w:rPr>
                <w:rFonts w:ascii="Times New Roman" w:hAnsi="Times New Roman"/>
                <w:i/>
                <w:sz w:val="28"/>
              </w:rPr>
              <w:t>Na przykład</w:t>
            </w:r>
            <w:r w:rsidR="00B86907">
              <w:rPr>
                <w:rFonts w:ascii="Times New Roman" w:hAnsi="Times New Roman"/>
                <w:i/>
                <w:sz w:val="28"/>
              </w:rPr>
              <w:t xml:space="preserve"> </w:t>
            </w:r>
            <w:r>
              <w:rPr>
                <w:rFonts w:ascii="Times New Roman" w:hAnsi="Times New Roman"/>
                <w:sz w:val="28"/>
              </w:rPr>
              <w:t xml:space="preserve">organ wydający nakaz nałożył na podejrzanego obowiązek powstrzymania się od wstępu na </w:t>
            </w:r>
            <w:r>
              <w:rPr>
                <w:rFonts w:ascii="Times New Roman" w:hAnsi="Times New Roman"/>
                <w:b/>
                <w:sz w:val="28"/>
              </w:rPr>
              <w:t>pewne określone obszary</w:t>
            </w:r>
            <w:r>
              <w:rPr>
                <w:rFonts w:ascii="Times New Roman" w:hAnsi="Times New Roman"/>
                <w:sz w:val="28"/>
              </w:rPr>
              <w:t>, które w prawodawstwie państwa członkowskiego wykonującego nakaz mają nieco inne znaczenie. Dostosowania należy dokonać zgodnie z przepisami krajowymi państwa członkowskiego wykonującego nakaz, po poinformowaniu państwa członkowskiego wydającego nakaz zgodnie z art. 20 lit. f) decyzji ramowej Rady.</w:t>
            </w:r>
          </w:p>
        </w:tc>
      </w:tr>
    </w:tbl>
    <w:p w14:paraId="5B3819A2" w14:textId="52E64596" w:rsidR="009224D4" w:rsidRPr="000A4609" w:rsidRDefault="009D23F6" w:rsidP="008A2531">
      <w:pPr>
        <w:spacing w:before="160"/>
        <w:jc w:val="both"/>
        <w:rPr>
          <w:rFonts w:ascii="Times New Roman" w:hAnsi="Times New Roman" w:cs="Times New Roman"/>
          <w:sz w:val="28"/>
          <w:szCs w:val="28"/>
        </w:rPr>
      </w:pPr>
      <w:r>
        <w:rPr>
          <w:rFonts w:ascii="Times New Roman" w:hAnsi="Times New Roman"/>
          <w:sz w:val="28"/>
        </w:rPr>
        <w:t xml:space="preserve">Jeżeli </w:t>
      </w:r>
      <w:r>
        <w:rPr>
          <w:rFonts w:ascii="Times New Roman" w:hAnsi="Times New Roman"/>
          <w:b/>
          <w:sz w:val="28"/>
        </w:rPr>
        <w:t>maksymalny okres, przez jaki można monitorować środki nadzoru w państwie wykonującym, jest krótszy od okresu nałożonego w decyzji w sprawie środków nadzoru</w:t>
      </w:r>
      <w:r>
        <w:rPr>
          <w:rFonts w:ascii="Times New Roman" w:hAnsi="Times New Roman"/>
          <w:sz w:val="28"/>
        </w:rPr>
        <w:t>, w przypadku gdy prawo państwa wykonującego nakaz przewiduje taki maksymalny okres, okres nadzoru będzie ustalany przez państwo wykonujące w terminach przewidzianych w prawie krajowym. Następnie nadzór powróci do państwa członkowskiego wydającego nakaz zgodnie z art. 11 ust. 2 d) decyzji ramowej Rady.</w:t>
      </w:r>
    </w:p>
    <w:p w14:paraId="1B456D6E" w14:textId="40497BD7" w:rsidR="009224D4" w:rsidRPr="000A4609" w:rsidRDefault="009224D4" w:rsidP="000A4609">
      <w:pPr>
        <w:suppressAutoHyphens/>
        <w:autoSpaceDN w:val="0"/>
        <w:spacing w:line="240" w:lineRule="auto"/>
        <w:jc w:val="both"/>
        <w:textAlignment w:val="baseline"/>
        <w:rPr>
          <w:rFonts w:ascii="Times New Roman" w:hAnsi="Times New Roman" w:cs="Times New Roman"/>
          <w:b/>
          <w:bCs/>
          <w:i/>
          <w:iCs/>
          <w:sz w:val="28"/>
          <w:szCs w:val="28"/>
          <w:lang w:val="en-US"/>
        </w:rPr>
      </w:pPr>
    </w:p>
    <w:p w14:paraId="17FF310A" w14:textId="751C38E3" w:rsidR="00F42B21" w:rsidRPr="007B45FE" w:rsidRDefault="00F42B21" w:rsidP="007B45FE">
      <w:pPr>
        <w:pStyle w:val="Akapitzlist"/>
        <w:numPr>
          <w:ilvl w:val="0"/>
          <w:numId w:val="16"/>
        </w:numPr>
        <w:suppressAutoHyphens/>
        <w:autoSpaceDN w:val="0"/>
        <w:spacing w:line="240" w:lineRule="auto"/>
        <w:contextualSpacing w:val="0"/>
        <w:jc w:val="both"/>
        <w:textAlignment w:val="baseline"/>
        <w:rPr>
          <w:rFonts w:ascii="Times New Roman" w:hAnsi="Times New Roman" w:cs="Times New Roman"/>
          <w:i/>
          <w:iCs/>
          <w:sz w:val="28"/>
          <w:szCs w:val="28"/>
        </w:rPr>
      </w:pPr>
      <w:r>
        <w:rPr>
          <w:rFonts w:ascii="Times New Roman" w:hAnsi="Times New Roman"/>
          <w:b/>
          <w:i/>
          <w:sz w:val="28"/>
        </w:rPr>
        <w:t>Niemożliwość monitorowania podejrzanej osoby</w:t>
      </w: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12"/>
      </w:tblGrid>
      <w:tr w:rsidR="00F42B21" w:rsidRPr="000A4609" w14:paraId="66619835" w14:textId="77777777" w:rsidTr="007B45FE">
        <w:trPr>
          <w:trHeight w:val="1997"/>
        </w:trPr>
        <w:tc>
          <w:tcPr>
            <w:tcW w:w="8712" w:type="dxa"/>
            <w:shd w:val="clear" w:color="auto" w:fill="B4C6E7" w:themeFill="accent1" w:themeFillTint="66"/>
          </w:tcPr>
          <w:p w14:paraId="2F7CEB74" w14:textId="601C949B" w:rsidR="00F42B21" w:rsidRPr="000A4609" w:rsidRDefault="00F42B21" w:rsidP="000A4609">
            <w:pPr>
              <w:pStyle w:val="Akapitzlist"/>
              <w:numPr>
                <w:ilvl w:val="0"/>
                <w:numId w:val="14"/>
              </w:numPr>
              <w:suppressAutoHyphens/>
              <w:autoSpaceDN w:val="0"/>
              <w:spacing w:line="240" w:lineRule="auto"/>
              <w:contextualSpacing w:val="0"/>
              <w:jc w:val="both"/>
              <w:textAlignment w:val="baseline"/>
              <w:rPr>
                <w:rFonts w:ascii="Times New Roman" w:hAnsi="Times New Roman" w:cs="Times New Roman"/>
                <w:sz w:val="28"/>
                <w:szCs w:val="28"/>
              </w:rPr>
            </w:pPr>
            <w:r>
              <w:rPr>
                <w:rFonts w:ascii="Times New Roman" w:hAnsi="Times New Roman"/>
                <w:sz w:val="28"/>
              </w:rPr>
              <w:lastRenderedPageBreak/>
              <w:t>Organ wykonujący musi poinformować państwo wydające nakaz, że nie można monitorować środków nadzoru z tego powodu, że po przekazaniu państwu wykonującemu decyzji w sprawie środków nadzoru i zaświadczenia nie można odnaleźć danej osoby na terytorium państwa wykonującego nakaz; w takim przypadku państwo wykonujące nie ma obowiązku monitorowania środków nadzoru.</w:t>
            </w:r>
          </w:p>
        </w:tc>
      </w:tr>
    </w:tbl>
    <w:p w14:paraId="047D974E" w14:textId="77777777" w:rsidR="009224D4" w:rsidRPr="000A4609" w:rsidRDefault="009224D4" w:rsidP="000A4609">
      <w:pPr>
        <w:suppressAutoHyphens/>
        <w:autoSpaceDN w:val="0"/>
        <w:spacing w:line="240" w:lineRule="auto"/>
        <w:jc w:val="both"/>
        <w:textAlignment w:val="baseline"/>
        <w:rPr>
          <w:rFonts w:ascii="Times New Roman" w:hAnsi="Times New Roman" w:cs="Times New Roman"/>
          <w:b/>
          <w:bCs/>
          <w:i/>
          <w:iCs/>
          <w:sz w:val="28"/>
          <w:szCs w:val="28"/>
          <w:lang w:val="en-US"/>
        </w:rPr>
      </w:pPr>
    </w:p>
    <w:p w14:paraId="701EB695" w14:textId="77777777" w:rsidR="008A2531" w:rsidRDefault="008A2531">
      <w:pPr>
        <w:rPr>
          <w:rFonts w:ascii="Times New Roman" w:hAnsi="Times New Roman" w:cs="Times New Roman"/>
          <w:b/>
          <w:i/>
          <w:iCs/>
          <w:color w:val="2F5496" w:themeColor="accent1" w:themeShade="BF"/>
          <w:sz w:val="28"/>
          <w:szCs w:val="28"/>
        </w:rPr>
      </w:pPr>
      <w:r>
        <w:br w:type="page"/>
      </w:r>
    </w:p>
    <w:p w14:paraId="18D2B732" w14:textId="2E453B05" w:rsidR="0027440C" w:rsidRPr="007B45FE" w:rsidRDefault="00B86907" w:rsidP="007B45FE">
      <w:pPr>
        <w:spacing w:line="240" w:lineRule="auto"/>
        <w:jc w:val="both"/>
        <w:rPr>
          <w:rFonts w:ascii="Times New Roman" w:hAnsi="Times New Roman" w:cs="Times New Roman"/>
          <w:color w:val="2F5496" w:themeColor="accent1" w:themeShade="BF"/>
          <w:sz w:val="28"/>
          <w:szCs w:val="28"/>
        </w:rPr>
      </w:pPr>
      <w:r>
        <w:rPr>
          <w:rFonts w:ascii="Times New Roman" w:hAnsi="Times New Roman"/>
          <w:b/>
          <w:i/>
          <w:color w:val="2F5496" w:themeColor="accent1" w:themeShade="BF"/>
          <w:sz w:val="28"/>
        </w:rPr>
        <w:lastRenderedPageBreak/>
        <w:t>P</w:t>
      </w:r>
      <w:r w:rsidR="00210A69">
        <w:rPr>
          <w:rFonts w:ascii="Times New Roman" w:hAnsi="Times New Roman"/>
          <w:b/>
          <w:i/>
          <w:color w:val="2F5496" w:themeColor="accent1" w:themeShade="BF"/>
          <w:sz w:val="28"/>
        </w:rPr>
        <w:t>7:</w:t>
      </w:r>
      <w:r w:rsidR="00210A69">
        <w:rPr>
          <w:rFonts w:ascii="Times New Roman" w:hAnsi="Times New Roman"/>
          <w:color w:val="2F5496" w:themeColor="accent1" w:themeShade="BF"/>
          <w:sz w:val="28"/>
        </w:rPr>
        <w:t xml:space="preserve"> Jakie są korzyści w tym przypadku, jeśli takie przekazanie nadzoru zakończy się sukcesem?</w:t>
      </w:r>
    </w:p>
    <w:p w14:paraId="4C44AA73" w14:textId="41498938" w:rsidR="00C0454F" w:rsidRPr="000A4609" w:rsidRDefault="0057317C" w:rsidP="000A4609">
      <w:pPr>
        <w:pStyle w:val="Akapitzlist"/>
        <w:numPr>
          <w:ilvl w:val="0"/>
          <w:numId w:val="16"/>
        </w:numPr>
        <w:ind w:left="0" w:firstLine="0"/>
        <w:contextualSpacing w:val="0"/>
        <w:jc w:val="both"/>
        <w:rPr>
          <w:rFonts w:ascii="Times New Roman" w:hAnsi="Times New Roman" w:cs="Times New Roman"/>
          <w:b/>
          <w:bCs/>
          <w:i/>
          <w:iCs/>
          <w:sz w:val="28"/>
          <w:szCs w:val="28"/>
        </w:rPr>
      </w:pPr>
      <w:r>
        <w:rPr>
          <w:rFonts w:ascii="Times New Roman" w:hAnsi="Times New Roman"/>
          <w:b/>
          <w:i/>
          <w:sz w:val="28"/>
        </w:rPr>
        <w:t xml:space="preserve">Lepsze monitorowanie przemieszczania się oskarżonego i tym samym zapewnienie prawidłowego przebiegu postępowania sądowego, a w szczególności </w:t>
      </w:r>
      <w:bookmarkStart w:id="4" w:name="_Hlk35100085"/>
      <w:bookmarkStart w:id="5" w:name="_Hlk35100056"/>
      <w:r>
        <w:rPr>
          <w:rFonts w:ascii="Times New Roman" w:hAnsi="Times New Roman"/>
          <w:b/>
          <w:i/>
          <w:sz w:val="28"/>
        </w:rPr>
        <w:t>że dana osoba będzie gotowa stanąć przed sądem</w:t>
      </w:r>
      <w:bookmarkEnd w:id="4"/>
      <w:r>
        <w:rPr>
          <w:rFonts w:ascii="Times New Roman" w:hAnsi="Times New Roman"/>
          <w:b/>
          <w:i/>
          <w:sz w:val="28"/>
        </w:rPr>
        <w:t xml:space="preserve"> </w:t>
      </w:r>
      <w:bookmarkEnd w:id="5"/>
    </w:p>
    <w:p w14:paraId="4D64E09D" w14:textId="2820BF64" w:rsidR="00AD044B" w:rsidRPr="000A4609" w:rsidRDefault="005A7F1B" w:rsidP="007B45FE">
      <w:pPr>
        <w:jc w:val="both"/>
        <w:rPr>
          <w:rFonts w:ascii="Times New Roman" w:hAnsi="Times New Roman" w:cs="Times New Roman"/>
          <w:sz w:val="28"/>
          <w:szCs w:val="28"/>
        </w:rPr>
      </w:pPr>
      <w:r>
        <w:rPr>
          <w:rFonts w:ascii="Times New Roman" w:hAnsi="Times New Roman"/>
          <w:sz w:val="28"/>
        </w:rPr>
        <w:t>Podejrzany będzie monitorowany przez organy wykonującego nakaz państwa członkowskiego, w którym legalnie zamieszkuje, co zapewni właściwy przebieg postępowania sądowego oraz to, że podejrzany będzie mógł stanąć przed sądem w państwie członkowskim wydającym nakaz.</w:t>
      </w:r>
    </w:p>
    <w:p w14:paraId="520D0B1C" w14:textId="14FB1245" w:rsidR="0027440C" w:rsidRPr="000A4609" w:rsidRDefault="00AD044B" w:rsidP="000A4609">
      <w:pPr>
        <w:pStyle w:val="Akapitzlist"/>
        <w:numPr>
          <w:ilvl w:val="0"/>
          <w:numId w:val="15"/>
        </w:numPr>
        <w:suppressAutoHyphens/>
        <w:autoSpaceDN w:val="0"/>
        <w:spacing w:line="240" w:lineRule="auto"/>
        <w:ind w:left="851" w:hanging="851"/>
        <w:contextualSpacing w:val="0"/>
        <w:jc w:val="both"/>
        <w:textAlignment w:val="baseline"/>
        <w:rPr>
          <w:rFonts w:ascii="Times New Roman" w:hAnsi="Times New Roman" w:cs="Times New Roman"/>
          <w:b/>
          <w:bCs/>
          <w:i/>
          <w:iCs/>
          <w:sz w:val="28"/>
          <w:szCs w:val="28"/>
        </w:rPr>
      </w:pPr>
      <w:r>
        <w:rPr>
          <w:rFonts w:ascii="Times New Roman" w:hAnsi="Times New Roman"/>
          <w:b/>
          <w:i/>
          <w:sz w:val="28"/>
        </w:rPr>
        <w:t>Poprawa ochrony ofiar i ogółu społeczeństwa</w:t>
      </w:r>
    </w:p>
    <w:p w14:paraId="015682C2" w14:textId="77777777" w:rsidR="00AD044B" w:rsidRPr="000A4609" w:rsidRDefault="00AD044B" w:rsidP="000A4609">
      <w:pPr>
        <w:jc w:val="both"/>
        <w:rPr>
          <w:rFonts w:ascii="Times New Roman" w:hAnsi="Times New Roman" w:cs="Times New Roman"/>
          <w:sz w:val="28"/>
          <w:szCs w:val="28"/>
        </w:rPr>
      </w:pPr>
      <w:r>
        <w:rPr>
          <w:rFonts w:ascii="Times New Roman" w:hAnsi="Times New Roman"/>
          <w:sz w:val="28"/>
        </w:rPr>
        <w:t xml:space="preserve">Jednym z celów decyzji ramowej Rady jest poprawa ochrony ofiar i ogółu społeczeństwa. W większości przypadków przeniesienie środków nadzoru do innego państwa członkowskiego oznacza, że osoba skazana znajdzie się z dala od swojej ofiary, która pozostaje w państwie członkowskim wydającym nakaz. </w:t>
      </w:r>
    </w:p>
    <w:p w14:paraId="6EE30977" w14:textId="77777777" w:rsidR="00AD044B" w:rsidRPr="000A4609" w:rsidRDefault="00AD044B" w:rsidP="000A4609">
      <w:pPr>
        <w:jc w:val="both"/>
        <w:rPr>
          <w:rFonts w:ascii="Times New Roman" w:hAnsi="Times New Roman" w:cs="Times New Roman"/>
          <w:sz w:val="28"/>
          <w:szCs w:val="28"/>
        </w:rPr>
      </w:pPr>
      <w:r>
        <w:rPr>
          <w:rFonts w:ascii="Times New Roman" w:hAnsi="Times New Roman"/>
          <w:sz w:val="28"/>
        </w:rPr>
        <w:t>Problemy mogą pojawić się, gdy ofiara mieszka w państwie członkowskim wykonującym nakaz, ale nawet w takich przypadkach, w przypadku poważnych przestępstw lub przestępstw związanych z płcią podstawową, obowiązek niezbliżania się do ofiar jest zawarty w wyroku wstępnym i może być znacznie łatwiej weryfikowany przez właściwe organy w państwie członkowskim wykonującym nakaz.</w:t>
      </w:r>
    </w:p>
    <w:p w14:paraId="394F502D" w14:textId="055E9FDE" w:rsidR="0027440C" w:rsidRPr="007B45FE" w:rsidRDefault="00AD044B" w:rsidP="000A4609">
      <w:pPr>
        <w:jc w:val="both"/>
        <w:rPr>
          <w:rFonts w:ascii="Times New Roman" w:hAnsi="Times New Roman" w:cs="Times New Roman"/>
          <w:sz w:val="28"/>
          <w:szCs w:val="28"/>
        </w:rPr>
      </w:pPr>
      <w:r>
        <w:rPr>
          <w:rFonts w:ascii="Times New Roman" w:hAnsi="Times New Roman"/>
          <w:sz w:val="28"/>
        </w:rPr>
        <w:t>Poprawie ulega również ochrona ogółu społeczeństwa, ponieważ skazany będzie miał wystarczające powiązania z państwem członkowskim wykonującym wyrok, co pomoże mu w lepszej resocjalizacji i reintegracji ze społeczeństwem.</w:t>
      </w:r>
    </w:p>
    <w:p w14:paraId="476732FC" w14:textId="17A88EE5" w:rsidR="007465E7" w:rsidRPr="000A4609" w:rsidRDefault="007465E7" w:rsidP="000A4609">
      <w:pPr>
        <w:pStyle w:val="Akapitzlist"/>
        <w:numPr>
          <w:ilvl w:val="0"/>
          <w:numId w:val="15"/>
        </w:numPr>
        <w:ind w:left="0" w:firstLine="0"/>
        <w:contextualSpacing w:val="0"/>
        <w:jc w:val="both"/>
        <w:rPr>
          <w:rFonts w:ascii="Times New Roman" w:hAnsi="Times New Roman" w:cs="Times New Roman"/>
          <w:b/>
          <w:bCs/>
          <w:i/>
          <w:iCs/>
          <w:sz w:val="28"/>
          <w:szCs w:val="28"/>
        </w:rPr>
      </w:pPr>
      <w:r>
        <w:rPr>
          <w:rFonts w:ascii="Times New Roman" w:hAnsi="Times New Roman"/>
          <w:b/>
          <w:i/>
          <w:sz w:val="28"/>
        </w:rPr>
        <w:t>Większe szanse na uzyskanie wyroku bez kary pozbawienia wolności w przypadku uznania winy na końcu procesu</w:t>
      </w:r>
    </w:p>
    <w:p w14:paraId="66823444" w14:textId="1A27BD99" w:rsidR="007465E7" w:rsidRPr="007B45FE" w:rsidRDefault="007465E7" w:rsidP="000A4609">
      <w:pPr>
        <w:jc w:val="both"/>
        <w:rPr>
          <w:rFonts w:ascii="Times New Roman" w:hAnsi="Times New Roman" w:cs="Times New Roman"/>
          <w:i/>
          <w:iCs/>
          <w:sz w:val="28"/>
          <w:szCs w:val="28"/>
        </w:rPr>
      </w:pPr>
      <w:r>
        <w:rPr>
          <w:rFonts w:ascii="Times New Roman" w:hAnsi="Times New Roman"/>
          <w:sz w:val="28"/>
        </w:rPr>
        <w:t>Jeżeli nadzór nad podejrzanym będzie przebiegał prawidłowo w państwie członkowskim wykonującym nakaz, wzrosną szanse na zastosowanie wobec podejrzanego kary niepolegającej na pozbawieniu wolności (np. zastosowanie kary w zawieszeniu i przekazanie nadzoru zgodnie z decyzją ramową rady 2008/947/WSiSW).</w:t>
      </w:r>
    </w:p>
    <w:p w14:paraId="7F99E705" w14:textId="07EE3410" w:rsidR="00795BBB" w:rsidRPr="000A4609" w:rsidRDefault="00795BBB" w:rsidP="000A4609">
      <w:pPr>
        <w:pStyle w:val="Akapitzlist"/>
        <w:numPr>
          <w:ilvl w:val="0"/>
          <w:numId w:val="15"/>
        </w:numPr>
        <w:ind w:left="0" w:firstLine="0"/>
        <w:contextualSpacing w:val="0"/>
        <w:jc w:val="both"/>
        <w:rPr>
          <w:rFonts w:ascii="Times New Roman" w:hAnsi="Times New Roman" w:cs="Times New Roman"/>
          <w:b/>
          <w:bCs/>
          <w:i/>
          <w:iCs/>
          <w:sz w:val="28"/>
          <w:szCs w:val="28"/>
        </w:rPr>
      </w:pPr>
      <w:r>
        <w:rPr>
          <w:rFonts w:ascii="Times New Roman" w:hAnsi="Times New Roman"/>
          <w:b/>
          <w:i/>
          <w:sz w:val="28"/>
        </w:rPr>
        <w:t>Wzmocnienie wzajemnego zaufania i współpracy między państwami członkowskimi w odniesieniu do przyszłych spraw</w:t>
      </w:r>
    </w:p>
    <w:p w14:paraId="70DD46CC" w14:textId="5923A178" w:rsidR="00A508B5" w:rsidRPr="000A4609" w:rsidRDefault="00795BBB" w:rsidP="000A4609">
      <w:pPr>
        <w:jc w:val="both"/>
        <w:rPr>
          <w:rFonts w:ascii="Times New Roman" w:hAnsi="Times New Roman" w:cs="Times New Roman"/>
          <w:sz w:val="28"/>
          <w:szCs w:val="28"/>
        </w:rPr>
      </w:pPr>
      <w:r>
        <w:rPr>
          <w:rFonts w:ascii="Times New Roman" w:hAnsi="Times New Roman"/>
          <w:sz w:val="28"/>
        </w:rPr>
        <w:t xml:space="preserve">Współpraca między państwami członkowskimi w sprawach objętych decyzją ramową rady wzmocni wzajemne zaufanie w odniesieniu do przyszłych spraw. </w:t>
      </w:r>
      <w:r>
        <w:rPr>
          <w:rFonts w:ascii="Times New Roman" w:hAnsi="Times New Roman"/>
          <w:sz w:val="28"/>
        </w:rPr>
        <w:lastRenderedPageBreak/>
        <w:t>Przypadki zakończone sukcesem zachęcą jeszcze więcej państw członkowskich do współpracy w celu lepszego osiągnięcia celów określonych w art. 2 decyzji ramowej Rady.</w:t>
      </w:r>
    </w:p>
    <w:p w14:paraId="60775629" w14:textId="77777777" w:rsidR="009708DE" w:rsidRDefault="00B51518" w:rsidP="009708DE">
      <w:pPr>
        <w:rPr>
          <w:rFonts w:ascii="Times New Roman" w:hAnsi="Times New Roman" w:cs="Times New Roman"/>
          <w:sz w:val="28"/>
          <w:szCs w:val="28"/>
        </w:rPr>
      </w:pPr>
      <w:r>
        <w:br w:type="page"/>
      </w:r>
    </w:p>
    <w:p w14:paraId="007A19CC" w14:textId="18AF3F5F" w:rsidR="00C95645" w:rsidRPr="009708DE" w:rsidRDefault="00B86907" w:rsidP="009708DE">
      <w:pPr>
        <w:pStyle w:val="Test"/>
        <w:shd w:val="clear" w:color="auto" w:fill="DED888"/>
        <w:spacing w:after="160"/>
        <w:jc w:val="center"/>
        <w:rPr>
          <w:rStyle w:val="Pogrubienie"/>
          <w:rFonts w:ascii="Times New Roman" w:hAnsi="Times New Roman"/>
          <w:b/>
          <w:bCs w:val="0"/>
          <w:color w:val="2F5496" w:themeColor="accent1" w:themeShade="BF"/>
          <w:sz w:val="32"/>
          <w:szCs w:val="32"/>
        </w:rPr>
      </w:pPr>
      <w:r>
        <w:rPr>
          <w:rStyle w:val="Pogrubienie"/>
          <w:rFonts w:ascii="Times New Roman" w:hAnsi="Times New Roman"/>
          <w:b/>
          <w:color w:val="2F5496" w:themeColor="accent1" w:themeShade="BF"/>
          <w:sz w:val="32"/>
        </w:rPr>
        <w:lastRenderedPageBreak/>
        <w:t>Załącznik</w:t>
      </w:r>
      <w:r w:rsidR="006368E7">
        <w:rPr>
          <w:rStyle w:val="Pogrubienie"/>
          <w:rFonts w:ascii="Times New Roman" w:hAnsi="Times New Roman"/>
          <w:b/>
          <w:color w:val="2F5496" w:themeColor="accent1" w:themeShade="BF"/>
          <w:sz w:val="32"/>
        </w:rPr>
        <w:t>. Rozwiązania krok po kroku</w:t>
      </w:r>
    </w:p>
    <w:p w14:paraId="2450E9DD" w14:textId="77777777" w:rsidR="00C95645" w:rsidRDefault="00C95645" w:rsidP="00C95645">
      <w:pPr>
        <w:spacing w:after="0" w:line="240" w:lineRule="auto"/>
        <w:ind w:left="360"/>
        <w:jc w:val="both"/>
        <w:rPr>
          <w:rFonts w:ascii="Times New Roman" w:hAnsi="Times New Roman"/>
          <w:b/>
          <w:bCs/>
          <w:sz w:val="28"/>
          <w:szCs w:val="28"/>
          <w:lang w:val="en-US"/>
        </w:rPr>
      </w:pPr>
    </w:p>
    <w:p w14:paraId="4F287C88" w14:textId="77777777" w:rsidR="00C95645" w:rsidRPr="008A2531" w:rsidRDefault="00C95645" w:rsidP="008A2531">
      <w:pPr>
        <w:pStyle w:val="Akapitzlist"/>
        <w:numPr>
          <w:ilvl w:val="0"/>
          <w:numId w:val="35"/>
        </w:numPr>
        <w:spacing w:after="0" w:line="240" w:lineRule="auto"/>
        <w:ind w:left="426" w:hanging="436"/>
        <w:jc w:val="both"/>
        <w:rPr>
          <w:rFonts w:ascii="Times New Roman" w:hAnsi="Times New Roman" w:cs="Times New Roman"/>
          <w:b/>
          <w:sz w:val="28"/>
          <w:szCs w:val="28"/>
        </w:rPr>
      </w:pPr>
      <w:r>
        <w:rPr>
          <w:rFonts w:ascii="Times New Roman" w:hAnsi="Times New Roman"/>
          <w:b/>
          <w:color w:val="FF0000"/>
          <w:sz w:val="28"/>
        </w:rPr>
        <w:t>Właściwy organ niemiecki chce przekazać nadzór nad oskarżonym A.N., który legalnie i zwyczajowo przebywa w Brukseli (Belgia).</w:t>
      </w:r>
    </w:p>
    <w:p w14:paraId="5F3E3E8D" w14:textId="77777777" w:rsidR="00C95645" w:rsidRDefault="00C95645" w:rsidP="00C95645">
      <w:pPr>
        <w:spacing w:after="0" w:line="240" w:lineRule="auto"/>
        <w:jc w:val="both"/>
        <w:rPr>
          <w:rFonts w:ascii="Times New Roman" w:hAnsi="Times New Roman"/>
          <w:sz w:val="28"/>
          <w:szCs w:val="28"/>
          <w:lang w:val="en-US"/>
        </w:rPr>
      </w:pPr>
    </w:p>
    <w:p w14:paraId="71F29C8F"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 xml:space="preserve">1. W celu określenia właściwego organu wybieramy </w:t>
      </w:r>
      <w:r>
        <w:rPr>
          <w:rFonts w:ascii="Times New Roman" w:hAnsi="Times New Roman"/>
          <w:b/>
          <w:sz w:val="28"/>
        </w:rPr>
        <w:t>Belgię</w:t>
      </w:r>
      <w:r>
        <w:rPr>
          <w:rFonts w:ascii="Times New Roman" w:hAnsi="Times New Roman"/>
          <w:sz w:val="28"/>
        </w:rPr>
        <w:t xml:space="preserve"> jako wybrany kraj (BE). Następnie wybieramy sekcję </w:t>
      </w:r>
      <w:r>
        <w:rPr>
          <w:rFonts w:ascii="Times New Roman" w:hAnsi="Times New Roman"/>
          <w:b/>
          <w:sz w:val="28"/>
        </w:rPr>
        <w:t>Atlas</w:t>
      </w:r>
      <w:r>
        <w:rPr>
          <w:rFonts w:ascii="Times New Roman" w:hAnsi="Times New Roman"/>
          <w:sz w:val="28"/>
        </w:rPr>
        <w:t>, jak pokazano poniżej.</w:t>
      </w:r>
    </w:p>
    <w:p w14:paraId="115E6DA9" w14:textId="77777777" w:rsidR="00C95645" w:rsidRDefault="00C95645" w:rsidP="00C95645">
      <w:pPr>
        <w:spacing w:after="0" w:line="240" w:lineRule="auto"/>
        <w:jc w:val="both"/>
        <w:rPr>
          <w:rFonts w:ascii="Times New Roman" w:hAnsi="Times New Roman"/>
          <w:sz w:val="28"/>
          <w:szCs w:val="28"/>
          <w:lang w:val="en-US"/>
        </w:rPr>
      </w:pPr>
    </w:p>
    <w:p w14:paraId="6EA19EE5" w14:textId="1911A4E0" w:rsidR="00C95645" w:rsidRDefault="00C95645" w:rsidP="00C95645">
      <w:pPr>
        <w:spacing w:after="0" w:line="240" w:lineRule="auto"/>
        <w:jc w:val="both"/>
        <w:rPr>
          <w:rFonts w:ascii="Times New Roman" w:hAnsi="Times New Roman"/>
          <w:sz w:val="28"/>
          <w:szCs w:val="28"/>
        </w:rPr>
      </w:pPr>
      <w:r>
        <w:rPr>
          <w:noProof/>
          <w:lang w:eastAsia="pl-PL"/>
        </w:rPr>
        <w:drawing>
          <wp:inline distT="0" distB="0" distL="0" distR="0" wp14:anchorId="06193DA4" wp14:editId="651606D9">
            <wp:extent cx="5734050" cy="4495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4495800"/>
                    </a:xfrm>
                    <a:prstGeom prst="rect">
                      <a:avLst/>
                    </a:prstGeom>
                    <a:noFill/>
                    <a:ln>
                      <a:noFill/>
                    </a:ln>
                  </pic:spPr>
                </pic:pic>
              </a:graphicData>
            </a:graphic>
          </wp:inline>
        </w:drawing>
      </w:r>
    </w:p>
    <w:p w14:paraId="13408917" w14:textId="2DD7E24A" w:rsidR="00C95645" w:rsidRDefault="00C95645" w:rsidP="000A4609">
      <w:pPr>
        <w:jc w:val="both"/>
        <w:rPr>
          <w:rFonts w:ascii="Times New Roman" w:hAnsi="Times New Roman" w:cs="Times New Roman"/>
          <w:sz w:val="28"/>
          <w:szCs w:val="28"/>
          <w:lang w:val="en-US"/>
        </w:rPr>
      </w:pPr>
    </w:p>
    <w:p w14:paraId="4E110DCB" w14:textId="54EEEA62" w:rsidR="00C95645" w:rsidRDefault="00C95645">
      <w:pPr>
        <w:rPr>
          <w:rFonts w:ascii="Times New Roman" w:hAnsi="Times New Roman" w:cs="Times New Roman"/>
          <w:sz w:val="28"/>
          <w:szCs w:val="28"/>
        </w:rPr>
      </w:pPr>
      <w:r>
        <w:br w:type="page"/>
      </w:r>
    </w:p>
    <w:p w14:paraId="443BE6C8"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lastRenderedPageBreak/>
        <w:t xml:space="preserve">2. Wybieramy środek </w:t>
      </w:r>
      <w:r>
        <w:rPr>
          <w:rFonts w:ascii="Times New Roman" w:hAnsi="Times New Roman"/>
          <w:b/>
          <w:sz w:val="28"/>
        </w:rPr>
        <w:t>905</w:t>
      </w:r>
      <w:r>
        <w:rPr>
          <w:rFonts w:ascii="Times New Roman" w:hAnsi="Times New Roman"/>
          <w:sz w:val="28"/>
        </w:rPr>
        <w:t>.</w:t>
      </w:r>
      <w:r>
        <w:rPr>
          <w:rFonts w:ascii="Times New Roman" w:hAnsi="Times New Roman"/>
          <w:b/>
          <w:sz w:val="28"/>
        </w:rPr>
        <w:t xml:space="preserve"> Wykonanie środka nadzoru</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14:paraId="491154F5" w14:textId="77777777" w:rsidR="00C95645" w:rsidRDefault="00C95645" w:rsidP="00C95645">
      <w:pPr>
        <w:spacing w:after="0" w:line="240" w:lineRule="auto"/>
        <w:jc w:val="both"/>
        <w:rPr>
          <w:rFonts w:ascii="Times New Roman" w:hAnsi="Times New Roman"/>
          <w:sz w:val="28"/>
          <w:szCs w:val="28"/>
          <w:lang w:val="en-US"/>
        </w:rPr>
      </w:pPr>
    </w:p>
    <w:p w14:paraId="38F50DBA" w14:textId="7DC385A7" w:rsidR="00C95645" w:rsidRDefault="00C95645" w:rsidP="00C95645">
      <w:pPr>
        <w:spacing w:after="0" w:line="240" w:lineRule="auto"/>
        <w:jc w:val="both"/>
        <w:rPr>
          <w:rFonts w:ascii="Times New Roman" w:hAnsi="Times New Roman"/>
          <w:sz w:val="28"/>
          <w:szCs w:val="28"/>
        </w:rPr>
      </w:pPr>
      <w:r>
        <w:rPr>
          <w:noProof/>
          <w:lang w:eastAsia="pl-PL"/>
        </w:rPr>
        <w:drawing>
          <wp:inline distT="0" distB="0" distL="0" distR="0" wp14:anchorId="07AEEC1F" wp14:editId="751690F2">
            <wp:extent cx="5734050" cy="37242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724275"/>
                    </a:xfrm>
                    <a:prstGeom prst="rect">
                      <a:avLst/>
                    </a:prstGeom>
                    <a:noFill/>
                    <a:ln>
                      <a:noFill/>
                    </a:ln>
                  </pic:spPr>
                </pic:pic>
              </a:graphicData>
            </a:graphic>
          </wp:inline>
        </w:drawing>
      </w:r>
    </w:p>
    <w:p w14:paraId="2C1C606E" w14:textId="77777777" w:rsidR="00C95645" w:rsidRDefault="00C95645" w:rsidP="00C95645">
      <w:pPr>
        <w:spacing w:after="0" w:line="240" w:lineRule="auto"/>
        <w:jc w:val="both"/>
        <w:rPr>
          <w:rFonts w:ascii="Times New Roman" w:hAnsi="Times New Roman"/>
          <w:sz w:val="28"/>
          <w:szCs w:val="28"/>
          <w:lang w:val="en-US"/>
        </w:rPr>
      </w:pPr>
    </w:p>
    <w:p w14:paraId="57AC16DA"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 xml:space="preserve">3. Przedstawiamy </w:t>
      </w:r>
      <w:r>
        <w:rPr>
          <w:rFonts w:ascii="Times New Roman" w:hAnsi="Times New Roman"/>
          <w:b/>
          <w:sz w:val="28"/>
        </w:rPr>
        <w:t>Brussel</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14:paraId="7FF5A08D" w14:textId="77777777" w:rsidR="00C95645" w:rsidRDefault="00C95645" w:rsidP="00C95645">
      <w:pPr>
        <w:spacing w:after="0" w:line="240" w:lineRule="auto"/>
        <w:jc w:val="both"/>
        <w:rPr>
          <w:rFonts w:ascii="Times New Roman" w:hAnsi="Times New Roman"/>
          <w:sz w:val="28"/>
          <w:szCs w:val="28"/>
          <w:lang w:val="en-US"/>
        </w:rPr>
      </w:pPr>
    </w:p>
    <w:p w14:paraId="0D1D4EFE" w14:textId="52E0E0FB" w:rsidR="00C95645" w:rsidRDefault="00C95645" w:rsidP="00C95645">
      <w:pPr>
        <w:spacing w:after="0" w:line="240" w:lineRule="auto"/>
        <w:jc w:val="both"/>
        <w:rPr>
          <w:rFonts w:ascii="Times New Roman" w:hAnsi="Times New Roman"/>
          <w:sz w:val="28"/>
          <w:szCs w:val="28"/>
        </w:rPr>
      </w:pPr>
      <w:r>
        <w:rPr>
          <w:noProof/>
          <w:lang w:eastAsia="pl-PL"/>
        </w:rPr>
        <w:drawing>
          <wp:inline distT="0" distB="0" distL="0" distR="0" wp14:anchorId="5CA515A3" wp14:editId="6661D979">
            <wp:extent cx="5734050" cy="36004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600450"/>
                    </a:xfrm>
                    <a:prstGeom prst="rect">
                      <a:avLst/>
                    </a:prstGeom>
                    <a:noFill/>
                    <a:ln>
                      <a:noFill/>
                    </a:ln>
                  </pic:spPr>
                </pic:pic>
              </a:graphicData>
            </a:graphic>
          </wp:inline>
        </w:drawing>
      </w:r>
    </w:p>
    <w:p w14:paraId="6CA2969A" w14:textId="161EE57F" w:rsidR="00C95645" w:rsidRDefault="00C95645">
      <w:pPr>
        <w:rPr>
          <w:rFonts w:ascii="Times New Roman" w:hAnsi="Times New Roman" w:cs="Times New Roman"/>
          <w:sz w:val="28"/>
          <w:szCs w:val="28"/>
        </w:rPr>
      </w:pPr>
    </w:p>
    <w:p w14:paraId="55BF6EC3"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4. Na koniec otrzymujemy wynik naszego wyszukiwania jak na rysunku poniżej.</w:t>
      </w:r>
    </w:p>
    <w:p w14:paraId="2C09060F" w14:textId="77777777" w:rsidR="00C95645" w:rsidRDefault="00C95645" w:rsidP="00C95645">
      <w:pPr>
        <w:spacing w:after="0" w:line="240" w:lineRule="auto"/>
        <w:jc w:val="both"/>
        <w:rPr>
          <w:rFonts w:ascii="Times New Roman" w:hAnsi="Times New Roman"/>
          <w:sz w:val="28"/>
          <w:szCs w:val="28"/>
          <w:lang w:val="en-US"/>
        </w:rPr>
      </w:pPr>
    </w:p>
    <w:p w14:paraId="713A3168" w14:textId="2CEA9C3D" w:rsidR="00C95645" w:rsidRDefault="00C95645" w:rsidP="00C95645">
      <w:pPr>
        <w:spacing w:after="0" w:line="240" w:lineRule="auto"/>
        <w:jc w:val="both"/>
        <w:rPr>
          <w:rFonts w:ascii="Times New Roman" w:hAnsi="Times New Roman"/>
          <w:sz w:val="28"/>
          <w:szCs w:val="28"/>
        </w:rPr>
      </w:pPr>
      <w:r>
        <w:rPr>
          <w:noProof/>
          <w:lang w:eastAsia="pl-PL"/>
        </w:rPr>
        <w:drawing>
          <wp:inline distT="0" distB="0" distL="0" distR="0" wp14:anchorId="6903E6F0" wp14:editId="4EEE7425">
            <wp:extent cx="5724525" cy="47053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4705350"/>
                    </a:xfrm>
                    <a:prstGeom prst="rect">
                      <a:avLst/>
                    </a:prstGeom>
                    <a:noFill/>
                    <a:ln>
                      <a:noFill/>
                    </a:ln>
                  </pic:spPr>
                </pic:pic>
              </a:graphicData>
            </a:graphic>
          </wp:inline>
        </w:drawing>
      </w:r>
    </w:p>
    <w:p w14:paraId="6E0FE958" w14:textId="3F78A01C" w:rsidR="00C95645" w:rsidRDefault="00C95645" w:rsidP="000A4609">
      <w:pPr>
        <w:jc w:val="both"/>
        <w:rPr>
          <w:rFonts w:ascii="Times New Roman" w:hAnsi="Times New Roman" w:cs="Times New Roman"/>
          <w:sz w:val="28"/>
          <w:szCs w:val="28"/>
          <w:lang w:val="en-US"/>
        </w:rPr>
      </w:pPr>
    </w:p>
    <w:p w14:paraId="11A324BF" w14:textId="3AC56D4F" w:rsidR="00C95645" w:rsidRDefault="00C95645">
      <w:pPr>
        <w:rPr>
          <w:rFonts w:ascii="Times New Roman" w:hAnsi="Times New Roman" w:cs="Times New Roman"/>
          <w:sz w:val="28"/>
          <w:szCs w:val="28"/>
        </w:rPr>
      </w:pPr>
      <w:r>
        <w:br w:type="page"/>
      </w:r>
    </w:p>
    <w:p w14:paraId="51070204" w14:textId="77777777" w:rsidR="00C95645" w:rsidRPr="008A2531" w:rsidRDefault="00C95645" w:rsidP="008A2531">
      <w:pPr>
        <w:pStyle w:val="Akapitzlist"/>
        <w:numPr>
          <w:ilvl w:val="0"/>
          <w:numId w:val="35"/>
        </w:numPr>
        <w:spacing w:after="0" w:line="240" w:lineRule="auto"/>
        <w:ind w:left="426" w:hanging="436"/>
        <w:jc w:val="both"/>
        <w:rPr>
          <w:rFonts w:ascii="Times New Roman" w:hAnsi="Times New Roman" w:cs="Times New Roman"/>
          <w:b/>
          <w:color w:val="FF0000"/>
          <w:sz w:val="28"/>
          <w:szCs w:val="28"/>
        </w:rPr>
      </w:pPr>
      <w:r>
        <w:rPr>
          <w:rFonts w:ascii="Times New Roman" w:hAnsi="Times New Roman"/>
          <w:b/>
          <w:color w:val="FF0000"/>
          <w:sz w:val="28"/>
        </w:rPr>
        <w:lastRenderedPageBreak/>
        <w:t>Właściwy organ francuski chce przekazać nadzór nad oskarżonym B.C., który legalnie i zwyczajowo przebywa w Vigo w Hiszpanii.</w:t>
      </w:r>
    </w:p>
    <w:p w14:paraId="42FF32D6" w14:textId="0C9FEA67" w:rsidR="00C95645" w:rsidRDefault="00C95645" w:rsidP="000A4609">
      <w:pPr>
        <w:jc w:val="both"/>
        <w:rPr>
          <w:rFonts w:ascii="Times New Roman" w:hAnsi="Times New Roman" w:cs="Times New Roman"/>
          <w:sz w:val="28"/>
          <w:szCs w:val="28"/>
          <w:lang w:val="en-US"/>
        </w:rPr>
      </w:pPr>
    </w:p>
    <w:p w14:paraId="5C070E94" w14:textId="2153846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 xml:space="preserve">1. W celu określenia właściwego organu jako wybrany kraj (ES) wybieramy </w:t>
      </w:r>
      <w:r>
        <w:rPr>
          <w:rFonts w:ascii="Times New Roman" w:hAnsi="Times New Roman"/>
          <w:b/>
          <w:sz w:val="28"/>
        </w:rPr>
        <w:t>Hiszpanię</w:t>
      </w:r>
      <w:r>
        <w:rPr>
          <w:rFonts w:ascii="Times New Roman" w:hAnsi="Times New Roman"/>
          <w:sz w:val="28"/>
        </w:rPr>
        <w:t xml:space="preserve">. Następnie wybieramy sekcję </w:t>
      </w:r>
      <w:r>
        <w:rPr>
          <w:rFonts w:ascii="Times New Roman" w:hAnsi="Times New Roman"/>
          <w:b/>
          <w:sz w:val="28"/>
        </w:rPr>
        <w:t>Atlas</w:t>
      </w:r>
      <w:r>
        <w:rPr>
          <w:rFonts w:ascii="Times New Roman" w:hAnsi="Times New Roman"/>
          <w:sz w:val="28"/>
        </w:rPr>
        <w:t>, jak pokazano poniżej.</w:t>
      </w:r>
    </w:p>
    <w:p w14:paraId="15C71FC8" w14:textId="7F5EC0D5" w:rsidR="00C95645" w:rsidRDefault="00C95645" w:rsidP="00C95645">
      <w:pPr>
        <w:spacing w:after="0" w:line="240" w:lineRule="auto"/>
        <w:jc w:val="both"/>
        <w:rPr>
          <w:rFonts w:ascii="Times New Roman" w:hAnsi="Times New Roman"/>
          <w:sz w:val="28"/>
          <w:szCs w:val="28"/>
        </w:rPr>
      </w:pPr>
    </w:p>
    <w:p w14:paraId="131AF13C" w14:textId="4F580904" w:rsidR="00C95645" w:rsidRDefault="00C95645" w:rsidP="00C95645">
      <w:pPr>
        <w:spacing w:after="0"/>
        <w:jc w:val="both"/>
        <w:rPr>
          <w:rFonts w:ascii="Times New Roman" w:hAnsi="Times New Roman"/>
          <w:sz w:val="28"/>
          <w:szCs w:val="28"/>
        </w:rPr>
      </w:pPr>
      <w:r>
        <w:rPr>
          <w:noProof/>
          <w:lang w:eastAsia="pl-PL"/>
        </w:rPr>
        <w:drawing>
          <wp:inline distT="0" distB="0" distL="0" distR="0" wp14:anchorId="7A1CFA1F" wp14:editId="01645C4B">
            <wp:extent cx="5734050" cy="307657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076575"/>
                    </a:xfrm>
                    <a:prstGeom prst="rect">
                      <a:avLst/>
                    </a:prstGeom>
                    <a:noFill/>
                    <a:ln>
                      <a:noFill/>
                    </a:ln>
                  </pic:spPr>
                </pic:pic>
              </a:graphicData>
            </a:graphic>
          </wp:inline>
        </w:drawing>
      </w:r>
    </w:p>
    <w:p w14:paraId="0BA53968" w14:textId="05EB167C" w:rsidR="00C95645" w:rsidRDefault="00C95645" w:rsidP="00C95645">
      <w:pPr>
        <w:spacing w:after="0"/>
        <w:jc w:val="both"/>
        <w:rPr>
          <w:rFonts w:ascii="Times New Roman" w:hAnsi="Times New Roman"/>
          <w:sz w:val="28"/>
          <w:szCs w:val="28"/>
          <w:lang w:val="en-US"/>
        </w:rPr>
      </w:pPr>
    </w:p>
    <w:p w14:paraId="5C97FD82"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 xml:space="preserve">2. Wybieramy środek </w:t>
      </w:r>
      <w:r>
        <w:rPr>
          <w:rFonts w:ascii="Times New Roman" w:hAnsi="Times New Roman"/>
          <w:b/>
          <w:sz w:val="28"/>
        </w:rPr>
        <w:t>905</w:t>
      </w:r>
      <w:r>
        <w:rPr>
          <w:rFonts w:ascii="Times New Roman" w:hAnsi="Times New Roman"/>
          <w:sz w:val="28"/>
        </w:rPr>
        <w:t>.</w:t>
      </w:r>
      <w:r>
        <w:rPr>
          <w:rFonts w:ascii="Times New Roman" w:hAnsi="Times New Roman"/>
          <w:b/>
          <w:sz w:val="28"/>
        </w:rPr>
        <w:t xml:space="preserve"> Wykonanie środka nadzoru</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14:paraId="4DE53CF1" w14:textId="77777777" w:rsidR="00C95645" w:rsidRDefault="00C95645" w:rsidP="00C95645">
      <w:pPr>
        <w:spacing w:after="0"/>
        <w:jc w:val="both"/>
        <w:rPr>
          <w:rFonts w:ascii="Times New Roman" w:hAnsi="Times New Roman"/>
          <w:sz w:val="28"/>
          <w:szCs w:val="28"/>
          <w:lang w:val="en-US"/>
        </w:rPr>
      </w:pPr>
    </w:p>
    <w:p w14:paraId="6E5FC5C9" w14:textId="680E20B5" w:rsidR="00C95645" w:rsidRDefault="00C95645" w:rsidP="00C95645">
      <w:pPr>
        <w:spacing w:after="0"/>
        <w:jc w:val="both"/>
        <w:rPr>
          <w:rFonts w:ascii="Times New Roman" w:hAnsi="Times New Roman"/>
          <w:sz w:val="28"/>
          <w:szCs w:val="28"/>
        </w:rPr>
      </w:pPr>
      <w:r>
        <w:rPr>
          <w:noProof/>
          <w:lang w:eastAsia="pl-PL"/>
        </w:rPr>
        <w:drawing>
          <wp:inline distT="0" distB="0" distL="0" distR="0" wp14:anchorId="44B482B4" wp14:editId="1320B00A">
            <wp:extent cx="5734050" cy="34194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229A4593"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lastRenderedPageBreak/>
        <w:t xml:space="preserve">3. Tutaj musimy wybrać jedną z 3 opcji. Wybierzemy </w:t>
      </w:r>
      <w:r>
        <w:rPr>
          <w:rFonts w:ascii="Times New Roman" w:hAnsi="Times New Roman"/>
          <w:b/>
          <w:sz w:val="28"/>
        </w:rPr>
        <w:t>reżim ogólny</w:t>
      </w:r>
      <w:r>
        <w:rPr>
          <w:rFonts w:ascii="Times New Roman" w:hAnsi="Times New Roman"/>
          <w:sz w:val="28"/>
        </w:rPr>
        <w:t xml:space="preserve">, jak wspomniano w wymaganiach ćwiczenia. Następnie wybieramy sekcję </w:t>
      </w:r>
      <w:r>
        <w:rPr>
          <w:rFonts w:ascii="Times New Roman" w:hAnsi="Times New Roman"/>
          <w:b/>
          <w:sz w:val="28"/>
        </w:rPr>
        <w:t>Dalej</w:t>
      </w:r>
      <w:r>
        <w:rPr>
          <w:rFonts w:ascii="Times New Roman" w:hAnsi="Times New Roman"/>
          <w:sz w:val="28"/>
        </w:rPr>
        <w:t>, jak pokazano poniżej.</w:t>
      </w:r>
    </w:p>
    <w:p w14:paraId="136BEE0C" w14:textId="77777777" w:rsidR="00C95645" w:rsidRDefault="00C95645" w:rsidP="00C95645">
      <w:pPr>
        <w:spacing w:after="0"/>
        <w:jc w:val="both"/>
        <w:rPr>
          <w:rFonts w:ascii="Times New Roman" w:hAnsi="Times New Roman"/>
          <w:sz w:val="28"/>
          <w:szCs w:val="28"/>
          <w:lang w:val="en-US"/>
        </w:rPr>
      </w:pPr>
    </w:p>
    <w:p w14:paraId="2E980D70" w14:textId="75F9B8EA" w:rsidR="00C95645" w:rsidRDefault="00C95645" w:rsidP="00C95645">
      <w:pPr>
        <w:spacing w:after="0"/>
        <w:jc w:val="both"/>
        <w:rPr>
          <w:rFonts w:ascii="Times New Roman" w:hAnsi="Times New Roman"/>
          <w:sz w:val="28"/>
          <w:szCs w:val="28"/>
        </w:rPr>
      </w:pPr>
      <w:r>
        <w:rPr>
          <w:noProof/>
          <w:lang w:eastAsia="pl-PL"/>
        </w:rPr>
        <w:drawing>
          <wp:inline distT="0" distB="0" distL="0" distR="0" wp14:anchorId="65670554" wp14:editId="542DA402">
            <wp:extent cx="5734050" cy="330517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3305175"/>
                    </a:xfrm>
                    <a:prstGeom prst="rect">
                      <a:avLst/>
                    </a:prstGeom>
                    <a:noFill/>
                    <a:ln>
                      <a:noFill/>
                    </a:ln>
                  </pic:spPr>
                </pic:pic>
              </a:graphicData>
            </a:graphic>
          </wp:inline>
        </w:drawing>
      </w:r>
    </w:p>
    <w:p w14:paraId="1A485BAE" w14:textId="77777777" w:rsidR="00C95645" w:rsidRDefault="00C95645" w:rsidP="00C95645">
      <w:pPr>
        <w:spacing w:after="0"/>
        <w:jc w:val="both"/>
        <w:rPr>
          <w:rFonts w:ascii="Times New Roman" w:hAnsi="Times New Roman"/>
          <w:sz w:val="28"/>
          <w:szCs w:val="28"/>
          <w:lang w:val="en-US"/>
        </w:rPr>
      </w:pPr>
    </w:p>
    <w:p w14:paraId="64F1DB74"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 xml:space="preserve">4. Przedstawiamy </w:t>
      </w:r>
      <w:r>
        <w:rPr>
          <w:rFonts w:ascii="Times New Roman" w:hAnsi="Times New Roman"/>
          <w:b/>
          <w:sz w:val="28"/>
        </w:rPr>
        <w:t>Vigo (Hiszpania)</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14:paraId="2D7CE8A7" w14:textId="77777777" w:rsidR="00C95645" w:rsidRDefault="00C95645" w:rsidP="00C95645">
      <w:pPr>
        <w:spacing w:after="0"/>
        <w:jc w:val="both"/>
        <w:rPr>
          <w:rFonts w:ascii="Times New Roman" w:hAnsi="Times New Roman"/>
          <w:sz w:val="28"/>
          <w:szCs w:val="28"/>
          <w:lang w:val="en-US"/>
        </w:rPr>
      </w:pPr>
    </w:p>
    <w:p w14:paraId="2BF61DA5" w14:textId="648FC68B" w:rsidR="00C95645" w:rsidRDefault="00C95645" w:rsidP="00C95645">
      <w:pPr>
        <w:spacing w:after="0"/>
        <w:jc w:val="both"/>
        <w:rPr>
          <w:rFonts w:ascii="Times New Roman" w:hAnsi="Times New Roman"/>
          <w:sz w:val="28"/>
          <w:szCs w:val="28"/>
        </w:rPr>
      </w:pPr>
      <w:r>
        <w:rPr>
          <w:noProof/>
          <w:lang w:eastAsia="pl-PL"/>
        </w:rPr>
        <w:drawing>
          <wp:inline distT="0" distB="0" distL="0" distR="0" wp14:anchorId="3C444866" wp14:editId="5E6F07EC">
            <wp:extent cx="5724525" cy="35052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3505200"/>
                    </a:xfrm>
                    <a:prstGeom prst="rect">
                      <a:avLst/>
                    </a:prstGeom>
                    <a:noFill/>
                    <a:ln>
                      <a:noFill/>
                    </a:ln>
                  </pic:spPr>
                </pic:pic>
              </a:graphicData>
            </a:graphic>
          </wp:inline>
        </w:drawing>
      </w:r>
    </w:p>
    <w:p w14:paraId="1BDC07A7" w14:textId="77777777" w:rsidR="00C95645" w:rsidRDefault="00C95645" w:rsidP="00C95645">
      <w:pPr>
        <w:spacing w:after="0"/>
        <w:jc w:val="both"/>
        <w:rPr>
          <w:rFonts w:ascii="Times New Roman" w:hAnsi="Times New Roman"/>
          <w:sz w:val="28"/>
          <w:szCs w:val="28"/>
          <w:lang w:val="en-US"/>
        </w:rPr>
      </w:pPr>
    </w:p>
    <w:p w14:paraId="2BB8B6B6"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lastRenderedPageBreak/>
        <w:t>5. Na koniec otrzymujemy wynik naszego wyszukiwania jak na rysunku poniżej.</w:t>
      </w:r>
    </w:p>
    <w:p w14:paraId="68461C16" w14:textId="77777777" w:rsidR="00C95645" w:rsidRDefault="00C95645" w:rsidP="00C95645">
      <w:pPr>
        <w:spacing w:after="0"/>
        <w:jc w:val="both"/>
        <w:rPr>
          <w:rFonts w:ascii="Times New Roman" w:hAnsi="Times New Roman"/>
          <w:sz w:val="28"/>
          <w:szCs w:val="28"/>
          <w:lang w:val="en-US"/>
        </w:rPr>
      </w:pPr>
    </w:p>
    <w:p w14:paraId="64B06C21" w14:textId="32EB0D3B" w:rsidR="00C95645" w:rsidRDefault="00C95645" w:rsidP="00C95645">
      <w:pPr>
        <w:spacing w:after="0"/>
        <w:jc w:val="both"/>
        <w:rPr>
          <w:rFonts w:ascii="Times New Roman" w:hAnsi="Times New Roman"/>
          <w:sz w:val="28"/>
          <w:szCs w:val="28"/>
        </w:rPr>
      </w:pPr>
      <w:r>
        <w:rPr>
          <w:noProof/>
          <w:lang w:eastAsia="pl-PL"/>
        </w:rPr>
        <w:drawing>
          <wp:inline distT="0" distB="0" distL="0" distR="0" wp14:anchorId="21F4143A" wp14:editId="08AEBF3C">
            <wp:extent cx="5734050" cy="50863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5086350"/>
                    </a:xfrm>
                    <a:prstGeom prst="rect">
                      <a:avLst/>
                    </a:prstGeom>
                    <a:noFill/>
                    <a:ln>
                      <a:noFill/>
                    </a:ln>
                  </pic:spPr>
                </pic:pic>
              </a:graphicData>
            </a:graphic>
          </wp:inline>
        </w:drawing>
      </w:r>
    </w:p>
    <w:p w14:paraId="5F311CA8" w14:textId="77777777" w:rsidR="00C95645" w:rsidRDefault="00C95645" w:rsidP="00C95645">
      <w:pPr>
        <w:spacing w:after="0"/>
        <w:jc w:val="both"/>
        <w:rPr>
          <w:rFonts w:ascii="Times New Roman" w:hAnsi="Times New Roman"/>
          <w:sz w:val="28"/>
          <w:szCs w:val="28"/>
          <w:lang w:val="en-US"/>
        </w:rPr>
      </w:pPr>
    </w:p>
    <w:p w14:paraId="6B33A0DC" w14:textId="7E675F41" w:rsidR="00C95645" w:rsidRDefault="00C95645">
      <w:pPr>
        <w:rPr>
          <w:rFonts w:ascii="Times New Roman" w:hAnsi="Times New Roman"/>
          <w:sz w:val="28"/>
          <w:szCs w:val="28"/>
        </w:rPr>
      </w:pPr>
      <w:r>
        <w:br w:type="page"/>
      </w:r>
    </w:p>
    <w:p w14:paraId="779C7012" w14:textId="77777777" w:rsidR="00C95645" w:rsidRPr="008A2531" w:rsidRDefault="00C95645" w:rsidP="008A2531">
      <w:pPr>
        <w:pStyle w:val="Akapitzlist"/>
        <w:numPr>
          <w:ilvl w:val="0"/>
          <w:numId w:val="35"/>
        </w:numPr>
        <w:spacing w:after="0" w:line="240" w:lineRule="auto"/>
        <w:ind w:left="426" w:hanging="436"/>
        <w:jc w:val="both"/>
        <w:rPr>
          <w:rFonts w:ascii="Times New Roman" w:hAnsi="Times New Roman" w:cs="Times New Roman"/>
          <w:b/>
          <w:color w:val="FF0000"/>
          <w:sz w:val="28"/>
          <w:szCs w:val="28"/>
        </w:rPr>
      </w:pPr>
      <w:r>
        <w:rPr>
          <w:rFonts w:ascii="Times New Roman" w:hAnsi="Times New Roman"/>
          <w:b/>
          <w:color w:val="FF0000"/>
          <w:sz w:val="28"/>
        </w:rPr>
        <w:lastRenderedPageBreak/>
        <w:t>Właściwy organ hiszpański chce przekazać nadzór nad oskarżonym M.M., który legalnie i zwyczajowo przebywa we Wiedniu (Austria).</w:t>
      </w:r>
    </w:p>
    <w:p w14:paraId="5EBE441C" w14:textId="77777777" w:rsidR="00C95645" w:rsidRDefault="00C95645" w:rsidP="00C95645">
      <w:pPr>
        <w:spacing w:after="0"/>
        <w:jc w:val="both"/>
        <w:rPr>
          <w:rFonts w:ascii="Times New Roman" w:hAnsi="Times New Roman"/>
          <w:sz w:val="28"/>
          <w:szCs w:val="28"/>
          <w:lang w:val="en-US"/>
        </w:rPr>
      </w:pPr>
    </w:p>
    <w:p w14:paraId="735E6D53" w14:textId="77777777" w:rsidR="00C95645" w:rsidRDefault="00C95645" w:rsidP="00C95645">
      <w:pPr>
        <w:pStyle w:val="Akapitzlist"/>
        <w:spacing w:after="0" w:line="240" w:lineRule="auto"/>
        <w:jc w:val="both"/>
        <w:rPr>
          <w:rFonts w:ascii="Times New Roman" w:hAnsi="Times New Roman"/>
          <w:sz w:val="28"/>
          <w:szCs w:val="28"/>
        </w:rPr>
      </w:pPr>
      <w:r>
        <w:rPr>
          <w:rFonts w:ascii="Times New Roman" w:hAnsi="Times New Roman"/>
          <w:sz w:val="28"/>
        </w:rPr>
        <w:t xml:space="preserve">1. W celu określenia właściwego organu wybieramy </w:t>
      </w:r>
      <w:r>
        <w:rPr>
          <w:rFonts w:ascii="Times New Roman" w:hAnsi="Times New Roman"/>
          <w:b/>
          <w:sz w:val="28"/>
        </w:rPr>
        <w:t>Austrię</w:t>
      </w:r>
      <w:r>
        <w:rPr>
          <w:rFonts w:ascii="Times New Roman" w:hAnsi="Times New Roman"/>
          <w:sz w:val="28"/>
        </w:rPr>
        <w:t xml:space="preserve"> jako wybrany kraj (AT). Następnie wybieramy sekcję </w:t>
      </w:r>
      <w:r>
        <w:rPr>
          <w:rFonts w:ascii="Times New Roman" w:hAnsi="Times New Roman"/>
          <w:b/>
          <w:sz w:val="28"/>
        </w:rPr>
        <w:t>Atlas</w:t>
      </w:r>
      <w:r>
        <w:rPr>
          <w:rFonts w:ascii="Times New Roman" w:hAnsi="Times New Roman"/>
          <w:sz w:val="28"/>
        </w:rPr>
        <w:t>, jak pokazano poniżej.</w:t>
      </w:r>
    </w:p>
    <w:p w14:paraId="08950BAE" w14:textId="77777777" w:rsidR="00C95645" w:rsidRDefault="00C95645" w:rsidP="00C95645">
      <w:pPr>
        <w:spacing w:after="0"/>
        <w:jc w:val="both"/>
        <w:rPr>
          <w:rFonts w:ascii="Times New Roman" w:hAnsi="Times New Roman"/>
          <w:sz w:val="28"/>
          <w:szCs w:val="28"/>
          <w:lang w:val="en-US"/>
        </w:rPr>
      </w:pPr>
    </w:p>
    <w:p w14:paraId="58EDD5DF" w14:textId="62AC9C4F" w:rsidR="00C95645" w:rsidRDefault="00C95645" w:rsidP="00C95645">
      <w:pPr>
        <w:spacing w:after="0"/>
        <w:jc w:val="both"/>
        <w:rPr>
          <w:rFonts w:ascii="Times New Roman" w:hAnsi="Times New Roman"/>
          <w:sz w:val="28"/>
          <w:szCs w:val="28"/>
        </w:rPr>
      </w:pPr>
      <w:r>
        <w:rPr>
          <w:noProof/>
          <w:lang w:eastAsia="pl-PL"/>
        </w:rPr>
        <w:drawing>
          <wp:inline distT="0" distB="0" distL="0" distR="0" wp14:anchorId="5531D252" wp14:editId="599C77CB">
            <wp:extent cx="5734050" cy="492442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4924425"/>
                    </a:xfrm>
                    <a:prstGeom prst="rect">
                      <a:avLst/>
                    </a:prstGeom>
                    <a:noFill/>
                    <a:ln>
                      <a:noFill/>
                    </a:ln>
                  </pic:spPr>
                </pic:pic>
              </a:graphicData>
            </a:graphic>
          </wp:inline>
        </w:drawing>
      </w:r>
    </w:p>
    <w:p w14:paraId="3732A6AD" w14:textId="77777777" w:rsidR="00C95645" w:rsidRDefault="00C95645" w:rsidP="00C95645">
      <w:pPr>
        <w:spacing w:after="0"/>
        <w:jc w:val="both"/>
        <w:rPr>
          <w:rFonts w:ascii="Times New Roman" w:hAnsi="Times New Roman"/>
          <w:sz w:val="28"/>
          <w:szCs w:val="28"/>
          <w:lang w:val="en-US"/>
        </w:rPr>
      </w:pPr>
    </w:p>
    <w:p w14:paraId="2D310C72" w14:textId="77777777" w:rsidR="00C95645" w:rsidRDefault="00C95645" w:rsidP="00C95645">
      <w:pPr>
        <w:spacing w:after="0"/>
        <w:jc w:val="both"/>
        <w:rPr>
          <w:rFonts w:ascii="Times New Roman" w:hAnsi="Times New Roman"/>
          <w:sz w:val="28"/>
          <w:szCs w:val="28"/>
          <w:lang w:val="en-US"/>
        </w:rPr>
      </w:pPr>
    </w:p>
    <w:p w14:paraId="3A320373" w14:textId="12F55C51" w:rsidR="00C95645" w:rsidRDefault="00C95645">
      <w:pPr>
        <w:rPr>
          <w:rFonts w:ascii="Times New Roman" w:hAnsi="Times New Roman" w:cs="Times New Roman"/>
          <w:sz w:val="28"/>
          <w:szCs w:val="28"/>
        </w:rPr>
      </w:pPr>
      <w:r>
        <w:br w:type="page"/>
      </w:r>
    </w:p>
    <w:p w14:paraId="1434D8F7" w14:textId="77777777" w:rsidR="00C95645" w:rsidRDefault="00C95645" w:rsidP="00C95645">
      <w:pPr>
        <w:spacing w:after="0"/>
        <w:jc w:val="both"/>
        <w:rPr>
          <w:rFonts w:ascii="Times New Roman" w:hAnsi="Times New Roman"/>
          <w:sz w:val="28"/>
          <w:szCs w:val="28"/>
        </w:rPr>
      </w:pPr>
      <w:r>
        <w:rPr>
          <w:rFonts w:ascii="Times New Roman" w:hAnsi="Times New Roman"/>
          <w:sz w:val="28"/>
        </w:rPr>
        <w:lastRenderedPageBreak/>
        <w:t xml:space="preserve">2. Wybieramy środek </w:t>
      </w:r>
      <w:r>
        <w:rPr>
          <w:rFonts w:ascii="Times New Roman" w:hAnsi="Times New Roman"/>
          <w:b/>
          <w:sz w:val="28"/>
        </w:rPr>
        <w:t>905</w:t>
      </w:r>
      <w:r>
        <w:rPr>
          <w:rFonts w:ascii="Times New Roman" w:hAnsi="Times New Roman"/>
          <w:sz w:val="28"/>
        </w:rPr>
        <w:t>.</w:t>
      </w:r>
      <w:r>
        <w:rPr>
          <w:rFonts w:ascii="Times New Roman" w:hAnsi="Times New Roman"/>
          <w:b/>
          <w:sz w:val="28"/>
        </w:rPr>
        <w:t xml:space="preserve"> Wykonanie środka nadzoru</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14:paraId="4A743BA5" w14:textId="0055D2AA" w:rsidR="00C95645" w:rsidRDefault="00C95645" w:rsidP="00C95645">
      <w:pPr>
        <w:spacing w:after="0"/>
        <w:jc w:val="both"/>
        <w:rPr>
          <w:rFonts w:ascii="Times New Roman" w:hAnsi="Times New Roman"/>
          <w:sz w:val="28"/>
          <w:szCs w:val="28"/>
        </w:rPr>
      </w:pPr>
      <w:r>
        <w:rPr>
          <w:noProof/>
          <w:lang w:eastAsia="pl-PL"/>
        </w:rPr>
        <w:drawing>
          <wp:inline distT="0" distB="0" distL="0" distR="0" wp14:anchorId="2AB89FA8" wp14:editId="16BD89A2">
            <wp:extent cx="5734050" cy="39433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3943350"/>
                    </a:xfrm>
                    <a:prstGeom prst="rect">
                      <a:avLst/>
                    </a:prstGeom>
                    <a:noFill/>
                    <a:ln>
                      <a:noFill/>
                    </a:ln>
                  </pic:spPr>
                </pic:pic>
              </a:graphicData>
            </a:graphic>
          </wp:inline>
        </w:drawing>
      </w:r>
    </w:p>
    <w:p w14:paraId="68210075" w14:textId="77777777" w:rsidR="00C95645" w:rsidRDefault="00C95645" w:rsidP="00C95645">
      <w:pPr>
        <w:spacing w:after="0"/>
        <w:jc w:val="both"/>
        <w:rPr>
          <w:rFonts w:ascii="Times New Roman" w:hAnsi="Times New Roman"/>
          <w:sz w:val="28"/>
          <w:szCs w:val="28"/>
          <w:lang w:val="en-US"/>
        </w:rPr>
      </w:pPr>
    </w:p>
    <w:p w14:paraId="551B6856" w14:textId="0B2CA867" w:rsidR="00C95645" w:rsidRDefault="00C95645" w:rsidP="00C95645">
      <w:pPr>
        <w:spacing w:after="0"/>
        <w:jc w:val="both"/>
        <w:rPr>
          <w:rFonts w:ascii="Times New Roman" w:hAnsi="Times New Roman"/>
          <w:sz w:val="28"/>
          <w:szCs w:val="28"/>
        </w:rPr>
      </w:pPr>
      <w:r>
        <w:rPr>
          <w:rFonts w:ascii="Times New Roman" w:hAnsi="Times New Roman"/>
          <w:sz w:val="28"/>
        </w:rPr>
        <w:t xml:space="preserve">3. Przedstawiamy </w:t>
      </w:r>
      <w:r w:rsidR="00B86907">
        <w:rPr>
          <w:rFonts w:ascii="Times New Roman" w:hAnsi="Times New Roman"/>
          <w:b/>
          <w:sz w:val="28"/>
        </w:rPr>
        <w:t>Wiedeń</w:t>
      </w:r>
      <w:r>
        <w:rPr>
          <w:rFonts w:ascii="Times New Roman" w:hAnsi="Times New Roman"/>
          <w:b/>
          <w:sz w:val="28"/>
        </w:rPr>
        <w:t xml:space="preserve"> (Austria)</w:t>
      </w:r>
      <w:r>
        <w:rPr>
          <w:rFonts w:ascii="Times New Roman" w:hAnsi="Times New Roman"/>
          <w:sz w:val="28"/>
        </w:rPr>
        <w:t xml:space="preserve">. Następnie wybieramy sekcję </w:t>
      </w:r>
      <w:r>
        <w:rPr>
          <w:rFonts w:ascii="Times New Roman" w:hAnsi="Times New Roman"/>
          <w:b/>
          <w:sz w:val="28"/>
        </w:rPr>
        <w:t>Dalej</w:t>
      </w:r>
      <w:r>
        <w:rPr>
          <w:rFonts w:ascii="Times New Roman" w:hAnsi="Times New Roman"/>
          <w:sz w:val="28"/>
        </w:rPr>
        <w:t>, jak pokazano poniżej.</w:t>
      </w:r>
    </w:p>
    <w:p w14:paraId="177E914C" w14:textId="016E707A" w:rsidR="00C95645" w:rsidRDefault="00C95645" w:rsidP="00C95645">
      <w:pPr>
        <w:spacing w:after="0"/>
        <w:jc w:val="both"/>
        <w:rPr>
          <w:rFonts w:ascii="Times New Roman" w:hAnsi="Times New Roman"/>
          <w:sz w:val="28"/>
          <w:szCs w:val="28"/>
        </w:rPr>
      </w:pPr>
      <w:r>
        <w:rPr>
          <w:noProof/>
          <w:lang w:eastAsia="pl-PL"/>
        </w:rPr>
        <w:drawing>
          <wp:inline distT="0" distB="0" distL="0" distR="0" wp14:anchorId="07D1BC63" wp14:editId="699B2F32">
            <wp:extent cx="5734050" cy="34194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6D98D338" w14:textId="77777777" w:rsidR="00C95645" w:rsidRDefault="00C95645" w:rsidP="00C95645">
      <w:pPr>
        <w:spacing w:after="0"/>
        <w:jc w:val="both"/>
        <w:rPr>
          <w:rFonts w:ascii="Times New Roman" w:hAnsi="Times New Roman"/>
          <w:sz w:val="28"/>
          <w:szCs w:val="28"/>
          <w:lang w:val="en-US"/>
        </w:rPr>
      </w:pPr>
    </w:p>
    <w:p w14:paraId="0366EE8A" w14:textId="77777777"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lastRenderedPageBreak/>
        <w:t>4. Na koniec otrzymujemy wynik naszego wyszukiwania jak na rysunku poniżej.</w:t>
      </w:r>
    </w:p>
    <w:p w14:paraId="1ED9D164" w14:textId="77777777" w:rsidR="00C95645" w:rsidRDefault="00C95645" w:rsidP="00C95645">
      <w:pPr>
        <w:spacing w:after="0"/>
        <w:jc w:val="both"/>
        <w:rPr>
          <w:rFonts w:ascii="Times New Roman" w:hAnsi="Times New Roman"/>
          <w:sz w:val="28"/>
          <w:szCs w:val="28"/>
          <w:lang w:val="en-US"/>
        </w:rPr>
      </w:pPr>
    </w:p>
    <w:p w14:paraId="2542B814" w14:textId="77777777" w:rsidR="00C95645" w:rsidRDefault="00C95645" w:rsidP="00C95645">
      <w:pPr>
        <w:spacing w:after="0"/>
        <w:jc w:val="both"/>
        <w:rPr>
          <w:rFonts w:ascii="Times New Roman" w:hAnsi="Times New Roman"/>
          <w:sz w:val="28"/>
          <w:szCs w:val="28"/>
          <w:lang w:val="en-US"/>
        </w:rPr>
      </w:pPr>
    </w:p>
    <w:p w14:paraId="0B9CAD70" w14:textId="0F42F097" w:rsidR="00C95645" w:rsidRDefault="00C95645" w:rsidP="00C95645">
      <w:pPr>
        <w:spacing w:after="0"/>
        <w:jc w:val="both"/>
        <w:rPr>
          <w:rFonts w:ascii="Times New Roman" w:hAnsi="Times New Roman"/>
          <w:sz w:val="28"/>
          <w:szCs w:val="28"/>
        </w:rPr>
      </w:pPr>
      <w:r>
        <w:rPr>
          <w:noProof/>
          <w:lang w:eastAsia="pl-PL"/>
        </w:rPr>
        <w:drawing>
          <wp:inline distT="0" distB="0" distL="0" distR="0" wp14:anchorId="1AC7F0A0" wp14:editId="1A9989AA">
            <wp:extent cx="5734050" cy="47244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4724400"/>
                    </a:xfrm>
                    <a:prstGeom prst="rect">
                      <a:avLst/>
                    </a:prstGeom>
                    <a:noFill/>
                    <a:ln>
                      <a:noFill/>
                    </a:ln>
                  </pic:spPr>
                </pic:pic>
              </a:graphicData>
            </a:graphic>
          </wp:inline>
        </w:drawing>
      </w:r>
    </w:p>
    <w:p w14:paraId="69E34C31" w14:textId="4FEED98E" w:rsidR="00C95645" w:rsidRDefault="00C95645" w:rsidP="000A4609">
      <w:pPr>
        <w:jc w:val="both"/>
        <w:rPr>
          <w:rFonts w:ascii="Times New Roman" w:hAnsi="Times New Roman" w:cs="Times New Roman"/>
          <w:sz w:val="28"/>
          <w:szCs w:val="28"/>
          <w:lang w:val="en-US"/>
        </w:rPr>
      </w:pPr>
    </w:p>
    <w:p w14:paraId="191CE9B1" w14:textId="053DDB42" w:rsidR="00C95645" w:rsidRDefault="00C95645" w:rsidP="000A4609">
      <w:pPr>
        <w:jc w:val="both"/>
        <w:rPr>
          <w:rFonts w:ascii="Times New Roman" w:hAnsi="Times New Roman" w:cs="Times New Roman"/>
          <w:sz w:val="28"/>
          <w:szCs w:val="28"/>
          <w:lang w:val="en-US"/>
        </w:rPr>
      </w:pPr>
    </w:p>
    <w:p w14:paraId="0088B7A2" w14:textId="5036C38E" w:rsidR="00C95645" w:rsidRPr="003E6963" w:rsidRDefault="00C95645" w:rsidP="003E6963">
      <w:pPr>
        <w:rPr>
          <w:rFonts w:ascii="Times New Roman" w:hAnsi="Times New Roman" w:cs="Times New Roman"/>
          <w:sz w:val="28"/>
          <w:szCs w:val="28"/>
        </w:rPr>
      </w:pPr>
      <w:r>
        <w:br w:type="page"/>
      </w:r>
    </w:p>
    <w:p w14:paraId="17F98118" w14:textId="2D8E22F0" w:rsidR="00C95645" w:rsidRPr="008A2531" w:rsidRDefault="00C95645" w:rsidP="008A2531">
      <w:pPr>
        <w:spacing w:line="256" w:lineRule="auto"/>
        <w:jc w:val="center"/>
        <w:rPr>
          <w:rFonts w:ascii="Times New Roman" w:hAnsi="Times New Roman" w:cs="Times New Roman"/>
          <w:b/>
          <w:bCs/>
          <w:i/>
          <w:sz w:val="32"/>
          <w:szCs w:val="28"/>
        </w:rPr>
      </w:pPr>
      <w:r>
        <w:rPr>
          <w:rFonts w:ascii="Times New Roman" w:hAnsi="Times New Roman"/>
          <w:b/>
          <w:i/>
          <w:sz w:val="32"/>
        </w:rPr>
        <w:lastRenderedPageBreak/>
        <w:t>Rozwiązanie pytania nr 4 do scenariusza przypadku.</w:t>
      </w:r>
    </w:p>
    <w:p w14:paraId="2AF1F064" w14:textId="59DA34E2" w:rsidR="00C95645" w:rsidRDefault="00C95645" w:rsidP="000A4609">
      <w:pPr>
        <w:jc w:val="both"/>
        <w:rPr>
          <w:rFonts w:ascii="Times New Roman" w:hAnsi="Times New Roman" w:cs="Times New Roman"/>
          <w:sz w:val="28"/>
          <w:szCs w:val="28"/>
        </w:rPr>
      </w:pPr>
    </w:p>
    <w:p w14:paraId="2EF01E5D" w14:textId="77777777" w:rsidR="003E6963" w:rsidRDefault="003E6963" w:rsidP="003E6963">
      <w:pPr>
        <w:suppressAutoHyphens/>
        <w:autoSpaceDN w:val="0"/>
        <w:spacing w:after="0" w:line="240" w:lineRule="auto"/>
        <w:ind w:left="108"/>
        <w:jc w:val="both"/>
        <w:textAlignment w:val="baseline"/>
        <w:rPr>
          <w:rFonts w:ascii="Times New Roman" w:eastAsia="Calibri" w:hAnsi="Times New Roman" w:cs="Times New Roman"/>
          <w:sz w:val="28"/>
          <w:szCs w:val="28"/>
        </w:rPr>
      </w:pPr>
      <w:r>
        <w:rPr>
          <w:rFonts w:ascii="Times New Roman" w:hAnsi="Times New Roman"/>
          <w:sz w:val="28"/>
        </w:rPr>
        <w:t xml:space="preserve">Informacje dotyczące właściwych organów jako właściwych organów wydających nakaz lub wykonujących można znaleźć na stronie internetowej EJN pod adresem </w:t>
      </w:r>
      <w:hyperlink r:id="rId35" w:history="1">
        <w:r>
          <w:rPr>
            <w:rStyle w:val="Hipercze"/>
            <w:rFonts w:ascii="Times New Roman" w:hAnsi="Times New Roman"/>
            <w:color w:val="0563C1"/>
            <w:sz w:val="28"/>
          </w:rPr>
          <w:t>www.ejn-crimjust.europa.eu</w:t>
        </w:r>
      </w:hyperlink>
      <w:r>
        <w:rPr>
          <w:rFonts w:ascii="Times New Roman" w:hAnsi="Times New Roman"/>
          <w:sz w:val="28"/>
        </w:rPr>
        <w:t xml:space="preserve"> (informacje podane dla każdego państwa członkowskiego):</w:t>
      </w:r>
    </w:p>
    <w:p w14:paraId="4CC9A954" w14:textId="77777777" w:rsidR="003E6963" w:rsidRDefault="003E6963" w:rsidP="003E6963">
      <w:pPr>
        <w:suppressAutoHyphens/>
        <w:autoSpaceDN w:val="0"/>
        <w:spacing w:after="0" w:line="240" w:lineRule="auto"/>
        <w:ind w:left="108"/>
        <w:jc w:val="both"/>
        <w:textAlignment w:val="baseline"/>
        <w:rPr>
          <w:rFonts w:ascii="Calibri" w:eastAsia="Calibri" w:hAnsi="Calibri" w:cs="Times New Roman"/>
          <w:lang w:val="en-US"/>
        </w:rPr>
      </w:pPr>
    </w:p>
    <w:p w14:paraId="6F71E9A8" w14:textId="77777777" w:rsidR="003E6963" w:rsidRDefault="003E6963" w:rsidP="003E6963">
      <w:pPr>
        <w:suppressAutoHyphens/>
        <w:autoSpaceDN w:val="0"/>
        <w:spacing w:after="0" w:line="240" w:lineRule="auto"/>
        <w:ind w:left="108"/>
        <w:jc w:val="both"/>
        <w:textAlignment w:val="baseline"/>
        <w:rPr>
          <w:rFonts w:ascii="Times New Roman" w:eastAsia="Calibri" w:hAnsi="Times New Roman" w:cs="Times New Roman"/>
          <w:sz w:val="28"/>
          <w:szCs w:val="28"/>
        </w:rPr>
      </w:pPr>
      <w:r>
        <w:rPr>
          <w:rFonts w:ascii="Times New Roman" w:hAnsi="Times New Roman"/>
          <w:b/>
          <w:sz w:val="28"/>
        </w:rPr>
        <w:t>Rumunia – informacje podane poniżej</w:t>
      </w:r>
      <w:r>
        <w:rPr>
          <w:rFonts w:ascii="Times New Roman" w:hAnsi="Times New Roman"/>
          <w:sz w:val="28"/>
        </w:rPr>
        <w:t>:</w:t>
      </w:r>
    </w:p>
    <w:p w14:paraId="001DD2B0" w14:textId="77777777" w:rsidR="003E6963" w:rsidRDefault="00AE5F7B" w:rsidP="003E6963">
      <w:pPr>
        <w:suppressAutoHyphens/>
        <w:autoSpaceDN w:val="0"/>
        <w:spacing w:after="0" w:line="240" w:lineRule="auto"/>
        <w:ind w:left="108"/>
        <w:jc w:val="both"/>
        <w:textAlignment w:val="baseline"/>
        <w:rPr>
          <w:rFonts w:ascii="Times New Roman" w:hAnsi="Times New Roman"/>
          <w:color w:val="0563C1"/>
          <w:sz w:val="28"/>
          <w:szCs w:val="28"/>
        </w:rPr>
      </w:pPr>
      <w:hyperlink r:id="rId36" w:history="1">
        <w:r w:rsidR="00536F2F">
          <w:rPr>
            <w:rStyle w:val="Hipercze"/>
            <w:rFonts w:ascii="Times New Roman" w:hAnsi="Times New Roman"/>
            <w:sz w:val="28"/>
          </w:rPr>
          <w:t>https://www.ejn-crimjust.europa.eu/ejn/libdocumentproperties.aspx?Id=1229</w:t>
        </w:r>
      </w:hyperlink>
    </w:p>
    <w:p w14:paraId="132858C5" w14:textId="77777777" w:rsidR="003E6963" w:rsidRDefault="003E6963" w:rsidP="003E6963">
      <w:pPr>
        <w:suppressAutoHyphens/>
        <w:autoSpaceDN w:val="0"/>
        <w:spacing w:after="0" w:line="240" w:lineRule="auto"/>
        <w:ind w:left="108"/>
        <w:jc w:val="both"/>
        <w:textAlignment w:val="baseline"/>
        <w:rPr>
          <w:rFonts w:ascii="Times New Roman" w:hAnsi="Times New Roman"/>
          <w:color w:val="0563C1"/>
          <w:sz w:val="28"/>
          <w:szCs w:val="28"/>
          <w:u w:val="single"/>
          <w:lang w:val="en-US"/>
        </w:rPr>
      </w:pPr>
    </w:p>
    <w:p w14:paraId="232BAC2A" w14:textId="5D78922F" w:rsidR="00C95645" w:rsidRDefault="00C95645" w:rsidP="000A4609">
      <w:pPr>
        <w:jc w:val="both"/>
        <w:rPr>
          <w:rFonts w:ascii="Times New Roman" w:hAnsi="Times New Roman" w:cs="Times New Roman"/>
          <w:sz w:val="28"/>
          <w:szCs w:val="28"/>
        </w:rPr>
      </w:pPr>
    </w:p>
    <w:p w14:paraId="44EB0F3F" w14:textId="6EB54FE1" w:rsidR="00C95645" w:rsidRDefault="003E6963" w:rsidP="000A4609">
      <w:pPr>
        <w:jc w:val="both"/>
        <w:rPr>
          <w:rFonts w:ascii="Times New Roman" w:hAnsi="Times New Roman" w:cs="Times New Roman"/>
          <w:sz w:val="28"/>
          <w:szCs w:val="28"/>
        </w:rPr>
      </w:pPr>
      <w:r>
        <w:rPr>
          <w:noProof/>
          <w:lang w:eastAsia="pl-PL"/>
        </w:rPr>
        <w:drawing>
          <wp:inline distT="0" distB="0" distL="0" distR="0" wp14:anchorId="6BF9C745" wp14:editId="42FCF611">
            <wp:extent cx="5731510" cy="3495675"/>
            <wp:effectExtent l="0" t="0" r="2540" b="952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7"/>
                    <a:stretch>
                      <a:fillRect/>
                    </a:stretch>
                  </pic:blipFill>
                  <pic:spPr>
                    <a:xfrm>
                      <a:off x="0" y="0"/>
                      <a:ext cx="5731510" cy="3495675"/>
                    </a:xfrm>
                    <a:prstGeom prst="rect">
                      <a:avLst/>
                    </a:prstGeom>
                  </pic:spPr>
                </pic:pic>
              </a:graphicData>
            </a:graphic>
          </wp:inline>
        </w:drawing>
      </w:r>
    </w:p>
    <w:p w14:paraId="3CC64C72" w14:textId="77777777" w:rsidR="003E6963" w:rsidRPr="003E6963" w:rsidRDefault="003E6963" w:rsidP="000A4609">
      <w:pPr>
        <w:jc w:val="both"/>
        <w:rPr>
          <w:rFonts w:ascii="Times New Roman" w:hAnsi="Times New Roman" w:cs="Times New Roman"/>
          <w:sz w:val="28"/>
          <w:szCs w:val="28"/>
        </w:rPr>
      </w:pPr>
    </w:p>
    <w:p w14:paraId="4AB07DC5" w14:textId="65E29827" w:rsidR="003E6963" w:rsidRDefault="003E6963" w:rsidP="003E6963">
      <w:pPr>
        <w:rPr>
          <w:rFonts w:ascii="Times New Roman" w:hAnsi="Times New Roman" w:cs="Times New Roman"/>
          <w:b/>
          <w:bCs/>
          <w:sz w:val="28"/>
          <w:szCs w:val="28"/>
        </w:rPr>
      </w:pPr>
      <w:r>
        <w:rPr>
          <w:noProof/>
          <w:lang w:eastAsia="pl-PL"/>
        </w:rPr>
        <w:lastRenderedPageBreak/>
        <w:drawing>
          <wp:inline distT="0" distB="0" distL="0" distR="0" wp14:anchorId="4F8C0BE0" wp14:editId="617879B9">
            <wp:extent cx="5734050" cy="40386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4038600"/>
                    </a:xfrm>
                    <a:prstGeom prst="rect">
                      <a:avLst/>
                    </a:prstGeom>
                    <a:noFill/>
                    <a:ln>
                      <a:noFill/>
                    </a:ln>
                  </pic:spPr>
                </pic:pic>
              </a:graphicData>
            </a:graphic>
          </wp:inline>
        </w:drawing>
      </w:r>
    </w:p>
    <w:p w14:paraId="1ABD1961" w14:textId="3C09EAAC" w:rsidR="003E6963" w:rsidRDefault="003E6963" w:rsidP="000A4609">
      <w:pPr>
        <w:jc w:val="both"/>
        <w:rPr>
          <w:rFonts w:ascii="Times New Roman" w:hAnsi="Times New Roman" w:cs="Times New Roman"/>
          <w:sz w:val="28"/>
          <w:szCs w:val="28"/>
          <w:lang w:val="en-US"/>
        </w:rPr>
      </w:pPr>
    </w:p>
    <w:p w14:paraId="4D0DA8CA" w14:textId="20113BFB" w:rsidR="003E6963" w:rsidRDefault="003E6963" w:rsidP="003E6963">
      <w:pPr>
        <w:rPr>
          <w:rFonts w:ascii="Times New Roman" w:hAnsi="Times New Roman" w:cs="Times New Roman"/>
          <w:sz w:val="28"/>
          <w:szCs w:val="28"/>
        </w:rPr>
      </w:pPr>
      <w:r>
        <w:br w:type="page"/>
      </w:r>
    </w:p>
    <w:p w14:paraId="087092EA" w14:textId="77777777" w:rsidR="003E6963" w:rsidRDefault="003E6963" w:rsidP="003E6963">
      <w:pPr>
        <w:suppressAutoHyphens/>
        <w:autoSpaceDN w:val="0"/>
        <w:spacing w:after="0" w:line="240" w:lineRule="auto"/>
        <w:ind w:left="108"/>
        <w:jc w:val="both"/>
        <w:textAlignment w:val="baseline"/>
        <w:rPr>
          <w:rFonts w:ascii="Times New Roman" w:eastAsia="Calibri" w:hAnsi="Times New Roman" w:cs="Times New Roman"/>
          <w:sz w:val="28"/>
          <w:szCs w:val="28"/>
        </w:rPr>
      </w:pPr>
      <w:r>
        <w:rPr>
          <w:rFonts w:ascii="Times New Roman" w:hAnsi="Times New Roman"/>
          <w:b/>
          <w:sz w:val="28"/>
        </w:rPr>
        <w:lastRenderedPageBreak/>
        <w:t>Austria – informacje podane poniżej</w:t>
      </w:r>
      <w:r>
        <w:rPr>
          <w:rFonts w:ascii="Times New Roman" w:hAnsi="Times New Roman"/>
          <w:sz w:val="28"/>
        </w:rPr>
        <w:t>:</w:t>
      </w:r>
    </w:p>
    <w:p w14:paraId="61C0DDB1" w14:textId="77777777" w:rsidR="003E6963" w:rsidRDefault="003E6963" w:rsidP="003E6963">
      <w:pPr>
        <w:suppressAutoHyphens/>
        <w:autoSpaceDN w:val="0"/>
        <w:spacing w:after="0" w:line="240" w:lineRule="auto"/>
        <w:ind w:left="108"/>
        <w:jc w:val="both"/>
        <w:textAlignment w:val="baseline"/>
        <w:rPr>
          <w:rFonts w:ascii="Times New Roman" w:eastAsia="Calibri" w:hAnsi="Times New Roman" w:cs="Times New Roman"/>
          <w:color w:val="0563C1"/>
          <w:sz w:val="28"/>
          <w:szCs w:val="28"/>
          <w:u w:val="single"/>
        </w:rPr>
      </w:pPr>
      <w:r>
        <w:rPr>
          <w:rFonts w:ascii="Times New Roman" w:hAnsi="Times New Roman"/>
          <w:color w:val="0563C1"/>
          <w:sz w:val="28"/>
          <w:u w:val="single"/>
        </w:rPr>
        <w:t>shttps://www.ejn-crimjust.europa.eu/ejn/libdocumentproperties.aspx?Id=1176</w:t>
      </w:r>
    </w:p>
    <w:p w14:paraId="3F05C277" w14:textId="77777777" w:rsidR="003E6963" w:rsidRDefault="003E6963" w:rsidP="003E6963">
      <w:pPr>
        <w:rPr>
          <w:rFonts w:ascii="Times New Roman" w:hAnsi="Times New Roman" w:cs="Times New Roman"/>
          <w:b/>
          <w:bCs/>
          <w:sz w:val="28"/>
          <w:szCs w:val="28"/>
        </w:rPr>
      </w:pPr>
    </w:p>
    <w:p w14:paraId="5B023009" w14:textId="2A2A83AA" w:rsidR="003E6963" w:rsidRDefault="003E6963" w:rsidP="003E6963">
      <w:pPr>
        <w:rPr>
          <w:rFonts w:ascii="Times New Roman" w:hAnsi="Times New Roman" w:cs="Times New Roman"/>
          <w:b/>
          <w:bCs/>
          <w:sz w:val="28"/>
          <w:szCs w:val="28"/>
        </w:rPr>
      </w:pPr>
      <w:r>
        <w:rPr>
          <w:noProof/>
          <w:lang w:eastAsia="pl-PL"/>
        </w:rPr>
        <w:drawing>
          <wp:inline distT="0" distB="0" distL="0" distR="0" wp14:anchorId="21244B7C" wp14:editId="5A77349E">
            <wp:extent cx="5734050" cy="42672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4267200"/>
                    </a:xfrm>
                    <a:prstGeom prst="rect">
                      <a:avLst/>
                    </a:prstGeom>
                    <a:noFill/>
                    <a:ln>
                      <a:noFill/>
                    </a:ln>
                  </pic:spPr>
                </pic:pic>
              </a:graphicData>
            </a:graphic>
          </wp:inline>
        </w:drawing>
      </w:r>
    </w:p>
    <w:p w14:paraId="7DF9BD2E" w14:textId="77777777" w:rsidR="003E6963" w:rsidRDefault="003E6963" w:rsidP="003E6963">
      <w:pPr>
        <w:suppressAutoHyphens/>
        <w:autoSpaceDN w:val="0"/>
        <w:spacing w:after="0" w:line="240" w:lineRule="auto"/>
        <w:jc w:val="both"/>
        <w:textAlignment w:val="baseline"/>
        <w:rPr>
          <w:rFonts w:ascii="Times New Roman" w:eastAsia="Calibri" w:hAnsi="Times New Roman" w:cs="Times New Roman"/>
          <w:sz w:val="28"/>
          <w:szCs w:val="28"/>
          <w:lang w:val="en-US"/>
        </w:rPr>
      </w:pPr>
    </w:p>
    <w:bookmarkEnd w:id="0"/>
    <w:p w14:paraId="44777663" w14:textId="77777777" w:rsidR="003E6963" w:rsidRPr="00C95645" w:rsidRDefault="003E6963" w:rsidP="000A4609">
      <w:pPr>
        <w:jc w:val="both"/>
        <w:rPr>
          <w:rFonts w:ascii="Times New Roman" w:hAnsi="Times New Roman" w:cs="Times New Roman"/>
          <w:sz w:val="28"/>
          <w:szCs w:val="28"/>
          <w:lang w:val="en-US"/>
        </w:rPr>
      </w:pPr>
    </w:p>
    <w:sectPr w:rsidR="003E6963" w:rsidRPr="00C95645" w:rsidSect="0074500C">
      <w:footerReference w:type="default" r:id="rId4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DF9ADD" w14:textId="77777777" w:rsidR="00AE5F7B" w:rsidRDefault="00AE5F7B" w:rsidP="004E789C">
      <w:pPr>
        <w:spacing w:after="0" w:line="240" w:lineRule="auto"/>
      </w:pPr>
      <w:r>
        <w:separator/>
      </w:r>
    </w:p>
  </w:endnote>
  <w:endnote w:type="continuationSeparator" w:id="0">
    <w:p w14:paraId="6E31ED1E" w14:textId="77777777" w:rsidR="00AE5F7B" w:rsidRDefault="00AE5F7B" w:rsidP="004E7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16689"/>
      <w:docPartObj>
        <w:docPartGallery w:val="Page Numbers (Bottom of Page)"/>
        <w:docPartUnique/>
      </w:docPartObj>
    </w:sdtPr>
    <w:sdtEndPr>
      <w:rPr>
        <w:noProof/>
      </w:rPr>
    </w:sdtEndPr>
    <w:sdtContent>
      <w:p w14:paraId="200FF7AA" w14:textId="661AE2B4" w:rsidR="00C95645" w:rsidRDefault="00C95645">
        <w:pPr>
          <w:pStyle w:val="Stopka"/>
          <w:jc w:val="right"/>
        </w:pPr>
        <w:r w:rsidRPr="0074500C">
          <w:rPr>
            <w:rFonts w:ascii="Times New Roman" w:hAnsi="Times New Roman" w:cs="Times New Roman"/>
            <w:b/>
            <w:sz w:val="24"/>
          </w:rPr>
          <w:fldChar w:fldCharType="begin"/>
        </w:r>
        <w:r w:rsidRPr="0074500C">
          <w:rPr>
            <w:rFonts w:ascii="Times New Roman" w:hAnsi="Times New Roman" w:cs="Times New Roman"/>
            <w:b/>
            <w:sz w:val="24"/>
          </w:rPr>
          <w:instrText xml:space="preserve"> PAGE   \* MERGEFORMAT </w:instrText>
        </w:r>
        <w:r w:rsidRPr="0074500C">
          <w:rPr>
            <w:rFonts w:ascii="Times New Roman" w:hAnsi="Times New Roman" w:cs="Times New Roman"/>
            <w:b/>
            <w:sz w:val="24"/>
          </w:rPr>
          <w:fldChar w:fldCharType="separate"/>
        </w:r>
        <w:r w:rsidR="007628A1">
          <w:rPr>
            <w:rFonts w:ascii="Times New Roman" w:hAnsi="Times New Roman" w:cs="Times New Roman"/>
            <w:b/>
            <w:noProof/>
            <w:sz w:val="24"/>
          </w:rPr>
          <w:t>1</w:t>
        </w:r>
        <w:r w:rsidRPr="0074500C">
          <w:rPr>
            <w:rFonts w:ascii="Times New Roman" w:hAnsi="Times New Roman" w:cs="Times New Roman"/>
            <w:b/>
            <w:sz w:val="24"/>
          </w:rPr>
          <w:fldChar w:fldCharType="end"/>
        </w:r>
      </w:p>
    </w:sdtContent>
  </w:sdt>
  <w:p w14:paraId="464681D4" w14:textId="77777777" w:rsidR="00C95645" w:rsidRDefault="00C9564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E31467" w14:textId="77777777" w:rsidR="00AE5F7B" w:rsidRDefault="00AE5F7B" w:rsidP="004E789C">
      <w:pPr>
        <w:spacing w:after="0" w:line="240" w:lineRule="auto"/>
      </w:pPr>
      <w:r>
        <w:separator/>
      </w:r>
    </w:p>
  </w:footnote>
  <w:footnote w:type="continuationSeparator" w:id="0">
    <w:p w14:paraId="2CF9E65F" w14:textId="77777777" w:rsidR="00AE5F7B" w:rsidRDefault="00AE5F7B" w:rsidP="004E789C">
      <w:pPr>
        <w:spacing w:after="0" w:line="240" w:lineRule="auto"/>
      </w:pPr>
      <w:r>
        <w:continuationSeparator/>
      </w:r>
    </w:p>
  </w:footnote>
  <w:footnote w:id="1">
    <w:p w14:paraId="52122A4F" w14:textId="257625F7" w:rsidR="00C95645" w:rsidRPr="004E789C" w:rsidRDefault="00C95645">
      <w:pPr>
        <w:pStyle w:val="Tekstprzypisudolnego"/>
        <w:rPr>
          <w:rFonts w:ascii="Times New Roman" w:hAnsi="Times New Roman" w:cs="Times New Roman"/>
          <w:sz w:val="18"/>
          <w:szCs w:val="18"/>
        </w:rPr>
      </w:pPr>
      <w:r>
        <w:rPr>
          <w:rStyle w:val="Odwoanieprzypisudolnego"/>
          <w:rFonts w:ascii="Times New Roman" w:hAnsi="Times New Roman" w:cs="Times New Roman"/>
          <w:sz w:val="18"/>
          <w:szCs w:val="18"/>
        </w:rPr>
        <w:footnoteRef/>
      </w:r>
      <w:r>
        <w:rPr>
          <w:rFonts w:ascii="Times New Roman" w:hAnsi="Times New Roman"/>
          <w:sz w:val="18"/>
        </w:rPr>
        <w:t xml:space="preserve"> Dz.U. L 294 z. 11.11.2009 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6D0"/>
    <w:multiLevelType w:val="hybridMultilevel"/>
    <w:tmpl w:val="5FD26730"/>
    <w:lvl w:ilvl="0" w:tplc="04090015">
      <w:start w:val="1"/>
      <w:numFmt w:val="upperLetter"/>
      <w:lvlText w:val="%1."/>
      <w:lvlJc w:val="left"/>
      <w:pPr>
        <w:ind w:left="4330" w:hanging="360"/>
      </w:pPr>
      <w:rPr>
        <w:rFonts w:hint="default"/>
      </w:rPr>
    </w:lvl>
    <w:lvl w:ilvl="1" w:tplc="04090019" w:tentative="1">
      <w:start w:val="1"/>
      <w:numFmt w:val="lowerLetter"/>
      <w:lvlText w:val="%2."/>
      <w:lvlJc w:val="left"/>
      <w:pPr>
        <w:ind w:left="5050" w:hanging="360"/>
      </w:pPr>
    </w:lvl>
    <w:lvl w:ilvl="2" w:tplc="0409001B" w:tentative="1">
      <w:start w:val="1"/>
      <w:numFmt w:val="lowerRoman"/>
      <w:lvlText w:val="%3."/>
      <w:lvlJc w:val="right"/>
      <w:pPr>
        <w:ind w:left="5770" w:hanging="180"/>
      </w:pPr>
    </w:lvl>
    <w:lvl w:ilvl="3" w:tplc="0409000F" w:tentative="1">
      <w:start w:val="1"/>
      <w:numFmt w:val="decimal"/>
      <w:lvlText w:val="%4."/>
      <w:lvlJc w:val="left"/>
      <w:pPr>
        <w:ind w:left="6490" w:hanging="360"/>
      </w:pPr>
    </w:lvl>
    <w:lvl w:ilvl="4" w:tplc="04090019" w:tentative="1">
      <w:start w:val="1"/>
      <w:numFmt w:val="lowerLetter"/>
      <w:lvlText w:val="%5."/>
      <w:lvlJc w:val="left"/>
      <w:pPr>
        <w:ind w:left="7210" w:hanging="360"/>
      </w:pPr>
    </w:lvl>
    <w:lvl w:ilvl="5" w:tplc="0409001B" w:tentative="1">
      <w:start w:val="1"/>
      <w:numFmt w:val="lowerRoman"/>
      <w:lvlText w:val="%6."/>
      <w:lvlJc w:val="right"/>
      <w:pPr>
        <w:ind w:left="7930" w:hanging="180"/>
      </w:pPr>
    </w:lvl>
    <w:lvl w:ilvl="6" w:tplc="0409000F" w:tentative="1">
      <w:start w:val="1"/>
      <w:numFmt w:val="decimal"/>
      <w:lvlText w:val="%7."/>
      <w:lvlJc w:val="left"/>
      <w:pPr>
        <w:ind w:left="8650" w:hanging="360"/>
      </w:pPr>
    </w:lvl>
    <w:lvl w:ilvl="7" w:tplc="04090019" w:tentative="1">
      <w:start w:val="1"/>
      <w:numFmt w:val="lowerLetter"/>
      <w:lvlText w:val="%8."/>
      <w:lvlJc w:val="left"/>
      <w:pPr>
        <w:ind w:left="9370" w:hanging="360"/>
      </w:pPr>
    </w:lvl>
    <w:lvl w:ilvl="8" w:tplc="0409001B" w:tentative="1">
      <w:start w:val="1"/>
      <w:numFmt w:val="lowerRoman"/>
      <w:lvlText w:val="%9."/>
      <w:lvlJc w:val="right"/>
      <w:pPr>
        <w:ind w:left="10090" w:hanging="180"/>
      </w:pPr>
    </w:lvl>
  </w:abstractNum>
  <w:abstractNum w:abstractNumId="1">
    <w:nsid w:val="05B76DAE"/>
    <w:multiLevelType w:val="hybridMultilevel"/>
    <w:tmpl w:val="427C0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nsid w:val="062438A2"/>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E221EA"/>
    <w:multiLevelType w:val="hybridMultilevel"/>
    <w:tmpl w:val="6B8C4450"/>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3861D4"/>
    <w:multiLevelType w:val="hybridMultilevel"/>
    <w:tmpl w:val="9A2E554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77007F"/>
    <w:multiLevelType w:val="hybridMultilevel"/>
    <w:tmpl w:val="91328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D42125F"/>
    <w:multiLevelType w:val="multilevel"/>
    <w:tmpl w:val="EB6C38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29FD1B80"/>
    <w:multiLevelType w:val="hybridMultilevel"/>
    <w:tmpl w:val="DBA29048"/>
    <w:lvl w:ilvl="0" w:tplc="C4520248">
      <w:start w:val="1"/>
      <w:numFmt w:val="upperLetter"/>
      <w:lvlText w:val="%1."/>
      <w:lvlJc w:val="left"/>
      <w:pPr>
        <w:ind w:left="804" w:hanging="4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4B4CDB"/>
    <w:multiLevelType w:val="hybridMultilevel"/>
    <w:tmpl w:val="1FCE669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5967F8"/>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5A3037"/>
    <w:multiLevelType w:val="hybridMultilevel"/>
    <w:tmpl w:val="FA2291D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7C6440"/>
    <w:multiLevelType w:val="hybridMultilevel"/>
    <w:tmpl w:val="8514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9524FF"/>
    <w:multiLevelType w:val="hybridMultilevel"/>
    <w:tmpl w:val="2D8EFD48"/>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D94B3F"/>
    <w:multiLevelType w:val="hybridMultilevel"/>
    <w:tmpl w:val="74323D1E"/>
    <w:lvl w:ilvl="0" w:tplc="2B04B232">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4D1551"/>
    <w:multiLevelType w:val="hybridMultilevel"/>
    <w:tmpl w:val="BAD4E2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53043C"/>
    <w:multiLevelType w:val="hybridMultilevel"/>
    <w:tmpl w:val="90D01562"/>
    <w:lvl w:ilvl="0" w:tplc="0809000D">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6">
    <w:nsid w:val="47CC1918"/>
    <w:multiLevelType w:val="hybridMultilevel"/>
    <w:tmpl w:val="EC98286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EB0222"/>
    <w:multiLevelType w:val="hybridMultilevel"/>
    <w:tmpl w:val="566253F2"/>
    <w:lvl w:ilvl="0" w:tplc="0809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8">
    <w:nsid w:val="4E7F26BB"/>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A12334"/>
    <w:multiLevelType w:val="hybridMultilevel"/>
    <w:tmpl w:val="B3BE017E"/>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6C6D01"/>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C95DDF"/>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2B1C18"/>
    <w:multiLevelType w:val="multilevel"/>
    <w:tmpl w:val="F8BE54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610C41F3"/>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F134F7"/>
    <w:multiLevelType w:val="multilevel"/>
    <w:tmpl w:val="71B0D9C0"/>
    <w:lvl w:ilvl="0">
      <w:start w:val="5"/>
      <w:numFmt w:val="none"/>
      <w:lvlText w:val="%1"/>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5">
    <w:nsid w:val="6AC30709"/>
    <w:multiLevelType w:val="hybridMultilevel"/>
    <w:tmpl w:val="9796E13C"/>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007D58"/>
    <w:multiLevelType w:val="hybridMultilevel"/>
    <w:tmpl w:val="B4C0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E526FF"/>
    <w:multiLevelType w:val="hybridMultilevel"/>
    <w:tmpl w:val="A896F9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686B36"/>
    <w:multiLevelType w:val="hybridMultilevel"/>
    <w:tmpl w:val="FB906EF6"/>
    <w:lvl w:ilvl="0" w:tplc="4FD292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D9635A"/>
    <w:multiLevelType w:val="hybridMultilevel"/>
    <w:tmpl w:val="0400CC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0F6BCF"/>
    <w:multiLevelType w:val="multilevel"/>
    <w:tmpl w:val="55B8E9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D336167"/>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8"/>
  </w:num>
  <w:num w:numId="3">
    <w:abstractNumId w:val="26"/>
  </w:num>
  <w:num w:numId="4">
    <w:abstractNumId w:val="11"/>
  </w:num>
  <w:num w:numId="5">
    <w:abstractNumId w:val="10"/>
  </w:num>
  <w:num w:numId="6">
    <w:abstractNumId w:val="4"/>
  </w:num>
  <w:num w:numId="7">
    <w:abstractNumId w:val="5"/>
  </w:num>
  <w:num w:numId="8">
    <w:abstractNumId w:val="12"/>
  </w:num>
  <w:num w:numId="9">
    <w:abstractNumId w:val="22"/>
  </w:num>
  <w:num w:numId="10">
    <w:abstractNumId w:val="24"/>
  </w:num>
  <w:num w:numId="11">
    <w:abstractNumId w:val="8"/>
  </w:num>
  <w:num w:numId="12">
    <w:abstractNumId w:val="25"/>
  </w:num>
  <w:num w:numId="13">
    <w:abstractNumId w:val="0"/>
  </w:num>
  <w:num w:numId="14">
    <w:abstractNumId w:val="15"/>
  </w:num>
  <w:num w:numId="15">
    <w:abstractNumId w:val="6"/>
  </w:num>
  <w:num w:numId="16">
    <w:abstractNumId w:val="1"/>
  </w:num>
  <w:num w:numId="17">
    <w:abstractNumId w:val="30"/>
  </w:num>
  <w:num w:numId="18">
    <w:abstractNumId w:val="27"/>
  </w:num>
  <w:num w:numId="19">
    <w:abstractNumId w:val="14"/>
  </w:num>
  <w:num w:numId="20">
    <w:abstractNumId w:val="17"/>
  </w:num>
  <w:num w:numId="21">
    <w:abstractNumId w:val="13"/>
  </w:num>
  <w:num w:numId="22">
    <w:abstractNumId w:val="28"/>
  </w:num>
  <w:num w:numId="23">
    <w:abstractNumId w:val="3"/>
  </w:num>
  <w:num w:numId="24">
    <w:abstractNumId w:val="29"/>
  </w:num>
  <w:num w:numId="25">
    <w:abstractNumId w:val="16"/>
  </w:num>
  <w:num w:numId="26">
    <w:abstractNumId w:val="7"/>
  </w:num>
  <w:num w:numId="27">
    <w:abstractNumId w:val="9"/>
  </w:num>
  <w:num w:numId="28">
    <w:abstractNumId w:val="20"/>
  </w:num>
  <w:num w:numId="29">
    <w:abstractNumId w:val="2"/>
  </w:num>
  <w:num w:numId="30">
    <w:abstractNumId w:val="21"/>
  </w:num>
  <w:num w:numId="31">
    <w:abstractNumId w:val="23"/>
  </w:num>
  <w:num w:numId="32">
    <w:abstractNumId w:val="31"/>
  </w:num>
  <w:num w:numId="33">
    <w:abstractNumId w:val="17"/>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E93"/>
    <w:rsid w:val="00000A64"/>
    <w:rsid w:val="00002DE6"/>
    <w:rsid w:val="0001126F"/>
    <w:rsid w:val="00027F40"/>
    <w:rsid w:val="00044EBD"/>
    <w:rsid w:val="00050E08"/>
    <w:rsid w:val="0006125A"/>
    <w:rsid w:val="00070274"/>
    <w:rsid w:val="00084D9B"/>
    <w:rsid w:val="0008596B"/>
    <w:rsid w:val="000A1226"/>
    <w:rsid w:val="000A4609"/>
    <w:rsid w:val="000B2F40"/>
    <w:rsid w:val="000C0997"/>
    <w:rsid w:val="000D4CC8"/>
    <w:rsid w:val="000E3409"/>
    <w:rsid w:val="000E6B61"/>
    <w:rsid w:val="000F2378"/>
    <w:rsid w:val="000F4925"/>
    <w:rsid w:val="000F6DFA"/>
    <w:rsid w:val="00114450"/>
    <w:rsid w:val="00122DFB"/>
    <w:rsid w:val="0016087B"/>
    <w:rsid w:val="001640EF"/>
    <w:rsid w:val="001669C8"/>
    <w:rsid w:val="00181C74"/>
    <w:rsid w:val="00192410"/>
    <w:rsid w:val="001B2792"/>
    <w:rsid w:val="001C18F0"/>
    <w:rsid w:val="001C27A4"/>
    <w:rsid w:val="001C5E75"/>
    <w:rsid w:val="001C63F0"/>
    <w:rsid w:val="001C6CE4"/>
    <w:rsid w:val="001C74E8"/>
    <w:rsid w:val="001D4FD7"/>
    <w:rsid w:val="001E7187"/>
    <w:rsid w:val="001E7D58"/>
    <w:rsid w:val="001F374C"/>
    <w:rsid w:val="00206EDE"/>
    <w:rsid w:val="00210A69"/>
    <w:rsid w:val="00231FDF"/>
    <w:rsid w:val="00240243"/>
    <w:rsid w:val="002423B7"/>
    <w:rsid w:val="0026726B"/>
    <w:rsid w:val="0027440C"/>
    <w:rsid w:val="00280EA5"/>
    <w:rsid w:val="00297333"/>
    <w:rsid w:val="002A2A0D"/>
    <w:rsid w:val="002A5F38"/>
    <w:rsid w:val="002B2BFA"/>
    <w:rsid w:val="002B5881"/>
    <w:rsid w:val="002C2AB1"/>
    <w:rsid w:val="002D5CCB"/>
    <w:rsid w:val="002F05D2"/>
    <w:rsid w:val="0030382B"/>
    <w:rsid w:val="00312895"/>
    <w:rsid w:val="003134D6"/>
    <w:rsid w:val="00321B23"/>
    <w:rsid w:val="003703D3"/>
    <w:rsid w:val="0037752C"/>
    <w:rsid w:val="00383507"/>
    <w:rsid w:val="003838F4"/>
    <w:rsid w:val="003863A1"/>
    <w:rsid w:val="00387074"/>
    <w:rsid w:val="00395E93"/>
    <w:rsid w:val="003A4BA1"/>
    <w:rsid w:val="003A7CBF"/>
    <w:rsid w:val="003D2291"/>
    <w:rsid w:val="003D297B"/>
    <w:rsid w:val="003E17A1"/>
    <w:rsid w:val="003E6963"/>
    <w:rsid w:val="003F6AF4"/>
    <w:rsid w:val="00400553"/>
    <w:rsid w:val="0040529D"/>
    <w:rsid w:val="00411A11"/>
    <w:rsid w:val="00413134"/>
    <w:rsid w:val="004153F9"/>
    <w:rsid w:val="00420BDE"/>
    <w:rsid w:val="0042456B"/>
    <w:rsid w:val="0043351C"/>
    <w:rsid w:val="00440455"/>
    <w:rsid w:val="00440B7B"/>
    <w:rsid w:val="004469A5"/>
    <w:rsid w:val="00470420"/>
    <w:rsid w:val="00475482"/>
    <w:rsid w:val="004803BB"/>
    <w:rsid w:val="004819D4"/>
    <w:rsid w:val="00481CDE"/>
    <w:rsid w:val="00482403"/>
    <w:rsid w:val="00486B9E"/>
    <w:rsid w:val="00487F3D"/>
    <w:rsid w:val="004936C6"/>
    <w:rsid w:val="004B1AAB"/>
    <w:rsid w:val="004B6133"/>
    <w:rsid w:val="004C58AE"/>
    <w:rsid w:val="004E789C"/>
    <w:rsid w:val="004E7970"/>
    <w:rsid w:val="005012BB"/>
    <w:rsid w:val="00522EBA"/>
    <w:rsid w:val="00536F2F"/>
    <w:rsid w:val="0054030C"/>
    <w:rsid w:val="00543D74"/>
    <w:rsid w:val="005549E8"/>
    <w:rsid w:val="0057317C"/>
    <w:rsid w:val="005803DE"/>
    <w:rsid w:val="005901AC"/>
    <w:rsid w:val="005964AE"/>
    <w:rsid w:val="005A00DB"/>
    <w:rsid w:val="005A7F1B"/>
    <w:rsid w:val="005B13D0"/>
    <w:rsid w:val="005C5048"/>
    <w:rsid w:val="005D4B7F"/>
    <w:rsid w:val="005E0DD7"/>
    <w:rsid w:val="005E3114"/>
    <w:rsid w:val="005E4921"/>
    <w:rsid w:val="005E6B43"/>
    <w:rsid w:val="005F1AD8"/>
    <w:rsid w:val="00600CBA"/>
    <w:rsid w:val="00603AC6"/>
    <w:rsid w:val="00630226"/>
    <w:rsid w:val="006312A9"/>
    <w:rsid w:val="00631F79"/>
    <w:rsid w:val="00632437"/>
    <w:rsid w:val="00632BCF"/>
    <w:rsid w:val="006368E7"/>
    <w:rsid w:val="00651C8E"/>
    <w:rsid w:val="00656618"/>
    <w:rsid w:val="006775B2"/>
    <w:rsid w:val="0068103A"/>
    <w:rsid w:val="0069638A"/>
    <w:rsid w:val="006A4FDB"/>
    <w:rsid w:val="006B4AFF"/>
    <w:rsid w:val="006C2D68"/>
    <w:rsid w:val="006D0E69"/>
    <w:rsid w:val="006E2028"/>
    <w:rsid w:val="006E2221"/>
    <w:rsid w:val="006E4CFA"/>
    <w:rsid w:val="006F2E01"/>
    <w:rsid w:val="006F3810"/>
    <w:rsid w:val="006F5C89"/>
    <w:rsid w:val="0070336D"/>
    <w:rsid w:val="007155B7"/>
    <w:rsid w:val="007232B3"/>
    <w:rsid w:val="00735D58"/>
    <w:rsid w:val="00742178"/>
    <w:rsid w:val="0074500C"/>
    <w:rsid w:val="007465E7"/>
    <w:rsid w:val="007628A1"/>
    <w:rsid w:val="00765DB8"/>
    <w:rsid w:val="00774DCD"/>
    <w:rsid w:val="00795BBB"/>
    <w:rsid w:val="007B0813"/>
    <w:rsid w:val="007B385A"/>
    <w:rsid w:val="007B3966"/>
    <w:rsid w:val="007B45FE"/>
    <w:rsid w:val="007D41E7"/>
    <w:rsid w:val="007E27A9"/>
    <w:rsid w:val="007E6AD3"/>
    <w:rsid w:val="007F7053"/>
    <w:rsid w:val="008003D2"/>
    <w:rsid w:val="008043CB"/>
    <w:rsid w:val="00806B62"/>
    <w:rsid w:val="00835C3D"/>
    <w:rsid w:val="00842088"/>
    <w:rsid w:val="00854A40"/>
    <w:rsid w:val="0086256C"/>
    <w:rsid w:val="0086753E"/>
    <w:rsid w:val="00874DA6"/>
    <w:rsid w:val="00876A9B"/>
    <w:rsid w:val="008A2531"/>
    <w:rsid w:val="008A2935"/>
    <w:rsid w:val="008C0A2C"/>
    <w:rsid w:val="008D3DC9"/>
    <w:rsid w:val="008D7FB5"/>
    <w:rsid w:val="008E3590"/>
    <w:rsid w:val="008E444F"/>
    <w:rsid w:val="008E4453"/>
    <w:rsid w:val="008E5AF7"/>
    <w:rsid w:val="00912E73"/>
    <w:rsid w:val="009172F7"/>
    <w:rsid w:val="009224D4"/>
    <w:rsid w:val="00922BF3"/>
    <w:rsid w:val="00925B67"/>
    <w:rsid w:val="009300AA"/>
    <w:rsid w:val="009412A0"/>
    <w:rsid w:val="0094253F"/>
    <w:rsid w:val="00954B54"/>
    <w:rsid w:val="009559C0"/>
    <w:rsid w:val="00956CBF"/>
    <w:rsid w:val="009673E6"/>
    <w:rsid w:val="009708DE"/>
    <w:rsid w:val="009805C7"/>
    <w:rsid w:val="00990999"/>
    <w:rsid w:val="0099140C"/>
    <w:rsid w:val="00996D25"/>
    <w:rsid w:val="009A49DC"/>
    <w:rsid w:val="009A666E"/>
    <w:rsid w:val="009C34DC"/>
    <w:rsid w:val="009C640B"/>
    <w:rsid w:val="009D23F6"/>
    <w:rsid w:val="009D3C24"/>
    <w:rsid w:val="009D4337"/>
    <w:rsid w:val="009E411C"/>
    <w:rsid w:val="009E7C6B"/>
    <w:rsid w:val="009F391D"/>
    <w:rsid w:val="009F74A5"/>
    <w:rsid w:val="00A00728"/>
    <w:rsid w:val="00A01B66"/>
    <w:rsid w:val="00A2227E"/>
    <w:rsid w:val="00A41040"/>
    <w:rsid w:val="00A433C1"/>
    <w:rsid w:val="00A508B5"/>
    <w:rsid w:val="00A52158"/>
    <w:rsid w:val="00A81A07"/>
    <w:rsid w:val="00A8628D"/>
    <w:rsid w:val="00A86F2C"/>
    <w:rsid w:val="00A87D11"/>
    <w:rsid w:val="00A925CA"/>
    <w:rsid w:val="00A941E7"/>
    <w:rsid w:val="00A96856"/>
    <w:rsid w:val="00AB34DD"/>
    <w:rsid w:val="00AB3782"/>
    <w:rsid w:val="00AD044B"/>
    <w:rsid w:val="00AE5F7B"/>
    <w:rsid w:val="00AE6AA6"/>
    <w:rsid w:val="00AF5538"/>
    <w:rsid w:val="00AF5F28"/>
    <w:rsid w:val="00B00CCC"/>
    <w:rsid w:val="00B02937"/>
    <w:rsid w:val="00B05348"/>
    <w:rsid w:val="00B05B78"/>
    <w:rsid w:val="00B22D28"/>
    <w:rsid w:val="00B244E9"/>
    <w:rsid w:val="00B32B30"/>
    <w:rsid w:val="00B369ED"/>
    <w:rsid w:val="00B43037"/>
    <w:rsid w:val="00B45AFA"/>
    <w:rsid w:val="00B51518"/>
    <w:rsid w:val="00B52C2E"/>
    <w:rsid w:val="00B5493C"/>
    <w:rsid w:val="00B56A4A"/>
    <w:rsid w:val="00B62C52"/>
    <w:rsid w:val="00B6613C"/>
    <w:rsid w:val="00B86243"/>
    <w:rsid w:val="00B86907"/>
    <w:rsid w:val="00BD0741"/>
    <w:rsid w:val="00BD138F"/>
    <w:rsid w:val="00BD24C6"/>
    <w:rsid w:val="00BE5B00"/>
    <w:rsid w:val="00BF7187"/>
    <w:rsid w:val="00C0236A"/>
    <w:rsid w:val="00C03708"/>
    <w:rsid w:val="00C0454F"/>
    <w:rsid w:val="00C06687"/>
    <w:rsid w:val="00C079DC"/>
    <w:rsid w:val="00C116DD"/>
    <w:rsid w:val="00C126D0"/>
    <w:rsid w:val="00C12FAE"/>
    <w:rsid w:val="00C17ABA"/>
    <w:rsid w:val="00C203AA"/>
    <w:rsid w:val="00C30FB8"/>
    <w:rsid w:val="00C31487"/>
    <w:rsid w:val="00C32F52"/>
    <w:rsid w:val="00C37842"/>
    <w:rsid w:val="00C62FAA"/>
    <w:rsid w:val="00C6620F"/>
    <w:rsid w:val="00C66F1B"/>
    <w:rsid w:val="00C82B13"/>
    <w:rsid w:val="00C8305C"/>
    <w:rsid w:val="00C95645"/>
    <w:rsid w:val="00C9612B"/>
    <w:rsid w:val="00CA7AF9"/>
    <w:rsid w:val="00CB154D"/>
    <w:rsid w:val="00CC360E"/>
    <w:rsid w:val="00CD3382"/>
    <w:rsid w:val="00CF0D90"/>
    <w:rsid w:val="00D043DE"/>
    <w:rsid w:val="00D1198C"/>
    <w:rsid w:val="00D13BDB"/>
    <w:rsid w:val="00D17803"/>
    <w:rsid w:val="00D272CA"/>
    <w:rsid w:val="00D56CE7"/>
    <w:rsid w:val="00D6452C"/>
    <w:rsid w:val="00D6723D"/>
    <w:rsid w:val="00D8681A"/>
    <w:rsid w:val="00D905DF"/>
    <w:rsid w:val="00DA11EB"/>
    <w:rsid w:val="00DA6805"/>
    <w:rsid w:val="00DB57A1"/>
    <w:rsid w:val="00DC54B7"/>
    <w:rsid w:val="00DC5728"/>
    <w:rsid w:val="00DD0657"/>
    <w:rsid w:val="00DD56CC"/>
    <w:rsid w:val="00DD6C50"/>
    <w:rsid w:val="00DE4E31"/>
    <w:rsid w:val="00DE51CB"/>
    <w:rsid w:val="00DE7B7E"/>
    <w:rsid w:val="00DF3737"/>
    <w:rsid w:val="00DF624B"/>
    <w:rsid w:val="00E0065A"/>
    <w:rsid w:val="00E01CBF"/>
    <w:rsid w:val="00E16C8E"/>
    <w:rsid w:val="00E210AD"/>
    <w:rsid w:val="00E40E8D"/>
    <w:rsid w:val="00E416FC"/>
    <w:rsid w:val="00E6420B"/>
    <w:rsid w:val="00E80ACE"/>
    <w:rsid w:val="00E847ED"/>
    <w:rsid w:val="00E900E2"/>
    <w:rsid w:val="00EA6027"/>
    <w:rsid w:val="00EC3494"/>
    <w:rsid w:val="00EC3A73"/>
    <w:rsid w:val="00EE11C6"/>
    <w:rsid w:val="00EE1F2F"/>
    <w:rsid w:val="00EE5855"/>
    <w:rsid w:val="00F06031"/>
    <w:rsid w:val="00F25904"/>
    <w:rsid w:val="00F42B21"/>
    <w:rsid w:val="00F50C0F"/>
    <w:rsid w:val="00F52345"/>
    <w:rsid w:val="00F53200"/>
    <w:rsid w:val="00F54ACB"/>
    <w:rsid w:val="00F74012"/>
    <w:rsid w:val="00F740B1"/>
    <w:rsid w:val="00F868B4"/>
    <w:rsid w:val="00F93FD6"/>
    <w:rsid w:val="00F9490A"/>
    <w:rsid w:val="00FC554B"/>
    <w:rsid w:val="00FD097D"/>
    <w:rsid w:val="00FD7015"/>
    <w:rsid w:val="00FE61ED"/>
    <w:rsid w:val="00FE769D"/>
    <w:rsid w:val="00FE7A83"/>
    <w:rsid w:val="00FF30F4"/>
    <w:rsid w:val="00FF4AF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39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qFormat/>
    <w:rsid w:val="006B4AFF"/>
    <w:pPr>
      <w:ind w:left="720"/>
      <w:contextualSpacing/>
    </w:pPr>
  </w:style>
  <w:style w:type="paragraph" w:styleId="Tekstprzypisudolnego">
    <w:name w:val="footnote text"/>
    <w:basedOn w:val="Normalny"/>
    <w:link w:val="TekstprzypisudolnegoZnak"/>
    <w:uiPriority w:val="99"/>
    <w:semiHidden/>
    <w:unhideWhenUsed/>
    <w:rsid w:val="004E789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E789C"/>
    <w:rPr>
      <w:sz w:val="20"/>
      <w:szCs w:val="20"/>
      <w:lang w:val="pl-PL"/>
    </w:rPr>
  </w:style>
  <w:style w:type="character" w:styleId="Odwoanieprzypisudolnego">
    <w:name w:val="footnote reference"/>
    <w:basedOn w:val="Domylnaczcionkaakapitu"/>
    <w:uiPriority w:val="99"/>
    <w:semiHidden/>
    <w:unhideWhenUsed/>
    <w:rsid w:val="004E789C"/>
    <w:rPr>
      <w:vertAlign w:val="superscript"/>
    </w:rPr>
  </w:style>
  <w:style w:type="paragraph" w:styleId="Nagwek">
    <w:name w:val="header"/>
    <w:basedOn w:val="Normalny"/>
    <w:link w:val="NagwekZnak"/>
    <w:uiPriority w:val="99"/>
    <w:unhideWhenUsed/>
    <w:rsid w:val="00CA7AF9"/>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CA7AF9"/>
    <w:rPr>
      <w:lang w:val="pl-PL"/>
    </w:rPr>
  </w:style>
  <w:style w:type="paragraph" w:styleId="Stopka">
    <w:name w:val="footer"/>
    <w:basedOn w:val="Normalny"/>
    <w:link w:val="StopkaZnak"/>
    <w:uiPriority w:val="99"/>
    <w:unhideWhenUsed/>
    <w:rsid w:val="00CA7AF9"/>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CA7AF9"/>
    <w:rPr>
      <w:lang w:val="pl-PL"/>
    </w:rPr>
  </w:style>
  <w:style w:type="character" w:styleId="Hipercze">
    <w:name w:val="Hyperlink"/>
    <w:basedOn w:val="Domylnaczcionkaakapitu"/>
    <w:uiPriority w:val="99"/>
    <w:unhideWhenUsed/>
    <w:rsid w:val="00E6420B"/>
    <w:rPr>
      <w:color w:val="0563C1" w:themeColor="hyperlink"/>
      <w:u w:val="single"/>
    </w:rPr>
  </w:style>
  <w:style w:type="character" w:customStyle="1" w:styleId="UnresolvedMention">
    <w:name w:val="Unresolved Mention"/>
    <w:basedOn w:val="Domylnaczcionkaakapitu"/>
    <w:uiPriority w:val="99"/>
    <w:semiHidden/>
    <w:unhideWhenUsed/>
    <w:rsid w:val="00E6420B"/>
    <w:rPr>
      <w:color w:val="605E5C"/>
      <w:shd w:val="clear" w:color="auto" w:fill="E1DFDD"/>
    </w:rPr>
  </w:style>
  <w:style w:type="character" w:customStyle="1" w:styleId="atlastextcursive">
    <w:name w:val="atlastextcursive"/>
    <w:basedOn w:val="Domylnaczcionkaakapitu"/>
    <w:rsid w:val="00D17803"/>
  </w:style>
  <w:style w:type="character" w:customStyle="1" w:styleId="labeltextautdatabig">
    <w:name w:val="labeltextautdatabig"/>
    <w:basedOn w:val="Domylnaczcionkaakapitu"/>
    <w:rsid w:val="00D17803"/>
  </w:style>
  <w:style w:type="character" w:customStyle="1" w:styleId="labeltextautdatasmall3">
    <w:name w:val="labeltextautdatasmall3"/>
    <w:basedOn w:val="Domylnaczcionkaakapitu"/>
    <w:rsid w:val="00D17803"/>
  </w:style>
  <w:style w:type="character" w:customStyle="1" w:styleId="labeltextautdatasmallpc1">
    <w:name w:val="labeltextautdatasmallpc1"/>
    <w:basedOn w:val="Domylnaczcionkaakapitu"/>
    <w:rsid w:val="00D17803"/>
  </w:style>
  <w:style w:type="character" w:customStyle="1" w:styleId="labeltextautdatasmall2">
    <w:name w:val="labeltextautdatasmall2"/>
    <w:basedOn w:val="Domylnaczcionkaakapitu"/>
    <w:rsid w:val="00D17803"/>
  </w:style>
  <w:style w:type="character" w:styleId="Pogrubienie">
    <w:name w:val="Strong"/>
    <w:basedOn w:val="Domylnaczcionkaakapitu"/>
    <w:uiPriority w:val="22"/>
    <w:qFormat/>
    <w:rsid w:val="00C203AA"/>
    <w:rPr>
      <w:b/>
      <w:bCs/>
    </w:rPr>
  </w:style>
  <w:style w:type="paragraph" w:customStyle="1" w:styleId="Test">
    <w:name w:val="Test!"/>
    <w:basedOn w:val="Normalny"/>
    <w:rsid w:val="00C203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rPr>
  </w:style>
  <w:style w:type="character" w:styleId="UyteHipercze">
    <w:name w:val="FollowedHyperlink"/>
    <w:basedOn w:val="Domylnaczcionkaakapitu"/>
    <w:uiPriority w:val="99"/>
    <w:semiHidden/>
    <w:unhideWhenUsed/>
    <w:rsid w:val="00387074"/>
    <w:rPr>
      <w:color w:val="954F72" w:themeColor="followedHyperlink"/>
      <w:u w:val="single"/>
    </w:rPr>
  </w:style>
  <w:style w:type="paragraph" w:styleId="Tekstdymka">
    <w:name w:val="Balloon Text"/>
    <w:basedOn w:val="Normalny"/>
    <w:link w:val="TekstdymkaZnak"/>
    <w:uiPriority w:val="99"/>
    <w:semiHidden/>
    <w:unhideWhenUsed/>
    <w:rsid w:val="00B8690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869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qFormat/>
    <w:rsid w:val="006B4AFF"/>
    <w:pPr>
      <w:ind w:left="720"/>
      <w:contextualSpacing/>
    </w:pPr>
  </w:style>
  <w:style w:type="paragraph" w:styleId="Tekstprzypisudolnego">
    <w:name w:val="footnote text"/>
    <w:basedOn w:val="Normalny"/>
    <w:link w:val="TekstprzypisudolnegoZnak"/>
    <w:uiPriority w:val="99"/>
    <w:semiHidden/>
    <w:unhideWhenUsed/>
    <w:rsid w:val="004E789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E789C"/>
    <w:rPr>
      <w:sz w:val="20"/>
      <w:szCs w:val="20"/>
      <w:lang w:val="pl-PL"/>
    </w:rPr>
  </w:style>
  <w:style w:type="character" w:styleId="Odwoanieprzypisudolnego">
    <w:name w:val="footnote reference"/>
    <w:basedOn w:val="Domylnaczcionkaakapitu"/>
    <w:uiPriority w:val="99"/>
    <w:semiHidden/>
    <w:unhideWhenUsed/>
    <w:rsid w:val="004E789C"/>
    <w:rPr>
      <w:vertAlign w:val="superscript"/>
    </w:rPr>
  </w:style>
  <w:style w:type="paragraph" w:styleId="Nagwek">
    <w:name w:val="header"/>
    <w:basedOn w:val="Normalny"/>
    <w:link w:val="NagwekZnak"/>
    <w:uiPriority w:val="99"/>
    <w:unhideWhenUsed/>
    <w:rsid w:val="00CA7AF9"/>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CA7AF9"/>
    <w:rPr>
      <w:lang w:val="pl-PL"/>
    </w:rPr>
  </w:style>
  <w:style w:type="paragraph" w:styleId="Stopka">
    <w:name w:val="footer"/>
    <w:basedOn w:val="Normalny"/>
    <w:link w:val="StopkaZnak"/>
    <w:uiPriority w:val="99"/>
    <w:unhideWhenUsed/>
    <w:rsid w:val="00CA7AF9"/>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CA7AF9"/>
    <w:rPr>
      <w:lang w:val="pl-PL"/>
    </w:rPr>
  </w:style>
  <w:style w:type="character" w:styleId="Hipercze">
    <w:name w:val="Hyperlink"/>
    <w:basedOn w:val="Domylnaczcionkaakapitu"/>
    <w:uiPriority w:val="99"/>
    <w:unhideWhenUsed/>
    <w:rsid w:val="00E6420B"/>
    <w:rPr>
      <w:color w:val="0563C1" w:themeColor="hyperlink"/>
      <w:u w:val="single"/>
    </w:rPr>
  </w:style>
  <w:style w:type="character" w:customStyle="1" w:styleId="UnresolvedMention">
    <w:name w:val="Unresolved Mention"/>
    <w:basedOn w:val="Domylnaczcionkaakapitu"/>
    <w:uiPriority w:val="99"/>
    <w:semiHidden/>
    <w:unhideWhenUsed/>
    <w:rsid w:val="00E6420B"/>
    <w:rPr>
      <w:color w:val="605E5C"/>
      <w:shd w:val="clear" w:color="auto" w:fill="E1DFDD"/>
    </w:rPr>
  </w:style>
  <w:style w:type="character" w:customStyle="1" w:styleId="atlastextcursive">
    <w:name w:val="atlastextcursive"/>
    <w:basedOn w:val="Domylnaczcionkaakapitu"/>
    <w:rsid w:val="00D17803"/>
  </w:style>
  <w:style w:type="character" w:customStyle="1" w:styleId="labeltextautdatabig">
    <w:name w:val="labeltextautdatabig"/>
    <w:basedOn w:val="Domylnaczcionkaakapitu"/>
    <w:rsid w:val="00D17803"/>
  </w:style>
  <w:style w:type="character" w:customStyle="1" w:styleId="labeltextautdatasmall3">
    <w:name w:val="labeltextautdatasmall3"/>
    <w:basedOn w:val="Domylnaczcionkaakapitu"/>
    <w:rsid w:val="00D17803"/>
  </w:style>
  <w:style w:type="character" w:customStyle="1" w:styleId="labeltextautdatasmallpc1">
    <w:name w:val="labeltextautdatasmallpc1"/>
    <w:basedOn w:val="Domylnaczcionkaakapitu"/>
    <w:rsid w:val="00D17803"/>
  </w:style>
  <w:style w:type="character" w:customStyle="1" w:styleId="labeltextautdatasmall2">
    <w:name w:val="labeltextautdatasmall2"/>
    <w:basedOn w:val="Domylnaczcionkaakapitu"/>
    <w:rsid w:val="00D17803"/>
  </w:style>
  <w:style w:type="character" w:styleId="Pogrubienie">
    <w:name w:val="Strong"/>
    <w:basedOn w:val="Domylnaczcionkaakapitu"/>
    <w:uiPriority w:val="22"/>
    <w:qFormat/>
    <w:rsid w:val="00C203AA"/>
    <w:rPr>
      <w:b/>
      <w:bCs/>
    </w:rPr>
  </w:style>
  <w:style w:type="paragraph" w:customStyle="1" w:styleId="Test">
    <w:name w:val="Test!"/>
    <w:basedOn w:val="Normalny"/>
    <w:rsid w:val="00C203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rPr>
  </w:style>
  <w:style w:type="character" w:styleId="UyteHipercze">
    <w:name w:val="FollowedHyperlink"/>
    <w:basedOn w:val="Domylnaczcionkaakapitu"/>
    <w:uiPriority w:val="99"/>
    <w:semiHidden/>
    <w:unhideWhenUsed/>
    <w:rsid w:val="00387074"/>
    <w:rPr>
      <w:color w:val="954F72" w:themeColor="followedHyperlink"/>
      <w:u w:val="single"/>
    </w:rPr>
  </w:style>
  <w:style w:type="paragraph" w:styleId="Tekstdymka">
    <w:name w:val="Balloon Text"/>
    <w:basedOn w:val="Normalny"/>
    <w:link w:val="TekstdymkaZnak"/>
    <w:uiPriority w:val="99"/>
    <w:semiHidden/>
    <w:unhideWhenUsed/>
    <w:rsid w:val="00B8690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869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68341">
      <w:bodyDiv w:val="1"/>
      <w:marLeft w:val="0"/>
      <w:marRight w:val="0"/>
      <w:marTop w:val="0"/>
      <w:marBottom w:val="0"/>
      <w:divBdr>
        <w:top w:val="none" w:sz="0" w:space="0" w:color="auto"/>
        <w:left w:val="none" w:sz="0" w:space="0" w:color="auto"/>
        <w:bottom w:val="none" w:sz="0" w:space="0" w:color="auto"/>
        <w:right w:val="none" w:sz="0" w:space="0" w:color="auto"/>
      </w:divBdr>
    </w:div>
    <w:div w:id="361981757">
      <w:bodyDiv w:val="1"/>
      <w:marLeft w:val="0"/>
      <w:marRight w:val="0"/>
      <w:marTop w:val="0"/>
      <w:marBottom w:val="0"/>
      <w:divBdr>
        <w:top w:val="none" w:sz="0" w:space="0" w:color="auto"/>
        <w:left w:val="none" w:sz="0" w:space="0" w:color="auto"/>
        <w:bottom w:val="none" w:sz="0" w:space="0" w:color="auto"/>
        <w:right w:val="none" w:sz="0" w:space="0" w:color="auto"/>
      </w:divBdr>
    </w:div>
    <w:div w:id="412313202">
      <w:bodyDiv w:val="1"/>
      <w:marLeft w:val="0"/>
      <w:marRight w:val="0"/>
      <w:marTop w:val="0"/>
      <w:marBottom w:val="0"/>
      <w:divBdr>
        <w:top w:val="none" w:sz="0" w:space="0" w:color="auto"/>
        <w:left w:val="none" w:sz="0" w:space="0" w:color="auto"/>
        <w:bottom w:val="none" w:sz="0" w:space="0" w:color="auto"/>
        <w:right w:val="none" w:sz="0" w:space="0" w:color="auto"/>
      </w:divBdr>
    </w:div>
    <w:div w:id="444663729">
      <w:bodyDiv w:val="1"/>
      <w:marLeft w:val="0"/>
      <w:marRight w:val="0"/>
      <w:marTop w:val="0"/>
      <w:marBottom w:val="0"/>
      <w:divBdr>
        <w:top w:val="none" w:sz="0" w:space="0" w:color="auto"/>
        <w:left w:val="none" w:sz="0" w:space="0" w:color="auto"/>
        <w:bottom w:val="none" w:sz="0" w:space="0" w:color="auto"/>
        <w:right w:val="none" w:sz="0" w:space="0" w:color="auto"/>
      </w:divBdr>
    </w:div>
    <w:div w:id="464661993">
      <w:bodyDiv w:val="1"/>
      <w:marLeft w:val="0"/>
      <w:marRight w:val="0"/>
      <w:marTop w:val="0"/>
      <w:marBottom w:val="0"/>
      <w:divBdr>
        <w:top w:val="none" w:sz="0" w:space="0" w:color="auto"/>
        <w:left w:val="none" w:sz="0" w:space="0" w:color="auto"/>
        <w:bottom w:val="none" w:sz="0" w:space="0" w:color="auto"/>
        <w:right w:val="none" w:sz="0" w:space="0" w:color="auto"/>
      </w:divBdr>
    </w:div>
    <w:div w:id="474221589">
      <w:bodyDiv w:val="1"/>
      <w:marLeft w:val="0"/>
      <w:marRight w:val="0"/>
      <w:marTop w:val="0"/>
      <w:marBottom w:val="0"/>
      <w:divBdr>
        <w:top w:val="none" w:sz="0" w:space="0" w:color="auto"/>
        <w:left w:val="none" w:sz="0" w:space="0" w:color="auto"/>
        <w:bottom w:val="none" w:sz="0" w:space="0" w:color="auto"/>
        <w:right w:val="none" w:sz="0" w:space="0" w:color="auto"/>
      </w:divBdr>
    </w:div>
    <w:div w:id="527836690">
      <w:bodyDiv w:val="1"/>
      <w:marLeft w:val="0"/>
      <w:marRight w:val="0"/>
      <w:marTop w:val="0"/>
      <w:marBottom w:val="0"/>
      <w:divBdr>
        <w:top w:val="none" w:sz="0" w:space="0" w:color="auto"/>
        <w:left w:val="none" w:sz="0" w:space="0" w:color="auto"/>
        <w:bottom w:val="none" w:sz="0" w:space="0" w:color="auto"/>
        <w:right w:val="none" w:sz="0" w:space="0" w:color="auto"/>
      </w:divBdr>
    </w:div>
    <w:div w:id="594360664">
      <w:bodyDiv w:val="1"/>
      <w:marLeft w:val="0"/>
      <w:marRight w:val="0"/>
      <w:marTop w:val="0"/>
      <w:marBottom w:val="0"/>
      <w:divBdr>
        <w:top w:val="none" w:sz="0" w:space="0" w:color="auto"/>
        <w:left w:val="none" w:sz="0" w:space="0" w:color="auto"/>
        <w:bottom w:val="none" w:sz="0" w:space="0" w:color="auto"/>
        <w:right w:val="none" w:sz="0" w:space="0" w:color="auto"/>
      </w:divBdr>
    </w:div>
    <w:div w:id="601643584">
      <w:bodyDiv w:val="1"/>
      <w:marLeft w:val="0"/>
      <w:marRight w:val="0"/>
      <w:marTop w:val="0"/>
      <w:marBottom w:val="0"/>
      <w:divBdr>
        <w:top w:val="none" w:sz="0" w:space="0" w:color="auto"/>
        <w:left w:val="none" w:sz="0" w:space="0" w:color="auto"/>
        <w:bottom w:val="none" w:sz="0" w:space="0" w:color="auto"/>
        <w:right w:val="none" w:sz="0" w:space="0" w:color="auto"/>
      </w:divBdr>
    </w:div>
    <w:div w:id="672880588">
      <w:bodyDiv w:val="1"/>
      <w:marLeft w:val="0"/>
      <w:marRight w:val="0"/>
      <w:marTop w:val="0"/>
      <w:marBottom w:val="0"/>
      <w:divBdr>
        <w:top w:val="none" w:sz="0" w:space="0" w:color="auto"/>
        <w:left w:val="none" w:sz="0" w:space="0" w:color="auto"/>
        <w:bottom w:val="none" w:sz="0" w:space="0" w:color="auto"/>
        <w:right w:val="none" w:sz="0" w:space="0" w:color="auto"/>
      </w:divBdr>
    </w:div>
    <w:div w:id="730471153">
      <w:bodyDiv w:val="1"/>
      <w:marLeft w:val="0"/>
      <w:marRight w:val="0"/>
      <w:marTop w:val="0"/>
      <w:marBottom w:val="0"/>
      <w:divBdr>
        <w:top w:val="none" w:sz="0" w:space="0" w:color="auto"/>
        <w:left w:val="none" w:sz="0" w:space="0" w:color="auto"/>
        <w:bottom w:val="none" w:sz="0" w:space="0" w:color="auto"/>
        <w:right w:val="none" w:sz="0" w:space="0" w:color="auto"/>
      </w:divBdr>
    </w:div>
    <w:div w:id="738401631">
      <w:bodyDiv w:val="1"/>
      <w:marLeft w:val="0"/>
      <w:marRight w:val="0"/>
      <w:marTop w:val="0"/>
      <w:marBottom w:val="0"/>
      <w:divBdr>
        <w:top w:val="none" w:sz="0" w:space="0" w:color="auto"/>
        <w:left w:val="none" w:sz="0" w:space="0" w:color="auto"/>
        <w:bottom w:val="none" w:sz="0" w:space="0" w:color="auto"/>
        <w:right w:val="none" w:sz="0" w:space="0" w:color="auto"/>
      </w:divBdr>
    </w:div>
    <w:div w:id="747535176">
      <w:bodyDiv w:val="1"/>
      <w:marLeft w:val="0"/>
      <w:marRight w:val="0"/>
      <w:marTop w:val="0"/>
      <w:marBottom w:val="0"/>
      <w:divBdr>
        <w:top w:val="none" w:sz="0" w:space="0" w:color="auto"/>
        <w:left w:val="none" w:sz="0" w:space="0" w:color="auto"/>
        <w:bottom w:val="none" w:sz="0" w:space="0" w:color="auto"/>
        <w:right w:val="none" w:sz="0" w:space="0" w:color="auto"/>
      </w:divBdr>
    </w:div>
    <w:div w:id="754326889">
      <w:bodyDiv w:val="1"/>
      <w:marLeft w:val="0"/>
      <w:marRight w:val="0"/>
      <w:marTop w:val="0"/>
      <w:marBottom w:val="0"/>
      <w:divBdr>
        <w:top w:val="none" w:sz="0" w:space="0" w:color="auto"/>
        <w:left w:val="none" w:sz="0" w:space="0" w:color="auto"/>
        <w:bottom w:val="none" w:sz="0" w:space="0" w:color="auto"/>
        <w:right w:val="none" w:sz="0" w:space="0" w:color="auto"/>
      </w:divBdr>
    </w:div>
    <w:div w:id="805512248">
      <w:bodyDiv w:val="1"/>
      <w:marLeft w:val="0"/>
      <w:marRight w:val="0"/>
      <w:marTop w:val="0"/>
      <w:marBottom w:val="0"/>
      <w:divBdr>
        <w:top w:val="none" w:sz="0" w:space="0" w:color="auto"/>
        <w:left w:val="none" w:sz="0" w:space="0" w:color="auto"/>
        <w:bottom w:val="none" w:sz="0" w:space="0" w:color="auto"/>
        <w:right w:val="none" w:sz="0" w:space="0" w:color="auto"/>
      </w:divBdr>
    </w:div>
    <w:div w:id="826170989">
      <w:bodyDiv w:val="1"/>
      <w:marLeft w:val="0"/>
      <w:marRight w:val="0"/>
      <w:marTop w:val="0"/>
      <w:marBottom w:val="0"/>
      <w:divBdr>
        <w:top w:val="none" w:sz="0" w:space="0" w:color="auto"/>
        <w:left w:val="none" w:sz="0" w:space="0" w:color="auto"/>
        <w:bottom w:val="none" w:sz="0" w:space="0" w:color="auto"/>
        <w:right w:val="none" w:sz="0" w:space="0" w:color="auto"/>
      </w:divBdr>
    </w:div>
    <w:div w:id="909777734">
      <w:bodyDiv w:val="1"/>
      <w:marLeft w:val="0"/>
      <w:marRight w:val="0"/>
      <w:marTop w:val="0"/>
      <w:marBottom w:val="0"/>
      <w:divBdr>
        <w:top w:val="none" w:sz="0" w:space="0" w:color="auto"/>
        <w:left w:val="none" w:sz="0" w:space="0" w:color="auto"/>
        <w:bottom w:val="none" w:sz="0" w:space="0" w:color="auto"/>
        <w:right w:val="none" w:sz="0" w:space="0" w:color="auto"/>
      </w:divBdr>
    </w:div>
    <w:div w:id="913703279">
      <w:bodyDiv w:val="1"/>
      <w:marLeft w:val="0"/>
      <w:marRight w:val="0"/>
      <w:marTop w:val="0"/>
      <w:marBottom w:val="0"/>
      <w:divBdr>
        <w:top w:val="none" w:sz="0" w:space="0" w:color="auto"/>
        <w:left w:val="none" w:sz="0" w:space="0" w:color="auto"/>
        <w:bottom w:val="none" w:sz="0" w:space="0" w:color="auto"/>
        <w:right w:val="none" w:sz="0" w:space="0" w:color="auto"/>
      </w:divBdr>
    </w:div>
    <w:div w:id="946543864">
      <w:bodyDiv w:val="1"/>
      <w:marLeft w:val="0"/>
      <w:marRight w:val="0"/>
      <w:marTop w:val="0"/>
      <w:marBottom w:val="0"/>
      <w:divBdr>
        <w:top w:val="none" w:sz="0" w:space="0" w:color="auto"/>
        <w:left w:val="none" w:sz="0" w:space="0" w:color="auto"/>
        <w:bottom w:val="none" w:sz="0" w:space="0" w:color="auto"/>
        <w:right w:val="none" w:sz="0" w:space="0" w:color="auto"/>
      </w:divBdr>
    </w:div>
    <w:div w:id="956529091">
      <w:bodyDiv w:val="1"/>
      <w:marLeft w:val="0"/>
      <w:marRight w:val="0"/>
      <w:marTop w:val="0"/>
      <w:marBottom w:val="0"/>
      <w:divBdr>
        <w:top w:val="none" w:sz="0" w:space="0" w:color="auto"/>
        <w:left w:val="none" w:sz="0" w:space="0" w:color="auto"/>
        <w:bottom w:val="none" w:sz="0" w:space="0" w:color="auto"/>
        <w:right w:val="none" w:sz="0" w:space="0" w:color="auto"/>
      </w:divBdr>
    </w:div>
    <w:div w:id="962658515">
      <w:bodyDiv w:val="1"/>
      <w:marLeft w:val="0"/>
      <w:marRight w:val="0"/>
      <w:marTop w:val="0"/>
      <w:marBottom w:val="0"/>
      <w:divBdr>
        <w:top w:val="none" w:sz="0" w:space="0" w:color="auto"/>
        <w:left w:val="none" w:sz="0" w:space="0" w:color="auto"/>
        <w:bottom w:val="none" w:sz="0" w:space="0" w:color="auto"/>
        <w:right w:val="none" w:sz="0" w:space="0" w:color="auto"/>
      </w:divBdr>
    </w:div>
    <w:div w:id="968442084">
      <w:bodyDiv w:val="1"/>
      <w:marLeft w:val="0"/>
      <w:marRight w:val="0"/>
      <w:marTop w:val="0"/>
      <w:marBottom w:val="0"/>
      <w:divBdr>
        <w:top w:val="none" w:sz="0" w:space="0" w:color="auto"/>
        <w:left w:val="none" w:sz="0" w:space="0" w:color="auto"/>
        <w:bottom w:val="none" w:sz="0" w:space="0" w:color="auto"/>
        <w:right w:val="none" w:sz="0" w:space="0" w:color="auto"/>
      </w:divBdr>
    </w:div>
    <w:div w:id="1048453943">
      <w:bodyDiv w:val="1"/>
      <w:marLeft w:val="0"/>
      <w:marRight w:val="0"/>
      <w:marTop w:val="0"/>
      <w:marBottom w:val="0"/>
      <w:divBdr>
        <w:top w:val="none" w:sz="0" w:space="0" w:color="auto"/>
        <w:left w:val="none" w:sz="0" w:space="0" w:color="auto"/>
        <w:bottom w:val="none" w:sz="0" w:space="0" w:color="auto"/>
        <w:right w:val="none" w:sz="0" w:space="0" w:color="auto"/>
      </w:divBdr>
    </w:div>
    <w:div w:id="1058743637">
      <w:bodyDiv w:val="1"/>
      <w:marLeft w:val="0"/>
      <w:marRight w:val="0"/>
      <w:marTop w:val="0"/>
      <w:marBottom w:val="0"/>
      <w:divBdr>
        <w:top w:val="none" w:sz="0" w:space="0" w:color="auto"/>
        <w:left w:val="none" w:sz="0" w:space="0" w:color="auto"/>
        <w:bottom w:val="none" w:sz="0" w:space="0" w:color="auto"/>
        <w:right w:val="none" w:sz="0" w:space="0" w:color="auto"/>
      </w:divBdr>
    </w:div>
    <w:div w:id="1100952319">
      <w:bodyDiv w:val="1"/>
      <w:marLeft w:val="0"/>
      <w:marRight w:val="0"/>
      <w:marTop w:val="0"/>
      <w:marBottom w:val="0"/>
      <w:divBdr>
        <w:top w:val="none" w:sz="0" w:space="0" w:color="auto"/>
        <w:left w:val="none" w:sz="0" w:space="0" w:color="auto"/>
        <w:bottom w:val="none" w:sz="0" w:space="0" w:color="auto"/>
        <w:right w:val="none" w:sz="0" w:space="0" w:color="auto"/>
      </w:divBdr>
    </w:div>
    <w:div w:id="1105077622">
      <w:bodyDiv w:val="1"/>
      <w:marLeft w:val="0"/>
      <w:marRight w:val="0"/>
      <w:marTop w:val="0"/>
      <w:marBottom w:val="0"/>
      <w:divBdr>
        <w:top w:val="none" w:sz="0" w:space="0" w:color="auto"/>
        <w:left w:val="none" w:sz="0" w:space="0" w:color="auto"/>
        <w:bottom w:val="none" w:sz="0" w:space="0" w:color="auto"/>
        <w:right w:val="none" w:sz="0" w:space="0" w:color="auto"/>
      </w:divBdr>
    </w:div>
    <w:div w:id="1138033421">
      <w:bodyDiv w:val="1"/>
      <w:marLeft w:val="0"/>
      <w:marRight w:val="0"/>
      <w:marTop w:val="0"/>
      <w:marBottom w:val="0"/>
      <w:divBdr>
        <w:top w:val="none" w:sz="0" w:space="0" w:color="auto"/>
        <w:left w:val="none" w:sz="0" w:space="0" w:color="auto"/>
        <w:bottom w:val="none" w:sz="0" w:space="0" w:color="auto"/>
        <w:right w:val="none" w:sz="0" w:space="0" w:color="auto"/>
      </w:divBdr>
    </w:div>
    <w:div w:id="1175222781">
      <w:bodyDiv w:val="1"/>
      <w:marLeft w:val="0"/>
      <w:marRight w:val="0"/>
      <w:marTop w:val="0"/>
      <w:marBottom w:val="0"/>
      <w:divBdr>
        <w:top w:val="none" w:sz="0" w:space="0" w:color="auto"/>
        <w:left w:val="none" w:sz="0" w:space="0" w:color="auto"/>
        <w:bottom w:val="none" w:sz="0" w:space="0" w:color="auto"/>
        <w:right w:val="none" w:sz="0" w:space="0" w:color="auto"/>
      </w:divBdr>
    </w:div>
    <w:div w:id="1175607036">
      <w:bodyDiv w:val="1"/>
      <w:marLeft w:val="0"/>
      <w:marRight w:val="0"/>
      <w:marTop w:val="0"/>
      <w:marBottom w:val="0"/>
      <w:divBdr>
        <w:top w:val="none" w:sz="0" w:space="0" w:color="auto"/>
        <w:left w:val="none" w:sz="0" w:space="0" w:color="auto"/>
        <w:bottom w:val="none" w:sz="0" w:space="0" w:color="auto"/>
        <w:right w:val="none" w:sz="0" w:space="0" w:color="auto"/>
      </w:divBdr>
    </w:div>
    <w:div w:id="1185510781">
      <w:bodyDiv w:val="1"/>
      <w:marLeft w:val="0"/>
      <w:marRight w:val="0"/>
      <w:marTop w:val="0"/>
      <w:marBottom w:val="0"/>
      <w:divBdr>
        <w:top w:val="none" w:sz="0" w:space="0" w:color="auto"/>
        <w:left w:val="none" w:sz="0" w:space="0" w:color="auto"/>
        <w:bottom w:val="none" w:sz="0" w:space="0" w:color="auto"/>
        <w:right w:val="none" w:sz="0" w:space="0" w:color="auto"/>
      </w:divBdr>
    </w:div>
    <w:div w:id="1211575504">
      <w:bodyDiv w:val="1"/>
      <w:marLeft w:val="0"/>
      <w:marRight w:val="0"/>
      <w:marTop w:val="0"/>
      <w:marBottom w:val="0"/>
      <w:divBdr>
        <w:top w:val="none" w:sz="0" w:space="0" w:color="auto"/>
        <w:left w:val="none" w:sz="0" w:space="0" w:color="auto"/>
        <w:bottom w:val="none" w:sz="0" w:space="0" w:color="auto"/>
        <w:right w:val="none" w:sz="0" w:space="0" w:color="auto"/>
      </w:divBdr>
    </w:div>
    <w:div w:id="1322000747">
      <w:bodyDiv w:val="1"/>
      <w:marLeft w:val="0"/>
      <w:marRight w:val="0"/>
      <w:marTop w:val="0"/>
      <w:marBottom w:val="0"/>
      <w:divBdr>
        <w:top w:val="none" w:sz="0" w:space="0" w:color="auto"/>
        <w:left w:val="none" w:sz="0" w:space="0" w:color="auto"/>
        <w:bottom w:val="none" w:sz="0" w:space="0" w:color="auto"/>
        <w:right w:val="none" w:sz="0" w:space="0" w:color="auto"/>
      </w:divBdr>
    </w:div>
    <w:div w:id="1419137079">
      <w:bodyDiv w:val="1"/>
      <w:marLeft w:val="0"/>
      <w:marRight w:val="0"/>
      <w:marTop w:val="0"/>
      <w:marBottom w:val="0"/>
      <w:divBdr>
        <w:top w:val="none" w:sz="0" w:space="0" w:color="auto"/>
        <w:left w:val="none" w:sz="0" w:space="0" w:color="auto"/>
        <w:bottom w:val="none" w:sz="0" w:space="0" w:color="auto"/>
        <w:right w:val="none" w:sz="0" w:space="0" w:color="auto"/>
      </w:divBdr>
    </w:div>
    <w:div w:id="1433277134">
      <w:bodyDiv w:val="1"/>
      <w:marLeft w:val="0"/>
      <w:marRight w:val="0"/>
      <w:marTop w:val="0"/>
      <w:marBottom w:val="0"/>
      <w:divBdr>
        <w:top w:val="none" w:sz="0" w:space="0" w:color="auto"/>
        <w:left w:val="none" w:sz="0" w:space="0" w:color="auto"/>
        <w:bottom w:val="none" w:sz="0" w:space="0" w:color="auto"/>
        <w:right w:val="none" w:sz="0" w:space="0" w:color="auto"/>
      </w:divBdr>
    </w:div>
    <w:div w:id="1533765325">
      <w:bodyDiv w:val="1"/>
      <w:marLeft w:val="0"/>
      <w:marRight w:val="0"/>
      <w:marTop w:val="0"/>
      <w:marBottom w:val="0"/>
      <w:divBdr>
        <w:top w:val="none" w:sz="0" w:space="0" w:color="auto"/>
        <w:left w:val="none" w:sz="0" w:space="0" w:color="auto"/>
        <w:bottom w:val="none" w:sz="0" w:space="0" w:color="auto"/>
        <w:right w:val="none" w:sz="0" w:space="0" w:color="auto"/>
      </w:divBdr>
    </w:div>
    <w:div w:id="1641298852">
      <w:bodyDiv w:val="1"/>
      <w:marLeft w:val="0"/>
      <w:marRight w:val="0"/>
      <w:marTop w:val="0"/>
      <w:marBottom w:val="0"/>
      <w:divBdr>
        <w:top w:val="none" w:sz="0" w:space="0" w:color="auto"/>
        <w:left w:val="none" w:sz="0" w:space="0" w:color="auto"/>
        <w:bottom w:val="none" w:sz="0" w:space="0" w:color="auto"/>
        <w:right w:val="none" w:sz="0" w:space="0" w:color="auto"/>
      </w:divBdr>
    </w:div>
    <w:div w:id="1709454138">
      <w:bodyDiv w:val="1"/>
      <w:marLeft w:val="0"/>
      <w:marRight w:val="0"/>
      <w:marTop w:val="0"/>
      <w:marBottom w:val="0"/>
      <w:divBdr>
        <w:top w:val="none" w:sz="0" w:space="0" w:color="auto"/>
        <w:left w:val="none" w:sz="0" w:space="0" w:color="auto"/>
        <w:bottom w:val="none" w:sz="0" w:space="0" w:color="auto"/>
        <w:right w:val="none" w:sz="0" w:space="0" w:color="auto"/>
      </w:divBdr>
    </w:div>
    <w:div w:id="1774667318">
      <w:bodyDiv w:val="1"/>
      <w:marLeft w:val="0"/>
      <w:marRight w:val="0"/>
      <w:marTop w:val="0"/>
      <w:marBottom w:val="0"/>
      <w:divBdr>
        <w:top w:val="none" w:sz="0" w:space="0" w:color="auto"/>
        <w:left w:val="none" w:sz="0" w:space="0" w:color="auto"/>
        <w:bottom w:val="none" w:sz="0" w:space="0" w:color="auto"/>
        <w:right w:val="none" w:sz="0" w:space="0" w:color="auto"/>
      </w:divBdr>
    </w:div>
    <w:div w:id="1865048795">
      <w:bodyDiv w:val="1"/>
      <w:marLeft w:val="0"/>
      <w:marRight w:val="0"/>
      <w:marTop w:val="0"/>
      <w:marBottom w:val="0"/>
      <w:divBdr>
        <w:top w:val="none" w:sz="0" w:space="0" w:color="auto"/>
        <w:left w:val="none" w:sz="0" w:space="0" w:color="auto"/>
        <w:bottom w:val="none" w:sz="0" w:space="0" w:color="auto"/>
        <w:right w:val="none" w:sz="0" w:space="0" w:color="auto"/>
      </w:divBdr>
    </w:div>
    <w:div w:id="1881626582">
      <w:bodyDiv w:val="1"/>
      <w:marLeft w:val="0"/>
      <w:marRight w:val="0"/>
      <w:marTop w:val="0"/>
      <w:marBottom w:val="0"/>
      <w:divBdr>
        <w:top w:val="none" w:sz="0" w:space="0" w:color="auto"/>
        <w:left w:val="none" w:sz="0" w:space="0" w:color="auto"/>
        <w:bottom w:val="none" w:sz="0" w:space="0" w:color="auto"/>
        <w:right w:val="none" w:sz="0" w:space="0" w:color="auto"/>
      </w:divBdr>
    </w:div>
    <w:div w:id="1950158702">
      <w:bodyDiv w:val="1"/>
      <w:marLeft w:val="0"/>
      <w:marRight w:val="0"/>
      <w:marTop w:val="0"/>
      <w:marBottom w:val="0"/>
      <w:divBdr>
        <w:top w:val="none" w:sz="0" w:space="0" w:color="auto"/>
        <w:left w:val="none" w:sz="0" w:space="0" w:color="auto"/>
        <w:bottom w:val="none" w:sz="0" w:space="0" w:color="auto"/>
        <w:right w:val="none" w:sz="0" w:space="0" w:color="auto"/>
      </w:divBdr>
    </w:div>
    <w:div w:id="2102994221">
      <w:bodyDiv w:val="1"/>
      <w:marLeft w:val="0"/>
      <w:marRight w:val="0"/>
      <w:marTop w:val="0"/>
      <w:marBottom w:val="0"/>
      <w:divBdr>
        <w:top w:val="none" w:sz="0" w:space="0" w:color="auto"/>
        <w:left w:val="none" w:sz="0" w:space="0" w:color="auto"/>
        <w:bottom w:val="none" w:sz="0" w:space="0" w:color="auto"/>
        <w:right w:val="none" w:sz="0" w:space="0" w:color="auto"/>
      </w:divBdr>
    </w:div>
    <w:div w:id="211964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jn-crimjust.europa.eu/ejn/libcategories/EN/39/-1/-1/-1" TargetMode="External"/><Relationship Id="rId18" Type="http://schemas.openxmlformats.org/officeDocument/2006/relationships/hyperlink" Target="https://www.ejn-crimjust.europa.eu/ejn/libdocumentproperties.aspx?Id=1176" TargetMode="External"/><Relationship Id="rId26" Type="http://schemas.openxmlformats.org/officeDocument/2006/relationships/image" Target="media/image5.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www.ejn-crimjust.europa.eu/ejn/libcategories/EN/39/-1/-1/-1"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ejn-crimjust.europa.eu" TargetMode="External"/><Relationship Id="rId17" Type="http://schemas.openxmlformats.org/officeDocument/2006/relationships/hyperlink" Target="https://www.ejn-crimjust.europa.eu/ejn/libdocumentproperties.aspx?Id=1229"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www.ejn-crimjust.europa.eu" TargetMode="External"/><Relationship Id="rId20" Type="http://schemas.openxmlformats.org/officeDocument/2006/relationships/hyperlink" Target="https://www.ejn-crimjust.europa.eu/ejn/AtlasAuthorityData/EN/223/9/908/54/417/2/0/4965/479/0/1/915/1"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jn-crimjust.europa.eu/ejn/AtlasChooseCountry/EN"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ejn-crimjust.europa.eu/ejn/libcategories/EN/39/-1/-1/-1"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yperlink" Target="https://www.ejn-crimjust.europa.eu/ejn/libdocumentproperties.aspx?Id=1229" TargetMode="External"/><Relationship Id="rId10" Type="http://schemas.openxmlformats.org/officeDocument/2006/relationships/hyperlink" Target="https://www.ejn-crimjust.europa.eu/ejn/EJN_Library_StatusOfImpByCat.aspx?l=EN&amp;CategoryId=39" TargetMode="External"/><Relationship Id="rId19" Type="http://schemas.openxmlformats.org/officeDocument/2006/relationships/hyperlink" Target="http://www.ejn-crimjust.europa.eu"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ejn-crimjust.europa.eu" TargetMode="External"/><Relationship Id="rId14" Type="http://schemas.openxmlformats.org/officeDocument/2006/relationships/hyperlink" Target="mailto:cis.bxl@just.fgov.be"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ejn-crimjust.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B6070-D0B2-4257-9B5F-6907228B3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39</Pages>
  <Words>6117</Words>
  <Characters>36708</Characters>
  <Application>Microsoft Office Word</Application>
  <DocSecurity>0</DocSecurity>
  <Lines>305</Lines>
  <Paragraphs>85</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www.vivalang.pl</Company>
  <LinksUpToDate>false</LinksUpToDate>
  <CharactersWithSpaces>42740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www.vivalang.pl</dc:creator>
  <cp:keywords/>
  <dc:description/>
  <cp:lastModifiedBy>Grzegorz Kucharczyk</cp:lastModifiedBy>
  <cp:revision>407</cp:revision>
  <cp:lastPrinted>2020-03-12T12:00:00Z</cp:lastPrinted>
  <dcterms:created xsi:type="dcterms:W3CDTF">2020-03-09T09:39:00Z</dcterms:created>
  <dcterms:modified xsi:type="dcterms:W3CDTF">2021-03-31T05:25:00Z</dcterms:modified>
</cp:coreProperties>
</file>