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D0314" w14:textId="55978EC0" w:rsidR="002A7CAA" w:rsidRPr="00567437" w:rsidRDefault="00F71519" w:rsidP="0074607F">
      <w:pPr>
        <w:jc w:val="center"/>
        <w:rPr>
          <w:rFonts w:ascii="Times New Roman" w:hAnsi="Times New Roman" w:cs="Times New Roman"/>
          <w:b/>
          <w:bCs/>
          <w:sz w:val="32"/>
          <w:szCs w:val="32"/>
        </w:rPr>
      </w:pPr>
    </w:p>
    <w:p w14:paraId="324C2CD3" w14:textId="77777777" w:rsidR="002A7CAA" w:rsidRPr="00567437" w:rsidRDefault="00F71519" w:rsidP="0074607F">
      <w:pPr>
        <w:jc w:val="center"/>
        <w:rPr>
          <w:rFonts w:ascii="Times New Roman" w:hAnsi="Times New Roman" w:cs="Times New Roman"/>
          <w:b/>
          <w:bCs/>
          <w:sz w:val="32"/>
          <w:szCs w:val="32"/>
        </w:rPr>
      </w:pPr>
    </w:p>
    <w:p w14:paraId="71B5C7F3" w14:textId="248601BA" w:rsidR="007C456C" w:rsidRPr="00567437" w:rsidRDefault="0074309F" w:rsidP="0074607F">
      <w:pPr>
        <w:jc w:val="center"/>
        <w:rPr>
          <w:rFonts w:ascii="Times New Roman" w:hAnsi="Times New Roman" w:cs="Times New Roman"/>
          <w:b/>
          <w:bCs/>
          <w:sz w:val="36"/>
          <w:szCs w:val="28"/>
        </w:rPr>
      </w:pPr>
      <w:r w:rsidRPr="00567437">
        <w:rPr>
          <w:rFonts w:ascii="Times New Roman" w:hAnsi="Times New Roman" w:cs="Times New Roman"/>
          <w:b/>
          <w:bCs/>
          <w:sz w:val="36"/>
          <w:szCs w:val="28"/>
        </w:rPr>
        <w:t>Auxílio Judiciário Mútuo em Matéria Penal</w:t>
      </w:r>
    </w:p>
    <w:p w14:paraId="587BE827" w14:textId="29143721" w:rsidR="002A7CAA" w:rsidRPr="00567437" w:rsidRDefault="0074309F" w:rsidP="0074607F">
      <w:pPr>
        <w:jc w:val="center"/>
        <w:rPr>
          <w:rFonts w:ascii="Times New Roman" w:hAnsi="Times New Roman" w:cs="Times New Roman"/>
          <w:bCs/>
          <w:i/>
          <w:sz w:val="28"/>
          <w:szCs w:val="28"/>
        </w:rPr>
      </w:pPr>
      <w:r w:rsidRPr="00567437">
        <w:rPr>
          <w:rFonts w:ascii="Times New Roman" w:hAnsi="Times New Roman" w:cs="Times New Roman"/>
          <w:i/>
          <w:iCs/>
          <w:sz w:val="28"/>
          <w:szCs w:val="28"/>
        </w:rPr>
        <w:t>Conjunto de Estudos de Caso – Guia para Formadores</w:t>
      </w:r>
    </w:p>
    <w:p w14:paraId="1FB5B63A" w14:textId="191C97D4" w:rsidR="002A7CAA" w:rsidRPr="00567437" w:rsidRDefault="00F71519" w:rsidP="0074607F">
      <w:pPr>
        <w:jc w:val="center"/>
        <w:rPr>
          <w:rFonts w:ascii="Times New Roman" w:hAnsi="Times New Roman" w:cs="Times New Roman"/>
          <w:b/>
          <w:bCs/>
          <w:sz w:val="28"/>
          <w:szCs w:val="28"/>
        </w:rPr>
      </w:pPr>
    </w:p>
    <w:p w14:paraId="78F961CD" w14:textId="1229E1BF" w:rsidR="002A7CAA" w:rsidRPr="00567437" w:rsidRDefault="00F71519" w:rsidP="0074607F">
      <w:pPr>
        <w:jc w:val="center"/>
        <w:rPr>
          <w:rFonts w:ascii="Times New Roman" w:hAnsi="Times New Roman" w:cs="Times New Roman"/>
          <w:b/>
          <w:bCs/>
          <w:sz w:val="28"/>
          <w:szCs w:val="28"/>
        </w:rPr>
      </w:pPr>
    </w:p>
    <w:p w14:paraId="6BC621FE" w14:textId="77777777" w:rsidR="002A7CAA" w:rsidRPr="00567437" w:rsidRDefault="00F71519" w:rsidP="0074607F">
      <w:pPr>
        <w:jc w:val="center"/>
        <w:rPr>
          <w:rFonts w:ascii="Times New Roman" w:hAnsi="Times New Roman" w:cs="Times New Roman"/>
          <w:b/>
          <w:bCs/>
          <w:sz w:val="28"/>
          <w:szCs w:val="28"/>
        </w:rPr>
      </w:pPr>
    </w:p>
    <w:p w14:paraId="137EA3A3" w14:textId="77777777" w:rsidR="002A7CAA" w:rsidRPr="00567437" w:rsidRDefault="00F71519" w:rsidP="0074607F">
      <w:pPr>
        <w:rPr>
          <w:rFonts w:ascii="Times New Roman" w:hAnsi="Times New Roman" w:cs="Times New Roman"/>
          <w:b/>
          <w:bCs/>
          <w:sz w:val="28"/>
          <w:szCs w:val="28"/>
        </w:rPr>
      </w:pPr>
    </w:p>
    <w:p w14:paraId="1DDD5A93" w14:textId="77777777" w:rsidR="002A7CAA" w:rsidRPr="00567437" w:rsidRDefault="0074309F" w:rsidP="0074607F">
      <w:pPr>
        <w:spacing w:after="0"/>
        <w:rPr>
          <w:rFonts w:ascii="Times New Roman" w:hAnsi="Times New Roman" w:cs="Times New Roman"/>
          <w:bCs/>
          <w:sz w:val="32"/>
          <w:szCs w:val="28"/>
        </w:rPr>
      </w:pPr>
      <w:r w:rsidRPr="00567437">
        <w:rPr>
          <w:rFonts w:ascii="Times New Roman" w:hAnsi="Times New Roman" w:cs="Times New Roman"/>
          <w:sz w:val="32"/>
          <w:szCs w:val="28"/>
        </w:rPr>
        <w:t>Elaborado por:</w:t>
      </w:r>
    </w:p>
    <w:p w14:paraId="4FE886F4" w14:textId="77777777" w:rsidR="002A7CAA" w:rsidRPr="00567437" w:rsidRDefault="0074309F" w:rsidP="0074607F">
      <w:pPr>
        <w:spacing w:after="0"/>
        <w:rPr>
          <w:rFonts w:ascii="Times New Roman" w:hAnsi="Times New Roman" w:cs="Times New Roman"/>
          <w:bCs/>
          <w:i/>
          <w:sz w:val="28"/>
          <w:szCs w:val="28"/>
        </w:rPr>
      </w:pPr>
      <w:r w:rsidRPr="00567437">
        <w:rPr>
          <w:rFonts w:ascii="Times New Roman" w:hAnsi="Times New Roman" w:cs="Times New Roman"/>
          <w:i/>
          <w:iCs/>
          <w:sz w:val="28"/>
          <w:szCs w:val="28"/>
        </w:rPr>
        <w:t xml:space="preserve">Daniel </w:t>
      </w:r>
      <w:proofErr w:type="spellStart"/>
      <w:r w:rsidRPr="00567437">
        <w:rPr>
          <w:rFonts w:ascii="Times New Roman" w:hAnsi="Times New Roman" w:cs="Times New Roman"/>
          <w:i/>
          <w:iCs/>
          <w:sz w:val="28"/>
          <w:szCs w:val="28"/>
        </w:rPr>
        <w:t>Constantin</w:t>
      </w:r>
      <w:proofErr w:type="spellEnd"/>
      <w:r w:rsidRPr="00567437">
        <w:rPr>
          <w:rFonts w:ascii="Times New Roman" w:hAnsi="Times New Roman" w:cs="Times New Roman"/>
          <w:i/>
          <w:iCs/>
          <w:sz w:val="28"/>
          <w:szCs w:val="28"/>
        </w:rPr>
        <w:t xml:space="preserve"> </w:t>
      </w:r>
      <w:proofErr w:type="spellStart"/>
      <w:r w:rsidRPr="00567437">
        <w:rPr>
          <w:rFonts w:ascii="Times New Roman" w:hAnsi="Times New Roman" w:cs="Times New Roman"/>
          <w:i/>
          <w:iCs/>
          <w:sz w:val="28"/>
          <w:szCs w:val="28"/>
        </w:rPr>
        <w:t>Motoi</w:t>
      </w:r>
      <w:proofErr w:type="spellEnd"/>
    </w:p>
    <w:p w14:paraId="268E1868" w14:textId="77777777" w:rsidR="002A7CAA" w:rsidRPr="00567437" w:rsidRDefault="0074309F" w:rsidP="0074607F">
      <w:pPr>
        <w:spacing w:after="0"/>
        <w:rPr>
          <w:rFonts w:ascii="Times New Roman" w:hAnsi="Times New Roman" w:cs="Times New Roman"/>
          <w:bCs/>
          <w:i/>
          <w:sz w:val="28"/>
          <w:szCs w:val="28"/>
        </w:rPr>
      </w:pPr>
      <w:r w:rsidRPr="00567437">
        <w:rPr>
          <w:rFonts w:ascii="Times New Roman" w:hAnsi="Times New Roman" w:cs="Times New Roman"/>
          <w:i/>
          <w:iCs/>
          <w:sz w:val="28"/>
          <w:szCs w:val="28"/>
        </w:rPr>
        <w:t xml:space="preserve">Juiz, </w:t>
      </w:r>
    </w:p>
    <w:p w14:paraId="344B187C" w14:textId="77777777" w:rsidR="002A7CAA" w:rsidRPr="00567437" w:rsidRDefault="0074309F" w:rsidP="0074607F">
      <w:pPr>
        <w:spacing w:after="0"/>
        <w:rPr>
          <w:rFonts w:ascii="Times New Roman" w:hAnsi="Times New Roman" w:cs="Times New Roman"/>
          <w:bCs/>
          <w:i/>
          <w:sz w:val="28"/>
          <w:szCs w:val="28"/>
        </w:rPr>
      </w:pPr>
      <w:r w:rsidRPr="00567437">
        <w:rPr>
          <w:rFonts w:ascii="Times New Roman" w:hAnsi="Times New Roman" w:cs="Times New Roman"/>
          <w:i/>
          <w:iCs/>
          <w:sz w:val="28"/>
          <w:szCs w:val="28"/>
        </w:rPr>
        <w:t xml:space="preserve">Tribunal de Primeira Instância, 4th </w:t>
      </w:r>
      <w:proofErr w:type="spellStart"/>
      <w:r w:rsidRPr="00567437">
        <w:rPr>
          <w:rFonts w:ascii="Times New Roman" w:hAnsi="Times New Roman" w:cs="Times New Roman"/>
          <w:i/>
          <w:iCs/>
          <w:sz w:val="28"/>
          <w:szCs w:val="28"/>
        </w:rPr>
        <w:t>District</w:t>
      </w:r>
      <w:proofErr w:type="spellEnd"/>
      <w:r w:rsidRPr="00567437">
        <w:rPr>
          <w:rFonts w:ascii="Times New Roman" w:hAnsi="Times New Roman" w:cs="Times New Roman"/>
          <w:i/>
          <w:iCs/>
          <w:sz w:val="28"/>
          <w:szCs w:val="28"/>
        </w:rPr>
        <w:t>, Tribunal de Bucareste, Bucareste</w:t>
      </w:r>
    </w:p>
    <w:p w14:paraId="3FF72A8F" w14:textId="77777777" w:rsidR="002A7CAA" w:rsidRPr="00567437" w:rsidRDefault="00F71519" w:rsidP="0074607F">
      <w:pPr>
        <w:rPr>
          <w:rFonts w:ascii="Times New Roman" w:hAnsi="Times New Roman" w:cs="Times New Roman"/>
          <w:bCs/>
          <w:sz w:val="28"/>
          <w:szCs w:val="28"/>
        </w:rPr>
      </w:pPr>
    </w:p>
    <w:p w14:paraId="08287DCE" w14:textId="77777777" w:rsidR="002A7CAA" w:rsidRPr="00567437" w:rsidRDefault="0074309F" w:rsidP="0074607F">
      <w:pPr>
        <w:pBdr>
          <w:top w:val="single" w:sz="4" w:space="1" w:color="auto"/>
          <w:left w:val="single" w:sz="4" w:space="4" w:color="auto"/>
          <w:bottom w:val="single" w:sz="4" w:space="1" w:color="auto"/>
          <w:right w:val="single" w:sz="4" w:space="4" w:color="auto"/>
        </w:pBdr>
        <w:spacing w:after="0" w:line="276" w:lineRule="auto"/>
        <w:jc w:val="center"/>
        <w:rPr>
          <w:rStyle w:val="Forte"/>
          <w:rFonts w:ascii="Times New Roman" w:hAnsi="Times New Roman" w:cs="Times New Roman"/>
          <w:i/>
          <w:color w:val="000000"/>
          <w:sz w:val="32"/>
          <w:szCs w:val="28"/>
        </w:rPr>
      </w:pPr>
      <w:r w:rsidRPr="00567437">
        <w:rPr>
          <w:rStyle w:val="Forte"/>
          <w:rFonts w:ascii="Times New Roman" w:hAnsi="Times New Roman" w:cs="Times New Roman"/>
          <w:i/>
          <w:iCs/>
          <w:color w:val="000000"/>
          <w:sz w:val="32"/>
          <w:szCs w:val="28"/>
        </w:rPr>
        <w:t>Índice</w:t>
      </w:r>
    </w:p>
    <w:p w14:paraId="146EF0C0" w14:textId="77777777" w:rsidR="002A7CAA" w:rsidRPr="00567437" w:rsidRDefault="00F71519" w:rsidP="0074607F">
      <w:pPr>
        <w:pBdr>
          <w:top w:val="single" w:sz="4" w:space="1" w:color="auto"/>
          <w:left w:val="single" w:sz="4" w:space="4" w:color="auto"/>
          <w:bottom w:val="single" w:sz="4" w:space="1" w:color="auto"/>
          <w:right w:val="single" w:sz="4" w:space="4" w:color="auto"/>
        </w:pBdr>
        <w:spacing w:after="0" w:line="276" w:lineRule="auto"/>
        <w:rPr>
          <w:rStyle w:val="Forte"/>
          <w:rFonts w:ascii="Times New Roman" w:hAnsi="Times New Roman" w:cs="Times New Roman"/>
          <w:color w:val="000000"/>
          <w:sz w:val="28"/>
          <w:szCs w:val="28"/>
        </w:rPr>
      </w:pPr>
    </w:p>
    <w:p w14:paraId="7F16AFF7" w14:textId="73678F4C" w:rsidR="002A7CAA" w:rsidRPr="00567437" w:rsidRDefault="0074309F"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orte"/>
          <w:rFonts w:ascii="Times New Roman" w:hAnsi="Times New Roman" w:cs="Times New Roman"/>
          <w:color w:val="000000"/>
          <w:sz w:val="28"/>
          <w:szCs w:val="28"/>
        </w:rPr>
      </w:pPr>
      <w:r w:rsidRPr="00567437">
        <w:rPr>
          <w:rStyle w:val="Forte"/>
          <w:rFonts w:ascii="Times New Roman" w:hAnsi="Times New Roman" w:cs="Times New Roman"/>
          <w:color w:val="000000"/>
          <w:sz w:val="28"/>
          <w:szCs w:val="28"/>
        </w:rPr>
        <w:t xml:space="preserve">A. </w:t>
      </w:r>
      <w:r w:rsidRPr="00567437">
        <w:rPr>
          <w:rStyle w:val="Forte"/>
          <w:rFonts w:ascii="Times New Roman" w:hAnsi="Times New Roman" w:cs="Times New Roman"/>
          <w:color w:val="000000"/>
          <w:sz w:val="28"/>
          <w:szCs w:val="28"/>
        </w:rPr>
        <w:tab/>
        <w:t>Cenários</w:t>
      </w:r>
      <w:r w:rsidRPr="00567437">
        <w:rPr>
          <w:rStyle w:val="Forte"/>
          <w:rFonts w:ascii="Times New Roman" w:hAnsi="Times New Roman" w:cs="Times New Roman"/>
          <w:color w:val="000000"/>
          <w:sz w:val="28"/>
          <w:szCs w:val="28"/>
        </w:rPr>
        <w:tab/>
        <w:t>1</w:t>
      </w:r>
    </w:p>
    <w:p w14:paraId="24699C1B" w14:textId="6FF9B831" w:rsidR="002A7CAA" w:rsidRPr="00567437" w:rsidRDefault="0074309F"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orte"/>
          <w:rFonts w:ascii="Times New Roman" w:hAnsi="Times New Roman" w:cs="Times New Roman"/>
          <w:b w:val="0"/>
          <w:color w:val="000000"/>
          <w:sz w:val="28"/>
          <w:szCs w:val="28"/>
        </w:rPr>
      </w:pPr>
      <w:r w:rsidRPr="00567437">
        <w:rPr>
          <w:rStyle w:val="Forte"/>
          <w:rFonts w:ascii="Times New Roman" w:hAnsi="Times New Roman" w:cs="Times New Roman"/>
          <w:color w:val="000000"/>
          <w:sz w:val="28"/>
          <w:szCs w:val="28"/>
        </w:rPr>
        <w:t xml:space="preserve">I.  </w:t>
      </w:r>
      <w:r w:rsidRPr="00567437">
        <w:rPr>
          <w:rStyle w:val="Forte"/>
          <w:rFonts w:ascii="Times New Roman" w:hAnsi="Times New Roman" w:cs="Times New Roman"/>
          <w:b w:val="0"/>
          <w:bCs w:val="0"/>
          <w:color w:val="000000"/>
          <w:sz w:val="28"/>
          <w:szCs w:val="28"/>
        </w:rPr>
        <w:tab/>
        <w:t xml:space="preserve">Cenários introdutórios </w:t>
      </w:r>
      <w:r w:rsidRPr="00567437">
        <w:rPr>
          <w:rStyle w:val="Forte"/>
          <w:rFonts w:ascii="Times New Roman" w:hAnsi="Times New Roman" w:cs="Times New Roman"/>
          <w:b w:val="0"/>
          <w:bCs w:val="0"/>
          <w:color w:val="000000"/>
          <w:sz w:val="28"/>
          <w:szCs w:val="28"/>
        </w:rPr>
        <w:tab/>
        <w:t>1</w:t>
      </w:r>
    </w:p>
    <w:p w14:paraId="61760BFB" w14:textId="4A20E47F" w:rsidR="002A7CAA" w:rsidRPr="00567437" w:rsidRDefault="0074309F"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orte"/>
          <w:rFonts w:ascii="Times New Roman" w:hAnsi="Times New Roman" w:cs="Times New Roman"/>
          <w:b w:val="0"/>
          <w:color w:val="000000"/>
          <w:sz w:val="28"/>
          <w:szCs w:val="28"/>
        </w:rPr>
      </w:pPr>
      <w:r w:rsidRPr="00567437">
        <w:rPr>
          <w:rStyle w:val="Forte"/>
          <w:rFonts w:ascii="Times New Roman" w:hAnsi="Times New Roman" w:cs="Times New Roman"/>
          <w:b w:val="0"/>
          <w:bCs w:val="0"/>
          <w:color w:val="000000"/>
          <w:sz w:val="28"/>
          <w:szCs w:val="28"/>
        </w:rPr>
        <w:t xml:space="preserve">II. </w:t>
      </w:r>
      <w:r w:rsidRPr="00567437">
        <w:rPr>
          <w:rStyle w:val="Forte"/>
          <w:rFonts w:ascii="Times New Roman" w:hAnsi="Times New Roman" w:cs="Times New Roman"/>
          <w:b w:val="0"/>
          <w:bCs w:val="0"/>
          <w:color w:val="000000"/>
          <w:sz w:val="28"/>
          <w:szCs w:val="28"/>
        </w:rPr>
        <w:tab/>
        <w:t>Cenário de caso; Questões</w:t>
      </w:r>
      <w:r w:rsidRPr="00567437">
        <w:rPr>
          <w:rStyle w:val="Forte"/>
          <w:rFonts w:ascii="Times New Roman" w:hAnsi="Times New Roman" w:cs="Times New Roman"/>
          <w:b w:val="0"/>
          <w:bCs w:val="0"/>
          <w:color w:val="000000"/>
          <w:sz w:val="28"/>
          <w:szCs w:val="28"/>
        </w:rPr>
        <w:tab/>
        <w:t>2</w:t>
      </w:r>
    </w:p>
    <w:p w14:paraId="08B68444" w14:textId="77777777" w:rsidR="002A7CAA" w:rsidRPr="00567437" w:rsidRDefault="00F71519"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orte"/>
          <w:rFonts w:ascii="Times New Roman" w:hAnsi="Times New Roman" w:cs="Times New Roman"/>
          <w:b w:val="0"/>
          <w:color w:val="000000"/>
          <w:sz w:val="28"/>
          <w:szCs w:val="28"/>
        </w:rPr>
      </w:pPr>
    </w:p>
    <w:p w14:paraId="5CFCD448" w14:textId="0ED34633" w:rsidR="002A7CAA" w:rsidRPr="00567437" w:rsidRDefault="0074309F"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orte"/>
          <w:rFonts w:ascii="Times New Roman" w:hAnsi="Times New Roman" w:cs="Times New Roman"/>
          <w:color w:val="000000"/>
          <w:sz w:val="28"/>
          <w:szCs w:val="28"/>
        </w:rPr>
      </w:pPr>
      <w:r w:rsidRPr="00567437">
        <w:rPr>
          <w:rStyle w:val="Forte"/>
          <w:rFonts w:ascii="Times New Roman" w:hAnsi="Times New Roman" w:cs="Times New Roman"/>
          <w:color w:val="000000"/>
          <w:sz w:val="28"/>
          <w:szCs w:val="28"/>
        </w:rPr>
        <w:t>B.</w:t>
      </w:r>
      <w:r w:rsidRPr="00567437">
        <w:rPr>
          <w:rStyle w:val="Forte"/>
          <w:rFonts w:ascii="Times New Roman" w:hAnsi="Times New Roman" w:cs="Times New Roman"/>
          <w:color w:val="000000"/>
          <w:sz w:val="28"/>
          <w:szCs w:val="28"/>
        </w:rPr>
        <w:tab/>
        <w:t>Notas adicionais para os formadores sobre os casos</w:t>
      </w:r>
      <w:r w:rsidRPr="00567437">
        <w:rPr>
          <w:rStyle w:val="Forte"/>
          <w:rFonts w:ascii="Times New Roman" w:hAnsi="Times New Roman" w:cs="Times New Roman"/>
          <w:color w:val="000000"/>
          <w:sz w:val="28"/>
          <w:szCs w:val="28"/>
        </w:rPr>
        <w:tab/>
        <w:t>4</w:t>
      </w:r>
    </w:p>
    <w:p w14:paraId="6A68B51B" w14:textId="77777777" w:rsidR="002A7CAA" w:rsidRPr="00567437" w:rsidRDefault="00F71519"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orte"/>
          <w:rFonts w:ascii="Times New Roman" w:hAnsi="Times New Roman" w:cs="Times New Roman"/>
          <w:b w:val="0"/>
          <w:color w:val="000000"/>
          <w:sz w:val="28"/>
          <w:szCs w:val="28"/>
        </w:rPr>
      </w:pPr>
    </w:p>
    <w:p w14:paraId="4DF8BCAD" w14:textId="348AEB0D" w:rsidR="002A7CAA" w:rsidRPr="00567437" w:rsidRDefault="0074309F"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orte"/>
          <w:rFonts w:ascii="Times New Roman" w:hAnsi="Times New Roman" w:cs="Times New Roman"/>
          <w:color w:val="000000"/>
          <w:sz w:val="28"/>
          <w:szCs w:val="28"/>
        </w:rPr>
      </w:pPr>
      <w:r w:rsidRPr="00567437">
        <w:rPr>
          <w:rStyle w:val="Forte"/>
          <w:rFonts w:ascii="Times New Roman" w:hAnsi="Times New Roman" w:cs="Times New Roman"/>
          <w:color w:val="000000"/>
          <w:sz w:val="28"/>
          <w:szCs w:val="28"/>
        </w:rPr>
        <w:t>C.</w:t>
      </w:r>
      <w:r w:rsidRPr="00567437">
        <w:rPr>
          <w:rStyle w:val="Forte"/>
          <w:rFonts w:ascii="Times New Roman" w:hAnsi="Times New Roman" w:cs="Times New Roman"/>
          <w:color w:val="000000"/>
          <w:sz w:val="28"/>
          <w:szCs w:val="28"/>
        </w:rPr>
        <w:tab/>
        <w:t>Abordagem metodológica</w:t>
      </w:r>
      <w:r w:rsidRPr="00567437">
        <w:rPr>
          <w:rStyle w:val="Forte"/>
          <w:rFonts w:ascii="Times New Roman" w:hAnsi="Times New Roman" w:cs="Times New Roman"/>
          <w:color w:val="000000"/>
          <w:sz w:val="28"/>
          <w:szCs w:val="28"/>
        </w:rPr>
        <w:tab/>
        <w:t>5</w:t>
      </w:r>
    </w:p>
    <w:p w14:paraId="5A6B19F4" w14:textId="46173399" w:rsidR="002A7CAA" w:rsidRPr="00567437" w:rsidRDefault="0074309F"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orte"/>
          <w:rFonts w:ascii="Times New Roman" w:hAnsi="Times New Roman" w:cs="Times New Roman"/>
          <w:b w:val="0"/>
          <w:color w:val="000000"/>
          <w:sz w:val="28"/>
          <w:szCs w:val="28"/>
        </w:rPr>
      </w:pPr>
      <w:r w:rsidRPr="00567437">
        <w:rPr>
          <w:rStyle w:val="Forte"/>
          <w:rFonts w:ascii="Times New Roman" w:hAnsi="Times New Roman" w:cs="Times New Roman"/>
          <w:color w:val="000000"/>
          <w:sz w:val="28"/>
          <w:szCs w:val="28"/>
        </w:rPr>
        <w:t>I.</w:t>
      </w:r>
      <w:r w:rsidRPr="00567437">
        <w:rPr>
          <w:rStyle w:val="Forte"/>
          <w:rFonts w:ascii="Times New Roman" w:hAnsi="Times New Roman" w:cs="Times New Roman"/>
          <w:b w:val="0"/>
          <w:bCs w:val="0"/>
          <w:color w:val="000000"/>
          <w:sz w:val="28"/>
          <w:szCs w:val="28"/>
        </w:rPr>
        <w:tab/>
        <w:t>Ideia geral e temas centrais</w:t>
      </w:r>
      <w:r w:rsidRPr="00567437">
        <w:rPr>
          <w:rStyle w:val="Forte"/>
          <w:rFonts w:ascii="Times New Roman" w:hAnsi="Times New Roman" w:cs="Times New Roman"/>
          <w:b w:val="0"/>
          <w:bCs w:val="0"/>
          <w:color w:val="000000"/>
          <w:sz w:val="28"/>
          <w:szCs w:val="28"/>
        </w:rPr>
        <w:tab/>
        <w:t>5</w:t>
      </w:r>
    </w:p>
    <w:p w14:paraId="59CF8F10" w14:textId="7D3F2E7F" w:rsidR="002A7CAA" w:rsidRPr="00567437" w:rsidRDefault="0074309F"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orte"/>
          <w:rFonts w:ascii="Times New Roman" w:hAnsi="Times New Roman" w:cs="Times New Roman"/>
          <w:b w:val="0"/>
          <w:color w:val="000000"/>
          <w:sz w:val="28"/>
          <w:szCs w:val="28"/>
        </w:rPr>
      </w:pPr>
      <w:r w:rsidRPr="00567437">
        <w:rPr>
          <w:rStyle w:val="Forte"/>
          <w:rFonts w:ascii="Times New Roman" w:hAnsi="Times New Roman" w:cs="Times New Roman"/>
          <w:b w:val="0"/>
          <w:bCs w:val="0"/>
          <w:color w:val="000000"/>
          <w:sz w:val="28"/>
          <w:szCs w:val="28"/>
        </w:rPr>
        <w:t>II.</w:t>
      </w:r>
      <w:r w:rsidRPr="00567437">
        <w:rPr>
          <w:rStyle w:val="Forte"/>
          <w:rFonts w:ascii="Times New Roman" w:hAnsi="Times New Roman" w:cs="Times New Roman"/>
          <w:b w:val="0"/>
          <w:bCs w:val="0"/>
          <w:color w:val="000000"/>
          <w:sz w:val="28"/>
          <w:szCs w:val="28"/>
        </w:rPr>
        <w:tab/>
        <w:t>Grupos de trabalho e estrutura do seminário</w:t>
      </w:r>
      <w:r w:rsidRPr="00567437">
        <w:rPr>
          <w:rStyle w:val="Forte"/>
          <w:rFonts w:ascii="Times New Roman" w:hAnsi="Times New Roman" w:cs="Times New Roman"/>
          <w:b w:val="0"/>
          <w:bCs w:val="0"/>
          <w:color w:val="000000"/>
          <w:sz w:val="28"/>
          <w:szCs w:val="28"/>
        </w:rPr>
        <w:tab/>
        <w:t>6</w:t>
      </w:r>
    </w:p>
    <w:p w14:paraId="0AB04876" w14:textId="048697F9" w:rsidR="002A7CAA" w:rsidRPr="00567437" w:rsidRDefault="0074309F"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orte"/>
          <w:rFonts w:ascii="Times New Roman" w:hAnsi="Times New Roman" w:cs="Times New Roman"/>
          <w:b w:val="0"/>
          <w:color w:val="000000"/>
          <w:sz w:val="28"/>
          <w:szCs w:val="28"/>
        </w:rPr>
      </w:pPr>
      <w:r w:rsidRPr="00567437">
        <w:rPr>
          <w:rStyle w:val="Forte"/>
          <w:rFonts w:ascii="Times New Roman" w:hAnsi="Times New Roman" w:cs="Times New Roman"/>
          <w:b w:val="0"/>
          <w:bCs w:val="0"/>
          <w:color w:val="000000"/>
          <w:sz w:val="28"/>
          <w:szCs w:val="28"/>
        </w:rPr>
        <w:t>III.</w:t>
      </w:r>
      <w:r w:rsidRPr="00567437">
        <w:rPr>
          <w:rStyle w:val="Forte"/>
          <w:rFonts w:ascii="Times New Roman" w:hAnsi="Times New Roman" w:cs="Times New Roman"/>
          <w:b w:val="0"/>
          <w:bCs w:val="0"/>
          <w:color w:val="000000"/>
          <w:sz w:val="28"/>
          <w:szCs w:val="28"/>
        </w:rPr>
        <w:tab/>
        <w:t>Material adicional</w:t>
      </w:r>
      <w:r w:rsidRPr="00567437">
        <w:rPr>
          <w:rStyle w:val="Forte"/>
          <w:rFonts w:ascii="Times New Roman" w:hAnsi="Times New Roman" w:cs="Times New Roman"/>
          <w:b w:val="0"/>
          <w:bCs w:val="0"/>
          <w:color w:val="000000"/>
          <w:sz w:val="28"/>
          <w:szCs w:val="28"/>
        </w:rPr>
        <w:tab/>
        <w:t>7</w:t>
      </w:r>
    </w:p>
    <w:p w14:paraId="27D87CB5" w14:textId="77777777" w:rsidR="002A7CAA" w:rsidRPr="00567437" w:rsidRDefault="00F71519"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Style w:val="Forte"/>
          <w:rFonts w:ascii="Times New Roman" w:hAnsi="Times New Roman" w:cs="Times New Roman"/>
          <w:b w:val="0"/>
          <w:color w:val="000000"/>
          <w:sz w:val="28"/>
          <w:szCs w:val="28"/>
        </w:rPr>
      </w:pPr>
    </w:p>
    <w:p w14:paraId="3734FB2E" w14:textId="7ABC2219" w:rsidR="002A7CAA" w:rsidRPr="00567437" w:rsidRDefault="0074309F" w:rsidP="0074607F">
      <w:pPr>
        <w:pBdr>
          <w:top w:val="single" w:sz="4" w:space="1" w:color="auto"/>
          <w:left w:val="single" w:sz="4" w:space="4" w:color="auto"/>
          <w:bottom w:val="single" w:sz="4" w:space="1" w:color="auto"/>
          <w:right w:val="single" w:sz="4" w:space="4" w:color="auto"/>
        </w:pBdr>
        <w:tabs>
          <w:tab w:val="left" w:pos="1134"/>
          <w:tab w:val="center" w:leader="dot" w:pos="8647"/>
        </w:tabs>
        <w:spacing w:after="0" w:line="276" w:lineRule="auto"/>
        <w:rPr>
          <w:rFonts w:ascii="Times New Roman" w:hAnsi="Times New Roman" w:cs="Times New Roman"/>
          <w:b/>
          <w:bCs/>
          <w:color w:val="000000"/>
          <w:sz w:val="28"/>
          <w:szCs w:val="28"/>
        </w:rPr>
      </w:pPr>
      <w:r w:rsidRPr="00567437">
        <w:rPr>
          <w:rStyle w:val="Forte"/>
          <w:rFonts w:ascii="Times New Roman" w:hAnsi="Times New Roman" w:cs="Times New Roman"/>
          <w:color w:val="000000"/>
          <w:sz w:val="28"/>
          <w:szCs w:val="28"/>
        </w:rPr>
        <w:t xml:space="preserve">D. </w:t>
      </w:r>
      <w:r w:rsidRPr="00567437">
        <w:rPr>
          <w:rStyle w:val="Forte"/>
          <w:rFonts w:ascii="Times New Roman" w:hAnsi="Times New Roman" w:cs="Times New Roman"/>
          <w:color w:val="000000"/>
          <w:sz w:val="28"/>
          <w:szCs w:val="28"/>
        </w:rPr>
        <w:tab/>
        <w:t>Soluções</w:t>
      </w:r>
      <w:r w:rsidRPr="00567437">
        <w:rPr>
          <w:rStyle w:val="Forte"/>
          <w:rFonts w:ascii="Times New Roman" w:hAnsi="Times New Roman" w:cs="Times New Roman"/>
          <w:color w:val="000000"/>
          <w:sz w:val="28"/>
          <w:szCs w:val="28"/>
        </w:rPr>
        <w:tab/>
        <w:t>8</w:t>
      </w:r>
    </w:p>
    <w:p w14:paraId="36988244" w14:textId="57784472" w:rsidR="002A7CAA" w:rsidRPr="00567437" w:rsidRDefault="0074309F" w:rsidP="0074607F">
      <w:pPr>
        <w:rPr>
          <w:rFonts w:ascii="Times New Roman" w:hAnsi="Times New Roman" w:cs="Times New Roman"/>
          <w:b/>
          <w:bCs/>
          <w:sz w:val="28"/>
          <w:szCs w:val="28"/>
        </w:rPr>
      </w:pPr>
      <w:r w:rsidRPr="00567437">
        <w:rPr>
          <w:rFonts w:ascii="Times New Roman" w:hAnsi="Times New Roman" w:cs="Times New Roman"/>
          <w:b/>
          <w:bCs/>
          <w:sz w:val="28"/>
          <w:szCs w:val="28"/>
        </w:rPr>
        <w:br w:type="page"/>
      </w:r>
    </w:p>
    <w:p w14:paraId="5EE4AE74" w14:textId="27057B20" w:rsidR="00193BA1" w:rsidRPr="00567437" w:rsidRDefault="0074309F" w:rsidP="00EC3DE2">
      <w:pPr>
        <w:pStyle w:val="Test"/>
        <w:shd w:val="clear" w:color="auto" w:fill="DED888"/>
        <w:spacing w:after="160"/>
        <w:jc w:val="center"/>
        <w:rPr>
          <w:rFonts w:ascii="Times New Roman" w:hAnsi="Times New Roman"/>
          <w:color w:val="2F5496" w:themeColor="accent1" w:themeShade="BF"/>
          <w:sz w:val="32"/>
          <w:szCs w:val="32"/>
          <w:lang w:val="pt-PT"/>
        </w:rPr>
      </w:pPr>
      <w:r w:rsidRPr="00567437">
        <w:rPr>
          <w:rStyle w:val="Forte"/>
          <w:rFonts w:ascii="Times New Roman" w:hAnsi="Times New Roman"/>
          <w:b/>
          <w:color w:val="2F5496" w:themeColor="accent1" w:themeShade="BF"/>
          <w:sz w:val="32"/>
          <w:szCs w:val="32"/>
          <w:lang w:val="pt-PT"/>
        </w:rPr>
        <w:lastRenderedPageBreak/>
        <w:t>Auxílio Judiciário Mútuo em Matéria Penal</w:t>
      </w:r>
    </w:p>
    <w:p w14:paraId="4E87F1E3" w14:textId="77803049" w:rsidR="00810051" w:rsidRPr="00567437" w:rsidRDefault="0074309F" w:rsidP="0074607F">
      <w:pPr>
        <w:rPr>
          <w:rFonts w:ascii="Times New Roman" w:hAnsi="Times New Roman" w:cs="Times New Roman"/>
          <w:b/>
          <w:bCs/>
          <w:color w:val="2F5496" w:themeColor="accent1" w:themeShade="BF"/>
          <w:sz w:val="28"/>
          <w:szCs w:val="28"/>
        </w:rPr>
      </w:pPr>
      <w:r w:rsidRPr="00567437">
        <w:rPr>
          <w:rFonts w:ascii="Times New Roman" w:hAnsi="Times New Roman" w:cs="Times New Roman"/>
          <w:b/>
          <w:bCs/>
          <w:color w:val="2F5496" w:themeColor="accent1" w:themeShade="BF"/>
          <w:sz w:val="28"/>
          <w:szCs w:val="28"/>
        </w:rPr>
        <w:t>A. I. Cenários introdutórios:</w:t>
      </w:r>
    </w:p>
    <w:p w14:paraId="7684EA4A" w14:textId="4A8E9DEA" w:rsidR="002A7CAA" w:rsidRPr="00567437" w:rsidRDefault="0074309F"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1. Uma autoridade judiciária espanhola quer ouvir uma testemunha que se encontra na Dinamarca, por videoconferência. </w:t>
      </w:r>
    </w:p>
    <w:p w14:paraId="244C21E3" w14:textId="5C4CF9C4" w:rsidR="002A7CAA" w:rsidRPr="00567437" w:rsidRDefault="0074309F"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567437">
        <w:rPr>
          <w:rFonts w:ascii="Times New Roman" w:hAnsi="Times New Roman" w:cs="Times New Roman"/>
          <w:i/>
          <w:iCs/>
          <w:sz w:val="28"/>
          <w:szCs w:val="28"/>
        </w:rPr>
        <w:t>Que instrumento jurídico deve utilizar?</w:t>
      </w:r>
    </w:p>
    <w:p w14:paraId="49E2838D" w14:textId="12CEF7C1" w:rsidR="002A7CAA" w:rsidRPr="00567437" w:rsidRDefault="0074309F"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2. Uma autoridade judiciária búlgara quer ouvir uma testemunha que se encontra na Irlanda, por conferência telefónica. </w:t>
      </w:r>
    </w:p>
    <w:p w14:paraId="421F3D8D" w14:textId="51E8E49D" w:rsidR="002A7CAA" w:rsidRPr="00567437" w:rsidRDefault="0074309F"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567437">
        <w:rPr>
          <w:rFonts w:ascii="Times New Roman" w:hAnsi="Times New Roman" w:cs="Times New Roman"/>
          <w:i/>
          <w:iCs/>
          <w:sz w:val="28"/>
          <w:szCs w:val="28"/>
        </w:rPr>
        <w:t xml:space="preserve">Que </w:t>
      </w:r>
      <w:proofErr w:type="gramStart"/>
      <w:r w:rsidRPr="00567437">
        <w:rPr>
          <w:rFonts w:ascii="Times New Roman" w:hAnsi="Times New Roman" w:cs="Times New Roman"/>
          <w:i/>
          <w:iCs/>
          <w:sz w:val="28"/>
          <w:szCs w:val="28"/>
        </w:rPr>
        <w:t>instrumentos jurídicos deve</w:t>
      </w:r>
      <w:proofErr w:type="gramEnd"/>
      <w:r w:rsidRPr="00567437">
        <w:rPr>
          <w:rFonts w:ascii="Times New Roman" w:hAnsi="Times New Roman" w:cs="Times New Roman"/>
          <w:i/>
          <w:iCs/>
          <w:sz w:val="28"/>
          <w:szCs w:val="28"/>
        </w:rPr>
        <w:t xml:space="preserve"> utilizar?</w:t>
      </w:r>
    </w:p>
    <w:p w14:paraId="7CFF988F" w14:textId="6E9746DB" w:rsidR="002A7CAA" w:rsidRPr="00567437" w:rsidRDefault="0074309F"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3. Uma autoridade judiciária alemã quer ouvir um perito que se encontra na Grécia, por videoconferência. </w:t>
      </w:r>
    </w:p>
    <w:p w14:paraId="01921076" w14:textId="3C862802" w:rsidR="002A7CAA" w:rsidRPr="00567437" w:rsidRDefault="0074309F"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567437">
        <w:rPr>
          <w:rFonts w:ascii="Times New Roman" w:hAnsi="Times New Roman" w:cs="Times New Roman"/>
          <w:i/>
          <w:iCs/>
          <w:sz w:val="28"/>
          <w:szCs w:val="28"/>
        </w:rPr>
        <w:t xml:space="preserve">Que </w:t>
      </w:r>
      <w:proofErr w:type="gramStart"/>
      <w:r w:rsidRPr="00567437">
        <w:rPr>
          <w:rFonts w:ascii="Times New Roman" w:hAnsi="Times New Roman" w:cs="Times New Roman"/>
          <w:i/>
          <w:iCs/>
          <w:sz w:val="28"/>
          <w:szCs w:val="28"/>
        </w:rPr>
        <w:t>instrumentos jurídicos deve</w:t>
      </w:r>
      <w:proofErr w:type="gramEnd"/>
      <w:r w:rsidRPr="00567437">
        <w:rPr>
          <w:rFonts w:ascii="Times New Roman" w:hAnsi="Times New Roman" w:cs="Times New Roman"/>
          <w:i/>
          <w:iCs/>
          <w:sz w:val="28"/>
          <w:szCs w:val="28"/>
        </w:rPr>
        <w:t xml:space="preserve"> utilizar?</w:t>
      </w:r>
    </w:p>
    <w:p w14:paraId="505F340D" w14:textId="01B9B6A9" w:rsidR="002A7CAA" w:rsidRPr="00567437" w:rsidRDefault="0074309F"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4. Uma autoridade judiciária francesa quer ouvir um perito que se encontra na Roménia, por conferência telefónica. </w:t>
      </w:r>
    </w:p>
    <w:p w14:paraId="6822F3E6" w14:textId="4CA13461" w:rsidR="00AE2003" w:rsidRPr="00567437" w:rsidRDefault="0074309F"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567437">
        <w:rPr>
          <w:rFonts w:ascii="Times New Roman" w:hAnsi="Times New Roman" w:cs="Times New Roman"/>
          <w:i/>
          <w:iCs/>
          <w:sz w:val="28"/>
          <w:szCs w:val="28"/>
        </w:rPr>
        <w:t xml:space="preserve">Que </w:t>
      </w:r>
      <w:proofErr w:type="gramStart"/>
      <w:r w:rsidRPr="00567437">
        <w:rPr>
          <w:rFonts w:ascii="Times New Roman" w:hAnsi="Times New Roman" w:cs="Times New Roman"/>
          <w:i/>
          <w:iCs/>
          <w:sz w:val="28"/>
          <w:szCs w:val="28"/>
        </w:rPr>
        <w:t>instrumentos jurídicos deve</w:t>
      </w:r>
      <w:proofErr w:type="gramEnd"/>
      <w:r w:rsidRPr="00567437">
        <w:rPr>
          <w:rFonts w:ascii="Times New Roman" w:hAnsi="Times New Roman" w:cs="Times New Roman"/>
          <w:i/>
          <w:iCs/>
          <w:sz w:val="28"/>
          <w:szCs w:val="28"/>
        </w:rPr>
        <w:t xml:space="preserve"> utilizar?</w:t>
      </w:r>
    </w:p>
    <w:p w14:paraId="61B4228F" w14:textId="45EABCB9" w:rsidR="00AE2003" w:rsidRPr="00567437" w:rsidRDefault="0074309F"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5. </w:t>
      </w:r>
      <w:bookmarkStart w:id="0" w:name="_Hlk53747872"/>
      <w:r w:rsidRPr="00567437">
        <w:rPr>
          <w:rFonts w:ascii="Times New Roman" w:hAnsi="Times New Roman" w:cs="Times New Roman"/>
          <w:sz w:val="28"/>
          <w:szCs w:val="28"/>
        </w:rPr>
        <w:t>Uma autoridade judiciária croata quer convocar um arguido na Dinamarca.</w:t>
      </w:r>
    </w:p>
    <w:p w14:paraId="706661B3" w14:textId="5F6355EA" w:rsidR="00AE2003" w:rsidRPr="00567437" w:rsidRDefault="0074309F"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567437">
        <w:rPr>
          <w:rFonts w:ascii="Times New Roman" w:hAnsi="Times New Roman" w:cs="Times New Roman"/>
          <w:i/>
          <w:iCs/>
          <w:sz w:val="28"/>
          <w:szCs w:val="28"/>
        </w:rPr>
        <w:t>Que instrumento jurídico deve utilizar?</w:t>
      </w:r>
      <w:bookmarkEnd w:id="0"/>
    </w:p>
    <w:p w14:paraId="49BCF8D4" w14:textId="77777777" w:rsidR="00BA5D38" w:rsidRPr="00567437" w:rsidRDefault="0074309F"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6. Uma autoridade judiciária irlandesa quer convocar uma testemunha na Grécia.</w:t>
      </w:r>
    </w:p>
    <w:p w14:paraId="67BDE555" w14:textId="00E3D957" w:rsidR="00EC3DE2" w:rsidRPr="00567437" w:rsidRDefault="0074309F"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567437">
        <w:rPr>
          <w:rFonts w:ascii="Times New Roman" w:hAnsi="Times New Roman" w:cs="Times New Roman"/>
          <w:i/>
          <w:iCs/>
          <w:sz w:val="28"/>
          <w:szCs w:val="28"/>
        </w:rPr>
        <w:t>Que instrumento jurídico deve utilizar?</w:t>
      </w:r>
    </w:p>
    <w:p w14:paraId="1955957E" w14:textId="77777777" w:rsidR="00AE2003" w:rsidRPr="00567437" w:rsidRDefault="0074309F"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7. Uma autoridade judiciária romena quer ouvir por videoconferência uma testemunha na Geórgia.</w:t>
      </w:r>
    </w:p>
    <w:p w14:paraId="17189BB0" w14:textId="40157E3A" w:rsidR="006B2108" w:rsidRPr="00567437" w:rsidRDefault="0074309F"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567437">
        <w:rPr>
          <w:rFonts w:ascii="Times New Roman" w:hAnsi="Times New Roman" w:cs="Times New Roman"/>
          <w:i/>
          <w:iCs/>
          <w:sz w:val="28"/>
          <w:szCs w:val="28"/>
        </w:rPr>
        <w:t>Que instrumento jurídico deve utilizar?</w:t>
      </w:r>
    </w:p>
    <w:p w14:paraId="07BF1EDD" w14:textId="77777777" w:rsidR="00AE2003" w:rsidRPr="00567437" w:rsidRDefault="0074309F"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8. Uma autoridade judiciária búlgara quer convocar uma testemunha na Noruega. </w:t>
      </w:r>
    </w:p>
    <w:p w14:paraId="1CE22878" w14:textId="13984394" w:rsidR="00AE2003" w:rsidRPr="00567437" w:rsidRDefault="0074309F" w:rsidP="00EC3D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567437">
        <w:rPr>
          <w:rFonts w:ascii="Times New Roman" w:hAnsi="Times New Roman" w:cs="Times New Roman"/>
          <w:i/>
          <w:iCs/>
          <w:sz w:val="28"/>
          <w:szCs w:val="28"/>
        </w:rPr>
        <w:t>Que instrumento jurídico deve utilizar?</w:t>
      </w:r>
    </w:p>
    <w:p w14:paraId="18E1FB62" w14:textId="53652ECD" w:rsidR="00BA5D38" w:rsidRPr="00567437" w:rsidRDefault="0074309F"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9. Uma autoridade judiciária alemã quer ouvir uma testemunha na Suíça, por videoconferência. </w:t>
      </w:r>
    </w:p>
    <w:p w14:paraId="582338C3" w14:textId="6BC1447D" w:rsidR="00BA5D38" w:rsidRPr="00567437" w:rsidRDefault="0074309F" w:rsidP="00A800E2">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z w:val="28"/>
          <w:szCs w:val="28"/>
        </w:rPr>
      </w:pPr>
      <w:r w:rsidRPr="00567437">
        <w:rPr>
          <w:rFonts w:ascii="Times New Roman" w:hAnsi="Times New Roman" w:cs="Times New Roman"/>
          <w:i/>
          <w:iCs/>
          <w:sz w:val="28"/>
          <w:szCs w:val="28"/>
        </w:rPr>
        <w:t>Que instrumento jurídico deve utilizar?</w:t>
      </w:r>
    </w:p>
    <w:p w14:paraId="6E9C02B9" w14:textId="556059E0" w:rsidR="00AE2003" w:rsidRPr="00567437" w:rsidRDefault="0074309F" w:rsidP="0074607F">
      <w:pPr>
        <w:rPr>
          <w:rFonts w:ascii="Times New Roman" w:hAnsi="Times New Roman" w:cs="Times New Roman"/>
          <w:i/>
          <w:iCs/>
          <w:sz w:val="28"/>
          <w:szCs w:val="28"/>
        </w:rPr>
      </w:pPr>
      <w:r w:rsidRPr="00567437">
        <w:rPr>
          <w:rFonts w:ascii="Times New Roman" w:hAnsi="Times New Roman" w:cs="Times New Roman"/>
          <w:i/>
          <w:iCs/>
          <w:sz w:val="28"/>
          <w:szCs w:val="28"/>
        </w:rPr>
        <w:br w:type="page"/>
      </w:r>
    </w:p>
    <w:p w14:paraId="45157D00" w14:textId="2233EF6D" w:rsidR="00810051" w:rsidRPr="00567437" w:rsidRDefault="0074309F" w:rsidP="0074607F">
      <w:pPr>
        <w:jc w:val="both"/>
        <w:rPr>
          <w:rFonts w:ascii="Times New Roman" w:hAnsi="Times New Roman" w:cs="Times New Roman"/>
          <w:b/>
          <w:bCs/>
          <w:color w:val="2F5496" w:themeColor="accent1" w:themeShade="BF"/>
          <w:sz w:val="28"/>
          <w:szCs w:val="28"/>
        </w:rPr>
      </w:pPr>
      <w:r w:rsidRPr="00567437">
        <w:rPr>
          <w:rFonts w:ascii="Times New Roman" w:hAnsi="Times New Roman" w:cs="Times New Roman"/>
          <w:b/>
          <w:bCs/>
          <w:color w:val="2F5496" w:themeColor="accent1" w:themeShade="BF"/>
          <w:sz w:val="28"/>
          <w:szCs w:val="28"/>
        </w:rPr>
        <w:lastRenderedPageBreak/>
        <w:t>A. II. Cenário de caso:</w:t>
      </w:r>
    </w:p>
    <w:p w14:paraId="44C9A50D" w14:textId="66C0C3A5" w:rsidR="00126907" w:rsidRPr="00567437" w:rsidRDefault="0074309F"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A Delegação do Ministério Público adstrita ao Tribunal de Primeira Instância de Arad encontra-se a investigar 3 furtos cometidos entre 20.12.2019 e 24.02.2020 na parte ocidental do país (peça processual n.º 5440/P/2019). Os furtos foram cometidos em diferentes estações de serviço na autoestrada A3 e a mercadoria dos camiões foi furtada durante a noite por 2 suspeitos. Durante a investigação, o procurador romeno identificou um camionista da Dinamarca que testemunhou um furto. Além disso, com base nas gravações recolhidas em duas estações de serviço, as autoridades romenas conseguiram identificar os dois suspeitos. Um dos suspeitos é um cidadão irlandês e com base nas informações recebidas pelas autoridades policiais vive na Irlanda. O outro suspeito é C.C., um cidadão romeno (nascido em 23.12.1978), a viver em 9 </w:t>
      </w:r>
      <w:proofErr w:type="spellStart"/>
      <w:r w:rsidRPr="00567437">
        <w:rPr>
          <w:rFonts w:ascii="Times New Roman" w:hAnsi="Times New Roman" w:cs="Times New Roman"/>
          <w:sz w:val="28"/>
          <w:szCs w:val="28"/>
        </w:rPr>
        <w:t>May</w:t>
      </w:r>
      <w:proofErr w:type="spellEnd"/>
      <w:r w:rsidRPr="00567437">
        <w:rPr>
          <w:rFonts w:ascii="Times New Roman" w:hAnsi="Times New Roman" w:cs="Times New Roman"/>
          <w:sz w:val="28"/>
          <w:szCs w:val="28"/>
        </w:rPr>
        <w:t xml:space="preserve"> Street, Arad, distrito de Arad.</w:t>
      </w:r>
    </w:p>
    <w:p w14:paraId="471A1BF9" w14:textId="456914A1" w:rsidR="00EA28F5" w:rsidRPr="00567437" w:rsidRDefault="0074309F" w:rsidP="0074607F">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O procurador romeno precisa agora de ouvir, por videoconferência, a testemunha A.B. (nascida em 14.01.1960) que vive atualmente em </w:t>
      </w:r>
      <w:proofErr w:type="spellStart"/>
      <w:r w:rsidRPr="00567437">
        <w:rPr>
          <w:rFonts w:ascii="Times New Roman" w:hAnsi="Times New Roman" w:cs="Times New Roman"/>
          <w:sz w:val="28"/>
          <w:szCs w:val="28"/>
        </w:rPr>
        <w:t>Langelandsgade</w:t>
      </w:r>
      <w:proofErr w:type="spellEnd"/>
      <w:r w:rsidRPr="00567437">
        <w:rPr>
          <w:rFonts w:ascii="Times New Roman" w:hAnsi="Times New Roman" w:cs="Times New Roman"/>
          <w:sz w:val="28"/>
          <w:szCs w:val="28"/>
        </w:rPr>
        <w:t xml:space="preserve"> Street, </w:t>
      </w:r>
      <w:proofErr w:type="spellStart"/>
      <w:r w:rsidRPr="00567437">
        <w:rPr>
          <w:rFonts w:ascii="Times New Roman" w:hAnsi="Times New Roman" w:cs="Times New Roman"/>
          <w:sz w:val="28"/>
          <w:szCs w:val="28"/>
        </w:rPr>
        <w:t>Aarhus</w:t>
      </w:r>
      <w:proofErr w:type="spellEnd"/>
      <w:r w:rsidRPr="00567437">
        <w:rPr>
          <w:rFonts w:ascii="Times New Roman" w:hAnsi="Times New Roman" w:cs="Times New Roman"/>
          <w:sz w:val="28"/>
          <w:szCs w:val="28"/>
        </w:rPr>
        <w:t xml:space="preserve">, Dinamarca, e não pretende deslocar-se à Roménia para ser ouvida. De seguida, o procurador romeno ouvirá, por videoconferência, o suspeito irlandês J.H. (nascido em 15.10.1966) a viver em Henry Street, Dublin, Irlanda, que se recusa a comparecer pessoalmente no seu território para ser ouvido. </w:t>
      </w:r>
    </w:p>
    <w:p w14:paraId="6C64BCB1" w14:textId="77777777" w:rsidR="00EC3DE2" w:rsidRPr="00567437" w:rsidRDefault="0074309F" w:rsidP="00EC3DE2">
      <w:pPr>
        <w:jc w:val="both"/>
        <w:rPr>
          <w:rFonts w:ascii="Times New Roman" w:hAnsi="Times New Roman" w:cs="Times New Roman"/>
          <w:b/>
          <w:bCs/>
          <w:color w:val="2F5496" w:themeColor="accent1" w:themeShade="BF"/>
          <w:sz w:val="28"/>
          <w:szCs w:val="28"/>
        </w:rPr>
      </w:pPr>
      <w:r w:rsidRPr="00567437">
        <w:rPr>
          <w:rFonts w:ascii="Times New Roman" w:hAnsi="Times New Roman" w:cs="Times New Roman"/>
          <w:b/>
          <w:bCs/>
          <w:color w:val="2F5496" w:themeColor="accent1" w:themeShade="BF"/>
          <w:sz w:val="28"/>
          <w:szCs w:val="28"/>
        </w:rPr>
        <w:t>Questões:</w:t>
      </w:r>
    </w:p>
    <w:p w14:paraId="6FA7B5BA" w14:textId="7988520E" w:rsidR="00EC3DE2" w:rsidRPr="00567437" w:rsidRDefault="0074309F" w:rsidP="00EC3DE2">
      <w:pPr>
        <w:pStyle w:val="PargrafodaLista"/>
        <w:numPr>
          <w:ilvl w:val="0"/>
          <w:numId w:val="1"/>
        </w:numPr>
        <w:contextualSpacing w:val="0"/>
        <w:jc w:val="both"/>
        <w:rPr>
          <w:rFonts w:ascii="Times New Roman" w:hAnsi="Times New Roman" w:cs="Times New Roman"/>
          <w:i/>
          <w:sz w:val="28"/>
          <w:szCs w:val="28"/>
        </w:rPr>
      </w:pPr>
      <w:r w:rsidRPr="00567437">
        <w:rPr>
          <w:rFonts w:ascii="Times New Roman" w:hAnsi="Times New Roman" w:cs="Times New Roman"/>
          <w:i/>
          <w:iCs/>
          <w:sz w:val="28"/>
          <w:szCs w:val="28"/>
        </w:rPr>
        <w:t>Qual é o instrumento jurídico aplicável para ouvir a testemunha A.B. por videoconferência? Caso não seja possível ouvir a testemunha por videoconferência, a testemunha pode ser ouvida por conferência telefónica?</w:t>
      </w:r>
    </w:p>
    <w:p w14:paraId="0FF3A246" w14:textId="77777777" w:rsidR="00EC3DE2" w:rsidRPr="00567437" w:rsidRDefault="0074309F" w:rsidP="00EC3DE2">
      <w:pPr>
        <w:pStyle w:val="PargrafodaLista"/>
        <w:numPr>
          <w:ilvl w:val="0"/>
          <w:numId w:val="1"/>
        </w:numPr>
        <w:contextualSpacing w:val="0"/>
        <w:jc w:val="both"/>
        <w:rPr>
          <w:rFonts w:ascii="Times New Roman" w:hAnsi="Times New Roman" w:cs="Times New Roman"/>
          <w:i/>
          <w:sz w:val="28"/>
          <w:szCs w:val="28"/>
        </w:rPr>
      </w:pPr>
      <w:r w:rsidRPr="00567437">
        <w:rPr>
          <w:rFonts w:ascii="Times New Roman" w:hAnsi="Times New Roman" w:cs="Times New Roman"/>
          <w:i/>
          <w:iCs/>
          <w:sz w:val="28"/>
          <w:szCs w:val="28"/>
        </w:rPr>
        <w:t xml:space="preserve">É possível ouvir o suspeito J.H. por videoconferência? </w:t>
      </w:r>
    </w:p>
    <w:p w14:paraId="10A51B18" w14:textId="77777777" w:rsidR="00EC3DE2" w:rsidRPr="00567437" w:rsidRDefault="0074309F" w:rsidP="00EC3DE2">
      <w:pPr>
        <w:pStyle w:val="PargrafodaLista"/>
        <w:numPr>
          <w:ilvl w:val="0"/>
          <w:numId w:val="1"/>
        </w:numPr>
        <w:contextualSpacing w:val="0"/>
        <w:jc w:val="both"/>
        <w:rPr>
          <w:rFonts w:ascii="Times New Roman" w:hAnsi="Times New Roman" w:cs="Times New Roman"/>
          <w:i/>
          <w:sz w:val="28"/>
          <w:szCs w:val="28"/>
        </w:rPr>
      </w:pPr>
      <w:r w:rsidRPr="00567437">
        <w:rPr>
          <w:rFonts w:ascii="Times New Roman" w:hAnsi="Times New Roman" w:cs="Times New Roman"/>
          <w:i/>
          <w:iCs/>
          <w:sz w:val="28"/>
          <w:szCs w:val="28"/>
        </w:rPr>
        <w:t>Identifique as autoridades competentes solicitadas na Dinamarca e na Irlanda e os canais de transmissão que devem ser utilizados.</w:t>
      </w:r>
    </w:p>
    <w:p w14:paraId="290D1C05" w14:textId="77777777" w:rsidR="00EC3DE2" w:rsidRPr="00567437" w:rsidRDefault="0074309F" w:rsidP="00EC3DE2">
      <w:pPr>
        <w:pStyle w:val="PargrafodaLista"/>
        <w:numPr>
          <w:ilvl w:val="0"/>
          <w:numId w:val="1"/>
        </w:numPr>
        <w:contextualSpacing w:val="0"/>
        <w:jc w:val="both"/>
        <w:rPr>
          <w:rFonts w:ascii="Times New Roman" w:hAnsi="Times New Roman" w:cs="Times New Roman"/>
          <w:i/>
          <w:sz w:val="28"/>
          <w:szCs w:val="28"/>
        </w:rPr>
      </w:pPr>
      <w:r w:rsidRPr="00567437">
        <w:rPr>
          <w:rFonts w:ascii="Times New Roman" w:hAnsi="Times New Roman" w:cs="Times New Roman"/>
          <w:i/>
          <w:iCs/>
          <w:sz w:val="28"/>
          <w:szCs w:val="28"/>
        </w:rPr>
        <w:t>Que formulário para a Carta Rogatória deve ser utilizado pela autoridade judiciária requerente ao solicitar a audiência por videoconferência ou por conferência telefónica?</w:t>
      </w:r>
    </w:p>
    <w:p w14:paraId="76F8BD69" w14:textId="77777777" w:rsidR="00EC3DE2" w:rsidRPr="00567437" w:rsidRDefault="0074309F" w:rsidP="00EC3DE2">
      <w:pPr>
        <w:pStyle w:val="PargrafodaLista"/>
        <w:numPr>
          <w:ilvl w:val="0"/>
          <w:numId w:val="1"/>
        </w:numPr>
        <w:contextualSpacing w:val="0"/>
        <w:jc w:val="both"/>
        <w:rPr>
          <w:rFonts w:ascii="Times New Roman" w:hAnsi="Times New Roman" w:cs="Times New Roman"/>
          <w:i/>
          <w:sz w:val="28"/>
          <w:szCs w:val="28"/>
        </w:rPr>
      </w:pPr>
      <w:r w:rsidRPr="00567437">
        <w:rPr>
          <w:rFonts w:ascii="Times New Roman" w:hAnsi="Times New Roman" w:cs="Times New Roman"/>
          <w:i/>
          <w:iCs/>
          <w:sz w:val="28"/>
          <w:szCs w:val="28"/>
        </w:rPr>
        <w:t>Preencha as Cartas Rogatórias necessárias para audiência da testemunha e do suspeito.</w:t>
      </w:r>
    </w:p>
    <w:p w14:paraId="3F875DEE" w14:textId="77777777" w:rsidR="00EC3DE2" w:rsidRPr="00567437" w:rsidRDefault="0074309F" w:rsidP="00EC3DE2">
      <w:pPr>
        <w:pStyle w:val="PargrafodaLista"/>
        <w:numPr>
          <w:ilvl w:val="0"/>
          <w:numId w:val="1"/>
        </w:numPr>
        <w:contextualSpacing w:val="0"/>
        <w:jc w:val="both"/>
        <w:rPr>
          <w:rFonts w:ascii="Times New Roman" w:hAnsi="Times New Roman" w:cs="Times New Roman"/>
          <w:i/>
          <w:sz w:val="28"/>
          <w:szCs w:val="28"/>
        </w:rPr>
      </w:pPr>
      <w:r w:rsidRPr="00567437">
        <w:rPr>
          <w:rFonts w:ascii="Times New Roman" w:hAnsi="Times New Roman" w:cs="Times New Roman"/>
          <w:i/>
          <w:iCs/>
          <w:sz w:val="28"/>
          <w:szCs w:val="28"/>
        </w:rPr>
        <w:t>Existem limites de tempo para a execução dos AJM pelas autoridades competentes solicitadas?</w:t>
      </w:r>
    </w:p>
    <w:p w14:paraId="472B45CF" w14:textId="67FA9611" w:rsidR="00EC3DE2" w:rsidRPr="00567437" w:rsidRDefault="0074309F" w:rsidP="00EC3DE2">
      <w:pPr>
        <w:pStyle w:val="PargrafodaLista"/>
        <w:numPr>
          <w:ilvl w:val="0"/>
          <w:numId w:val="1"/>
        </w:numPr>
        <w:contextualSpacing w:val="0"/>
        <w:jc w:val="both"/>
        <w:rPr>
          <w:rFonts w:ascii="Times New Roman" w:hAnsi="Times New Roman" w:cs="Times New Roman"/>
          <w:i/>
          <w:sz w:val="28"/>
          <w:szCs w:val="28"/>
        </w:rPr>
      </w:pPr>
      <w:r w:rsidRPr="00567437">
        <w:rPr>
          <w:rFonts w:ascii="Times New Roman" w:hAnsi="Times New Roman" w:cs="Times New Roman"/>
          <w:i/>
          <w:iCs/>
          <w:sz w:val="28"/>
          <w:szCs w:val="28"/>
        </w:rPr>
        <w:t>Que regras e requisitos se aplicarão à audição da testemunha ou do suspeito?</w:t>
      </w:r>
    </w:p>
    <w:p w14:paraId="7C1C7AD0" w14:textId="6BA08016" w:rsidR="002A7CAA" w:rsidRPr="00567437" w:rsidRDefault="0074309F" w:rsidP="0074607F">
      <w:pPr>
        <w:rPr>
          <w:rFonts w:ascii="Times New Roman" w:hAnsi="Times New Roman" w:cs="Times New Roman"/>
          <w:b/>
          <w:bCs/>
          <w:sz w:val="28"/>
          <w:szCs w:val="28"/>
        </w:rPr>
      </w:pPr>
      <w:r w:rsidRPr="00567437">
        <w:rPr>
          <w:rFonts w:ascii="Times New Roman" w:hAnsi="Times New Roman" w:cs="Times New Roman"/>
          <w:b/>
          <w:bCs/>
          <w:sz w:val="28"/>
          <w:szCs w:val="28"/>
        </w:rPr>
        <w:br w:type="page"/>
      </w:r>
    </w:p>
    <w:p w14:paraId="354A0B03" w14:textId="07F9CE86" w:rsidR="002A7CAA" w:rsidRPr="00567437" w:rsidRDefault="0074309F" w:rsidP="00676758">
      <w:pPr>
        <w:pStyle w:val="Test"/>
        <w:shd w:val="clear" w:color="auto" w:fill="DED888"/>
        <w:spacing w:after="160"/>
        <w:jc w:val="center"/>
        <w:rPr>
          <w:rFonts w:ascii="Times New Roman" w:hAnsi="Times New Roman"/>
          <w:color w:val="2F5496" w:themeColor="accent1" w:themeShade="BF"/>
          <w:sz w:val="32"/>
          <w:szCs w:val="32"/>
          <w:lang w:val="pt-PT"/>
        </w:rPr>
      </w:pPr>
      <w:r w:rsidRPr="00567437">
        <w:rPr>
          <w:rStyle w:val="Forte"/>
          <w:rFonts w:ascii="Times New Roman" w:hAnsi="Times New Roman"/>
          <w:b/>
          <w:color w:val="2F5496" w:themeColor="accent1" w:themeShade="BF"/>
          <w:sz w:val="32"/>
          <w:szCs w:val="32"/>
          <w:lang w:val="pt-PT"/>
        </w:rPr>
        <w:lastRenderedPageBreak/>
        <w:t>Parte B. Notas adicionais para os formadores sobre os casos</w:t>
      </w:r>
    </w:p>
    <w:p w14:paraId="1C5594BE" w14:textId="19CEAC2D" w:rsidR="002A7CAA" w:rsidRPr="00567437" w:rsidRDefault="0074309F" w:rsidP="0074607F">
      <w:pPr>
        <w:rPr>
          <w:rFonts w:ascii="Times New Roman" w:hAnsi="Times New Roman" w:cs="Times New Roman"/>
          <w:b/>
          <w:bCs/>
          <w:color w:val="2F5496" w:themeColor="accent1" w:themeShade="BF"/>
          <w:sz w:val="28"/>
          <w:szCs w:val="28"/>
        </w:rPr>
      </w:pPr>
      <w:r w:rsidRPr="00567437">
        <w:rPr>
          <w:rFonts w:ascii="Times New Roman" w:hAnsi="Times New Roman" w:cs="Times New Roman"/>
          <w:b/>
          <w:bCs/>
          <w:color w:val="2F5496" w:themeColor="accent1" w:themeShade="BF"/>
          <w:sz w:val="28"/>
          <w:szCs w:val="28"/>
        </w:rPr>
        <w:t>A. II. Cenário de caso:</w:t>
      </w:r>
    </w:p>
    <w:p w14:paraId="009CA552" w14:textId="6B492D8B" w:rsidR="002A7CAA" w:rsidRPr="00567437" w:rsidRDefault="0074309F" w:rsidP="0013415C">
      <w:pPr>
        <w:pStyle w:val="PargrafodaLista"/>
        <w:numPr>
          <w:ilvl w:val="0"/>
          <w:numId w:val="14"/>
        </w:numPr>
        <w:contextualSpacing w:val="0"/>
        <w:jc w:val="both"/>
        <w:rPr>
          <w:rFonts w:ascii="Times New Roman" w:hAnsi="Times New Roman" w:cs="Times New Roman"/>
          <w:bCs/>
          <w:sz w:val="28"/>
          <w:szCs w:val="24"/>
        </w:rPr>
      </w:pPr>
      <w:r w:rsidRPr="00567437">
        <w:rPr>
          <w:rFonts w:ascii="Times New Roman" w:hAnsi="Times New Roman" w:cs="Times New Roman"/>
          <w:sz w:val="28"/>
          <w:szCs w:val="24"/>
        </w:rPr>
        <w:t>A autoridade competente requerente será alterada e substituída por uma autoridade competente do EM onde o seminário se realiza, exceto para a Grécia, Dinamarca e Irlanda.</w:t>
      </w:r>
    </w:p>
    <w:p w14:paraId="147EE128" w14:textId="13C8A5A4" w:rsidR="002A7CAA" w:rsidRPr="00567437" w:rsidRDefault="0074309F" w:rsidP="0013415C">
      <w:pPr>
        <w:pStyle w:val="PargrafodaLista"/>
        <w:numPr>
          <w:ilvl w:val="0"/>
          <w:numId w:val="14"/>
        </w:numPr>
        <w:contextualSpacing w:val="0"/>
        <w:jc w:val="both"/>
        <w:rPr>
          <w:rFonts w:ascii="Times New Roman" w:hAnsi="Times New Roman" w:cs="Times New Roman"/>
          <w:bCs/>
          <w:sz w:val="28"/>
          <w:szCs w:val="24"/>
        </w:rPr>
      </w:pPr>
      <w:r w:rsidRPr="00567437">
        <w:rPr>
          <w:rFonts w:ascii="Times New Roman" w:hAnsi="Times New Roman" w:cs="Times New Roman"/>
          <w:sz w:val="28"/>
          <w:szCs w:val="24"/>
        </w:rPr>
        <w:t>Uma cidade do país onde o seminário está a decorrer será selecionada após a alteração. Além disso, o suspeito C.C. será um cidadão do país onde o seminário se realiza (será selecionada uma morada deste país).</w:t>
      </w:r>
    </w:p>
    <w:p w14:paraId="33F2E4D0" w14:textId="578E19BA" w:rsidR="00D74806" w:rsidRPr="00567437" w:rsidRDefault="0074309F" w:rsidP="00676758">
      <w:pPr>
        <w:pStyle w:val="Test"/>
        <w:shd w:val="clear" w:color="auto" w:fill="DED888"/>
        <w:spacing w:after="160"/>
        <w:jc w:val="center"/>
        <w:rPr>
          <w:rFonts w:ascii="Times New Roman" w:hAnsi="Times New Roman"/>
          <w:color w:val="2F5496" w:themeColor="accent1" w:themeShade="BF"/>
          <w:sz w:val="32"/>
          <w:szCs w:val="32"/>
          <w:lang w:val="pt-PT"/>
        </w:rPr>
      </w:pPr>
      <w:r w:rsidRPr="00567437">
        <w:rPr>
          <w:rStyle w:val="Forte"/>
          <w:rFonts w:ascii="Times New Roman" w:hAnsi="Times New Roman"/>
          <w:b/>
          <w:color w:val="2F5496" w:themeColor="accent1" w:themeShade="BF"/>
          <w:sz w:val="32"/>
          <w:szCs w:val="32"/>
          <w:lang w:val="pt-PT"/>
        </w:rPr>
        <w:t>Parte C. Metodologia</w:t>
      </w:r>
    </w:p>
    <w:p w14:paraId="1112186B" w14:textId="77777777" w:rsidR="009B61DA" w:rsidRPr="00567437" w:rsidRDefault="0074309F" w:rsidP="0013415C">
      <w:pPr>
        <w:pStyle w:val="PargrafodaLista"/>
        <w:numPr>
          <w:ilvl w:val="0"/>
          <w:numId w:val="9"/>
        </w:numPr>
        <w:ind w:left="0" w:firstLine="0"/>
        <w:contextualSpacing w:val="0"/>
        <w:jc w:val="both"/>
        <w:rPr>
          <w:rFonts w:ascii="Times New Roman" w:hAnsi="Times New Roman" w:cs="Times New Roman"/>
          <w:b/>
          <w:bCs/>
          <w:color w:val="2F5496" w:themeColor="accent1" w:themeShade="BF"/>
          <w:sz w:val="28"/>
          <w:szCs w:val="28"/>
        </w:rPr>
      </w:pPr>
      <w:r w:rsidRPr="00567437">
        <w:rPr>
          <w:rFonts w:ascii="Times New Roman" w:hAnsi="Times New Roman" w:cs="Times New Roman"/>
          <w:b/>
          <w:bCs/>
          <w:color w:val="2F5496" w:themeColor="accent1" w:themeShade="BF"/>
          <w:sz w:val="28"/>
          <w:szCs w:val="28"/>
        </w:rPr>
        <w:t>Ideia geral e temas centrais</w:t>
      </w:r>
    </w:p>
    <w:p w14:paraId="7E3F6F53" w14:textId="13873E47" w:rsidR="009B61DA"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Este material de formação tem por objetivo familiarizar os oficiais de justiça dos Estados-Membros com os instrumentos jurídicos de cooperação judiciária disponíveis a nível europeu, com vista à recolha de elementos de prova no estrangeiro. </w:t>
      </w:r>
    </w:p>
    <w:p w14:paraId="629EB4AB" w14:textId="22EBBF6F" w:rsidR="009B61DA"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Os oficiais de justiça deparam-se frequentemente com dificuldades em tentar identificar e utilizar o instrumento jurídico apropriado para a cooperação judiciária em matéria penal.</w:t>
      </w:r>
    </w:p>
    <w:p w14:paraId="7D85E526" w14:textId="466CD806" w:rsidR="009B61DA"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Após identificação do instrumento jurídico aplicável, os oficiais de justiça desempenham tarefas administrativas que vão desde o preenchimento do formulário solicitado pelo instrumento jurídico, identificação da autoridade competente a quem o enviar, tradução do formulário, pedido ou envio de informações adicionais relativas à cooperação judiciária.</w:t>
      </w:r>
    </w:p>
    <w:p w14:paraId="14B4EBA0" w14:textId="77777777" w:rsidR="009B61DA" w:rsidRPr="00567437" w:rsidRDefault="0074309F" w:rsidP="0074607F">
      <w:pPr>
        <w:jc w:val="both"/>
        <w:rPr>
          <w:rFonts w:ascii="Times New Roman" w:hAnsi="Times New Roman" w:cs="Times New Roman"/>
          <w:sz w:val="28"/>
          <w:szCs w:val="28"/>
        </w:rPr>
      </w:pPr>
      <w:r w:rsidRPr="00567437">
        <w:rPr>
          <w:rFonts w:ascii="Times New Roman" w:hAnsi="Times New Roman" w:cs="Times New Roman"/>
          <w:sz w:val="28"/>
          <w:szCs w:val="28"/>
        </w:rPr>
        <w:t xml:space="preserve">Assim sendo, serão abordados os seguintes aspetos principais no âmbito dos seminários: </w:t>
      </w:r>
    </w:p>
    <w:p w14:paraId="1598949D" w14:textId="58A83ACA" w:rsidR="009B61DA" w:rsidRPr="00567437" w:rsidRDefault="0074309F" w:rsidP="0013415C">
      <w:pPr>
        <w:pStyle w:val="PargrafodaLista"/>
        <w:numPr>
          <w:ilvl w:val="0"/>
          <w:numId w:val="10"/>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As principais características do processo de AJM, com foco na audiência por videoconferência e conferência telefónica de testemunhas e suspeitos. </w:t>
      </w:r>
    </w:p>
    <w:p w14:paraId="7B0CB1CD" w14:textId="496C090B" w:rsidR="00994619" w:rsidRPr="00567437" w:rsidRDefault="0074309F" w:rsidP="0013415C">
      <w:pPr>
        <w:pStyle w:val="PargrafodaLista"/>
        <w:numPr>
          <w:ilvl w:val="0"/>
          <w:numId w:val="10"/>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A relação entre a Convenção de Auxílio Judiciário Mútuo em Matéria Penal entre os Estados-Membros da União Europeia e respetivo protocolo, a Convenção Europeia de Auxílio Judiciário Mútuo em Matéria Penal de 1959 e respetivos protocolos e a Diretiva/41/UE, relativa à recolha de elementos de prova no estrangeiro. </w:t>
      </w:r>
    </w:p>
    <w:p w14:paraId="71E77C86" w14:textId="7102A8BC" w:rsidR="00BA42B8" w:rsidRPr="00567437" w:rsidRDefault="0074309F" w:rsidP="0013415C">
      <w:pPr>
        <w:pStyle w:val="PargrafodaLista"/>
        <w:numPr>
          <w:ilvl w:val="0"/>
          <w:numId w:val="10"/>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Familiarização com o conteúdo de uma Carta Rogatória e aprendizagem sobre o respetivo preenchimento.</w:t>
      </w:r>
    </w:p>
    <w:p w14:paraId="53A65555" w14:textId="2F247612" w:rsidR="00676758" w:rsidRPr="00567437" w:rsidRDefault="00F71519" w:rsidP="00676758">
      <w:pPr>
        <w:pStyle w:val="PargrafodaLista"/>
        <w:spacing w:line="240" w:lineRule="auto"/>
        <w:contextualSpacing w:val="0"/>
        <w:jc w:val="both"/>
        <w:rPr>
          <w:rFonts w:ascii="Times New Roman" w:hAnsi="Times New Roman" w:cs="Times New Roman"/>
          <w:sz w:val="28"/>
          <w:szCs w:val="28"/>
        </w:rPr>
      </w:pPr>
    </w:p>
    <w:p w14:paraId="24D26DD4" w14:textId="77777777" w:rsidR="00676758" w:rsidRPr="00567437" w:rsidRDefault="00F71519" w:rsidP="00676758">
      <w:pPr>
        <w:pStyle w:val="PargrafodaLista"/>
        <w:spacing w:line="240" w:lineRule="auto"/>
        <w:contextualSpacing w:val="0"/>
        <w:jc w:val="both"/>
        <w:rPr>
          <w:rFonts w:ascii="Times New Roman" w:hAnsi="Times New Roman" w:cs="Times New Roman"/>
          <w:sz w:val="28"/>
          <w:szCs w:val="28"/>
        </w:rPr>
      </w:pPr>
    </w:p>
    <w:p w14:paraId="7ACE858F" w14:textId="0D68FE8A" w:rsidR="0051428E" w:rsidRPr="00567437" w:rsidRDefault="0074309F" w:rsidP="0013415C">
      <w:pPr>
        <w:pStyle w:val="PargrafodaLista"/>
        <w:numPr>
          <w:ilvl w:val="0"/>
          <w:numId w:val="10"/>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Familiarização com as regras e requisitos aplicáveis à audiência de testemunhas e suspeitos por videoconferência e conferência telefónica, tal como previsto nos diferentes instrumentos jurídicos relevantes.</w:t>
      </w:r>
    </w:p>
    <w:p w14:paraId="13B04B6D" w14:textId="47786207" w:rsidR="009B61DA" w:rsidRPr="00567437" w:rsidRDefault="0074309F" w:rsidP="0013415C">
      <w:pPr>
        <w:pStyle w:val="PargrafodaLista"/>
        <w:numPr>
          <w:ilvl w:val="0"/>
          <w:numId w:val="10"/>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Diferentes pormenores administrativos, tais como a forma como uma autoridade emissora deve proceder numa determinada situação, onde uma autoridade emissora pode encontrar uma Carta Rogatória eletrónica, onde a autoridade emissora pode encontrar a autoridade competente do Estado-Membro de execução onde o pedido tem de ser apresentado para cumprir tudo o que é exigido, de forma a ser devidamente tratado. </w:t>
      </w:r>
    </w:p>
    <w:p w14:paraId="2CD04BB0" w14:textId="07A3A723" w:rsidR="005D593D" w:rsidRPr="00567437" w:rsidRDefault="0074309F" w:rsidP="00AB5E57">
      <w:pPr>
        <w:pStyle w:val="PargrafodaLista"/>
        <w:numPr>
          <w:ilvl w:val="0"/>
          <w:numId w:val="9"/>
        </w:numPr>
        <w:ind w:left="0" w:firstLine="0"/>
        <w:contextualSpacing w:val="0"/>
        <w:jc w:val="both"/>
        <w:rPr>
          <w:rFonts w:ascii="Times New Roman" w:hAnsi="Times New Roman" w:cs="Times New Roman"/>
          <w:b/>
          <w:bCs/>
          <w:color w:val="2F5496" w:themeColor="accent1" w:themeShade="BF"/>
          <w:sz w:val="28"/>
          <w:szCs w:val="28"/>
        </w:rPr>
      </w:pPr>
      <w:r w:rsidRPr="00567437">
        <w:rPr>
          <w:rFonts w:ascii="Times New Roman" w:hAnsi="Times New Roman" w:cs="Times New Roman"/>
          <w:b/>
          <w:bCs/>
          <w:color w:val="2F5496" w:themeColor="accent1" w:themeShade="BF"/>
          <w:sz w:val="28"/>
          <w:szCs w:val="28"/>
        </w:rPr>
        <w:t>Grupos de trabalho e estrutura do seminário</w:t>
      </w:r>
    </w:p>
    <w:p w14:paraId="3B062598" w14:textId="7B66365C" w:rsidR="00B05503" w:rsidRPr="00567437" w:rsidRDefault="0074309F" w:rsidP="00AB5E57">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O seminário começará com uma </w:t>
      </w:r>
      <w:r w:rsidRPr="00567437">
        <w:rPr>
          <w:rFonts w:ascii="Times New Roman" w:hAnsi="Times New Roman" w:cs="Times New Roman"/>
          <w:b/>
          <w:bCs/>
          <w:sz w:val="28"/>
          <w:szCs w:val="28"/>
        </w:rPr>
        <w:t>apresentação</w:t>
      </w:r>
      <w:r w:rsidRPr="00567437">
        <w:rPr>
          <w:rFonts w:ascii="Times New Roman" w:hAnsi="Times New Roman" w:cs="Times New Roman"/>
          <w:sz w:val="28"/>
          <w:szCs w:val="28"/>
        </w:rPr>
        <w:t xml:space="preserve"> .</w:t>
      </w:r>
      <w:proofErr w:type="spellStart"/>
      <w:r w:rsidRPr="00567437">
        <w:rPr>
          <w:rFonts w:ascii="Times New Roman" w:hAnsi="Times New Roman" w:cs="Times New Roman"/>
          <w:sz w:val="28"/>
          <w:szCs w:val="28"/>
        </w:rPr>
        <w:t>ppt</w:t>
      </w:r>
      <w:proofErr w:type="spellEnd"/>
      <w:r w:rsidRPr="00567437">
        <w:rPr>
          <w:rFonts w:ascii="Times New Roman" w:hAnsi="Times New Roman" w:cs="Times New Roman"/>
          <w:sz w:val="28"/>
          <w:szCs w:val="28"/>
        </w:rPr>
        <w:t xml:space="preserve"> (</w:t>
      </w:r>
      <w:r w:rsidRPr="00567437">
        <w:rPr>
          <w:rFonts w:ascii="Times New Roman" w:hAnsi="Times New Roman" w:cs="Times New Roman"/>
          <w:b/>
          <w:bCs/>
          <w:sz w:val="28"/>
          <w:szCs w:val="28"/>
        </w:rPr>
        <w:t>15 – 20 minutos</w:t>
      </w:r>
      <w:r w:rsidRPr="00567437">
        <w:rPr>
          <w:rFonts w:ascii="Times New Roman" w:hAnsi="Times New Roman" w:cs="Times New Roman"/>
          <w:sz w:val="28"/>
          <w:szCs w:val="28"/>
        </w:rPr>
        <w:t>), na qual o formador explicará algumas características-chave do processo de auxílio judiciário mútuo (relação entre o AJM e os instrumentos jurídicos de reconhecimento mútuo, como identificar os instrumentos jurídicos, canais de transmissão, formulários, execução, prazos) apontando brevemente as disposições relativas às audiências por videoconferência e conferência telefónica da Convenção de Auxílio Judiciário Mútuo em Matéria Penal entre os Estados-Membros da União Europeia e o Segundo Protocolo Adicional à Convenção Europeia de Auxílio Judiciário Mútuo em Matéria Penal de 1959</w:t>
      </w:r>
      <w:r w:rsidRPr="00567437">
        <w:rPr>
          <w:rStyle w:val="Refdenotaderodap"/>
          <w:rFonts w:ascii="Times New Roman" w:hAnsi="Times New Roman" w:cs="Times New Roman"/>
          <w:sz w:val="28"/>
          <w:szCs w:val="28"/>
        </w:rPr>
        <w:footnoteReference w:id="1"/>
      </w:r>
      <w:r w:rsidRPr="00567437">
        <w:rPr>
          <w:rFonts w:ascii="Times New Roman" w:hAnsi="Times New Roman" w:cs="Times New Roman"/>
          <w:sz w:val="28"/>
          <w:szCs w:val="28"/>
        </w:rPr>
        <w:t>.</w:t>
      </w:r>
    </w:p>
    <w:p w14:paraId="5999C274" w14:textId="1BD7162B" w:rsidR="005D593D" w:rsidRPr="00567437" w:rsidRDefault="0074309F" w:rsidP="00AB5E57">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O seminário continuará com os cenários introdutórios, dando aos participantes a oportunidade de identificarem diferentes instrumentos de cooperação judiciária, a fim de recolherem elementos de prova com a cooperação de outro Estado-Membro. </w:t>
      </w:r>
    </w:p>
    <w:p w14:paraId="1E05F4EE" w14:textId="579AFBB2" w:rsidR="0009377E" w:rsidRPr="00567437" w:rsidRDefault="0074309F" w:rsidP="00AB5E57">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Os participantes devem ser divididos em 4-6 grupos de 5-8 pessoas e cada grupo deve ter pelo menos um computador/portátil com acesso à Internet</w:t>
      </w:r>
    </w:p>
    <w:p w14:paraId="20FD2FB8" w14:textId="1B4055A5" w:rsidR="000F3081"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Os </w:t>
      </w:r>
      <w:r w:rsidRPr="00567437">
        <w:rPr>
          <w:rFonts w:ascii="Times New Roman" w:hAnsi="Times New Roman" w:cs="Times New Roman"/>
          <w:b/>
          <w:bCs/>
          <w:sz w:val="28"/>
          <w:szCs w:val="28"/>
        </w:rPr>
        <w:t>cenários introdutórios</w:t>
      </w:r>
      <w:r w:rsidRPr="00567437">
        <w:rPr>
          <w:rFonts w:ascii="Times New Roman" w:hAnsi="Times New Roman" w:cs="Times New Roman"/>
          <w:sz w:val="28"/>
          <w:szCs w:val="28"/>
        </w:rPr>
        <w:t xml:space="preserve"> ajudarão os participantes a compreenderem melhor a relação entre os instrumentos jurídicos de cooperação judiciária em matéria penal, visto que, por vezes, este aspeto pode parecer complicado.</w:t>
      </w:r>
    </w:p>
    <w:p w14:paraId="0EF27E6E" w14:textId="6EFF7AF3" w:rsidR="000F3081"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O formador orientará os participantes no reconhecimento da relação entre a Diretiva/41</w:t>
      </w:r>
      <w:r w:rsidRPr="00567437">
        <w:rPr>
          <w:rStyle w:val="Refdenotaderodap"/>
          <w:rFonts w:ascii="Times New Roman" w:hAnsi="Times New Roman" w:cs="Times New Roman"/>
          <w:sz w:val="28"/>
          <w:szCs w:val="28"/>
        </w:rPr>
        <w:footnoteReference w:id="2"/>
      </w:r>
      <w:r w:rsidRPr="00567437">
        <w:rPr>
          <w:rFonts w:ascii="Times New Roman" w:hAnsi="Times New Roman" w:cs="Times New Roman"/>
          <w:color w:val="444444"/>
          <w:sz w:val="21"/>
          <w:szCs w:val="21"/>
          <w:shd w:val="clear" w:color="auto" w:fill="FFFFFF"/>
        </w:rPr>
        <w:t xml:space="preserve"> </w:t>
      </w:r>
      <w:r w:rsidRPr="00567437">
        <w:rPr>
          <w:rFonts w:ascii="Times New Roman" w:hAnsi="Times New Roman" w:cs="Times New Roman"/>
          <w:sz w:val="28"/>
          <w:szCs w:val="28"/>
        </w:rPr>
        <w:t>do Parlamento Europeu e do Conselho, de 3 de abril de 2014, relativa à Decisão Europeia de Investigação em Matéria Penal, a Convenção de Auxílio Judiciário Mútuo em Matéria Penal entre os Estados-Membros da União Europeia</w:t>
      </w:r>
      <w:r w:rsidRPr="00567437">
        <w:rPr>
          <w:rStyle w:val="Refdenotaderodap"/>
          <w:rFonts w:ascii="Times New Roman" w:hAnsi="Times New Roman" w:cs="Times New Roman"/>
          <w:sz w:val="28"/>
          <w:szCs w:val="28"/>
        </w:rPr>
        <w:footnoteReference w:id="3"/>
      </w:r>
      <w:r w:rsidRPr="00567437">
        <w:rPr>
          <w:rFonts w:ascii="Times New Roman" w:hAnsi="Times New Roman" w:cs="Times New Roman"/>
          <w:sz w:val="28"/>
          <w:szCs w:val="28"/>
        </w:rPr>
        <w:t xml:space="preserve"> e a Convenção Europeia de Auxílio Judiciário Mútuo em Matéria Penal de 1959 e respetivos protocolos</w:t>
      </w:r>
      <w:r w:rsidRPr="00567437">
        <w:rPr>
          <w:rStyle w:val="Refdenotaderodap"/>
          <w:rFonts w:ascii="Times New Roman" w:hAnsi="Times New Roman" w:cs="Times New Roman"/>
          <w:sz w:val="28"/>
          <w:szCs w:val="28"/>
        </w:rPr>
        <w:footnoteReference w:id="4"/>
      </w:r>
      <w:r w:rsidRPr="00567437">
        <w:rPr>
          <w:rFonts w:ascii="Times New Roman" w:hAnsi="Times New Roman" w:cs="Times New Roman"/>
          <w:sz w:val="28"/>
          <w:szCs w:val="28"/>
        </w:rPr>
        <w:t>.</w:t>
      </w:r>
    </w:p>
    <w:p w14:paraId="4A91F33D" w14:textId="5CD482E5" w:rsidR="002A5FAB"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lastRenderedPageBreak/>
        <w:t xml:space="preserve">A resolução dos cenários introdutórios deve demorar cerca de </w:t>
      </w:r>
      <w:r w:rsidRPr="00567437">
        <w:rPr>
          <w:rFonts w:ascii="Times New Roman" w:hAnsi="Times New Roman" w:cs="Times New Roman"/>
          <w:b/>
          <w:bCs/>
          <w:sz w:val="28"/>
          <w:szCs w:val="28"/>
        </w:rPr>
        <w:t>30 minutos</w:t>
      </w:r>
      <w:r w:rsidRPr="00567437">
        <w:rPr>
          <w:rFonts w:ascii="Times New Roman" w:hAnsi="Times New Roman" w:cs="Times New Roman"/>
          <w:sz w:val="28"/>
          <w:szCs w:val="28"/>
        </w:rPr>
        <w:t xml:space="preserve">. Neste momento, será feito um </w:t>
      </w:r>
      <w:r w:rsidRPr="00567437">
        <w:rPr>
          <w:rFonts w:ascii="Times New Roman" w:hAnsi="Times New Roman" w:cs="Times New Roman"/>
          <w:b/>
          <w:bCs/>
          <w:sz w:val="28"/>
          <w:szCs w:val="28"/>
        </w:rPr>
        <w:t>intervalo de 10 minutos</w:t>
      </w:r>
      <w:r w:rsidRPr="00567437">
        <w:rPr>
          <w:rFonts w:ascii="Times New Roman" w:hAnsi="Times New Roman" w:cs="Times New Roman"/>
          <w:sz w:val="28"/>
          <w:szCs w:val="28"/>
        </w:rPr>
        <w:t>.</w:t>
      </w:r>
    </w:p>
    <w:p w14:paraId="2DD407E4" w14:textId="199781F5" w:rsidR="008371D5"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O </w:t>
      </w:r>
      <w:r w:rsidRPr="00567437">
        <w:rPr>
          <w:rFonts w:ascii="Times New Roman" w:hAnsi="Times New Roman" w:cs="Times New Roman"/>
          <w:b/>
          <w:bCs/>
          <w:sz w:val="28"/>
          <w:szCs w:val="28"/>
        </w:rPr>
        <w:t>cenário de caso</w:t>
      </w:r>
      <w:r w:rsidRPr="00567437">
        <w:rPr>
          <w:rFonts w:ascii="Times New Roman" w:hAnsi="Times New Roman" w:cs="Times New Roman"/>
          <w:sz w:val="28"/>
          <w:szCs w:val="28"/>
        </w:rPr>
        <w:t xml:space="preserve"> é a oportunidade de aprofundar a compreensão do sistema de AJM e a diferença em relação aos instrumentos jurídicos de reconhecimento mútuo, aplicando disposições da Convenção de Auxílio Judiciário Mútuo em Matéria Penal entre os Estados-Membros da União Europeia e da Convenção Europeia de Auxílio Judiciário Mútuo em Matéria Penal de 1959 e respetivos protocolos.</w:t>
      </w:r>
    </w:p>
    <w:p w14:paraId="4733ADAD" w14:textId="646144B5" w:rsidR="002A5FAB"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Ao responder às questões, os participantes poderão identificar as autoridades competentes envolvidas no processo de AJM, compreender os canais de transmissão da Carta Rogatória, a aplicabilidade dos prazos e as regras e requisitos aplicáveis à audição de testemunhas e suspeitos por videoconferência.</w:t>
      </w:r>
    </w:p>
    <w:p w14:paraId="1EBD93EC" w14:textId="00452182" w:rsidR="00353CD7"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Os participantes também preencherão Cartas Rogatórias para a audição de uma testemunha e/ou de um suspeito por AJM. Para tal, 2-3 grupos preencherão a Carta Rogatória para a audição do suspeito e os outros 2-3 grupos preencherão a Carta Rogatória para a audição da testemunha.</w:t>
      </w:r>
    </w:p>
    <w:p w14:paraId="45629D92" w14:textId="28E216C3" w:rsidR="00564D5E"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sz w:val="28"/>
          <w:szCs w:val="28"/>
        </w:rPr>
        <w:t xml:space="preserve">Os participantes terão acesso ao sítio Web da RJE </w:t>
      </w:r>
      <w:hyperlink r:id="rId8" w:history="1">
        <w:r w:rsidRPr="00567437">
          <w:rPr>
            <w:rStyle w:val="Hiperligao"/>
            <w:rFonts w:ascii="Times New Roman" w:hAnsi="Times New Roman" w:cs="Times New Roman"/>
            <w:sz w:val="28"/>
            <w:szCs w:val="28"/>
          </w:rPr>
          <w:t>na secção Compêndio</w:t>
        </w:r>
      </w:hyperlink>
      <w:r w:rsidRPr="00567437">
        <w:rPr>
          <w:rFonts w:ascii="Times New Roman" w:hAnsi="Times New Roman"/>
          <w:sz w:val="28"/>
          <w:szCs w:val="28"/>
        </w:rPr>
        <w:t xml:space="preserve">. Aqui, os participantes poderão preencher uma Carta Rogatória em linha e posteriormente guardá-la e imprimi-la. As Cartas Rogatórias preenchidas serão posteriormente verificadas com o formador. </w:t>
      </w:r>
    </w:p>
    <w:p w14:paraId="768CC686" w14:textId="38E37648" w:rsidR="001F6ACC"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A resolução do cenário de caso deve demorar cerca de </w:t>
      </w:r>
      <w:r w:rsidRPr="00567437">
        <w:rPr>
          <w:rFonts w:ascii="Times New Roman" w:hAnsi="Times New Roman" w:cs="Times New Roman"/>
          <w:b/>
          <w:bCs/>
          <w:sz w:val="28"/>
          <w:szCs w:val="28"/>
        </w:rPr>
        <w:t>2 horas e 20 minutos</w:t>
      </w:r>
      <w:r w:rsidRPr="00567437">
        <w:rPr>
          <w:rFonts w:ascii="Times New Roman" w:hAnsi="Times New Roman" w:cs="Times New Roman"/>
          <w:sz w:val="28"/>
          <w:szCs w:val="28"/>
        </w:rPr>
        <w:t>.</w:t>
      </w:r>
    </w:p>
    <w:p w14:paraId="47169767" w14:textId="3F5F25D2" w:rsidR="001F6ACC"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Quaisquer questões pendentes devem ser discutidas em plenário (</w:t>
      </w:r>
      <w:r w:rsidRPr="00567437">
        <w:rPr>
          <w:rFonts w:ascii="Times New Roman" w:hAnsi="Times New Roman" w:cs="Times New Roman"/>
          <w:b/>
          <w:bCs/>
          <w:sz w:val="28"/>
          <w:szCs w:val="28"/>
        </w:rPr>
        <w:t>aproximadamente 5-10 minutos</w:t>
      </w:r>
      <w:r w:rsidRPr="00567437">
        <w:rPr>
          <w:rFonts w:ascii="Times New Roman" w:hAnsi="Times New Roman" w:cs="Times New Roman"/>
          <w:sz w:val="28"/>
          <w:szCs w:val="28"/>
        </w:rPr>
        <w:t>).</w:t>
      </w:r>
    </w:p>
    <w:p w14:paraId="6BCC2F92" w14:textId="26997A7A" w:rsidR="009B61DA" w:rsidRPr="00567437" w:rsidRDefault="0074309F" w:rsidP="00676758">
      <w:pPr>
        <w:spacing w:line="240" w:lineRule="auto"/>
        <w:jc w:val="both"/>
        <w:rPr>
          <w:rFonts w:ascii="Times New Roman" w:hAnsi="Times New Roman" w:cs="Times New Roman"/>
          <w:sz w:val="28"/>
          <w:szCs w:val="28"/>
        </w:rPr>
      </w:pPr>
      <w:r w:rsidRPr="00567437">
        <w:rPr>
          <w:rFonts w:ascii="Times New Roman" w:eastAsia="Calibri" w:hAnsi="Times New Roman" w:cs="Times New Roman"/>
          <w:sz w:val="28"/>
          <w:szCs w:val="28"/>
        </w:rPr>
        <w:t>Os organizadores devem tentar formar grupos de participantes com um nível semelhante de experiência no trabalho com os instrumentos jurídicos de AJM.</w:t>
      </w:r>
    </w:p>
    <w:p w14:paraId="5B25F749" w14:textId="37DBD29F" w:rsidR="009B61DA" w:rsidRPr="00567437" w:rsidRDefault="0074309F" w:rsidP="0013415C">
      <w:pPr>
        <w:pStyle w:val="PargrafodaLista"/>
        <w:numPr>
          <w:ilvl w:val="0"/>
          <w:numId w:val="9"/>
        </w:numPr>
        <w:ind w:left="0" w:firstLine="0"/>
        <w:contextualSpacing w:val="0"/>
        <w:jc w:val="both"/>
        <w:rPr>
          <w:rFonts w:ascii="Times New Roman" w:hAnsi="Times New Roman" w:cs="Times New Roman"/>
          <w:b/>
          <w:bCs/>
          <w:color w:val="2F5496" w:themeColor="accent1" w:themeShade="BF"/>
          <w:sz w:val="28"/>
          <w:szCs w:val="28"/>
        </w:rPr>
      </w:pPr>
      <w:r w:rsidRPr="00567437">
        <w:rPr>
          <w:rFonts w:ascii="Times New Roman" w:hAnsi="Times New Roman" w:cs="Times New Roman"/>
          <w:b/>
          <w:bCs/>
          <w:color w:val="2F5496" w:themeColor="accent1" w:themeShade="BF"/>
          <w:sz w:val="28"/>
          <w:szCs w:val="28"/>
        </w:rPr>
        <w:t xml:space="preserve">Requisitos adicionais </w:t>
      </w:r>
    </w:p>
    <w:p w14:paraId="5E4BAA30" w14:textId="34A2C15D" w:rsidR="00564D5E" w:rsidRPr="00567437" w:rsidRDefault="0074309F" w:rsidP="0074607F">
      <w:pPr>
        <w:spacing w:line="240" w:lineRule="auto"/>
        <w:jc w:val="both"/>
        <w:rPr>
          <w:rFonts w:ascii="Times New Roman" w:hAnsi="Times New Roman" w:cs="Times New Roman"/>
          <w:b/>
          <w:bCs/>
          <w:sz w:val="28"/>
          <w:szCs w:val="28"/>
        </w:rPr>
      </w:pPr>
      <w:r w:rsidRPr="00567437">
        <w:rPr>
          <w:rFonts w:ascii="Times New Roman" w:hAnsi="Times New Roman"/>
          <w:sz w:val="28"/>
          <w:szCs w:val="28"/>
        </w:rPr>
        <w:t>Os participantes terão acesso à Convenção Europeia de 20 de abril de 1959 sobre auxílio mútuo em matéria penal e respetivos protocolos (</w:t>
      </w:r>
      <w:hyperlink r:id="rId9" w:history="1">
        <w:r w:rsidRPr="00567437">
          <w:rPr>
            <w:rStyle w:val="Hiperligao"/>
            <w:rFonts w:ascii="Times New Roman" w:hAnsi="Times New Roman" w:cs="Times New Roman"/>
            <w:sz w:val="28"/>
            <w:szCs w:val="28"/>
          </w:rPr>
          <w:t xml:space="preserve">O Serviço de Tratados a partir do sítio Web do </w:t>
        </w:r>
        <w:proofErr w:type="spellStart"/>
        <w:r w:rsidRPr="00567437">
          <w:rPr>
            <w:rStyle w:val="Hiperligao"/>
            <w:rFonts w:ascii="Times New Roman" w:hAnsi="Times New Roman" w:cs="Times New Roman"/>
            <w:sz w:val="28"/>
            <w:szCs w:val="28"/>
          </w:rPr>
          <w:t>CdE</w:t>
        </w:r>
        <w:proofErr w:type="spellEnd"/>
      </w:hyperlink>
      <w:r w:rsidRPr="00567437">
        <w:rPr>
          <w:rFonts w:ascii="Times New Roman" w:hAnsi="Times New Roman"/>
          <w:sz w:val="28"/>
          <w:szCs w:val="28"/>
        </w:rPr>
        <w:t>), à Convenção de 29 de maio de 2000 sobre auxílio mútuo em matéria penal entre os Estados-Membros da União Europeia e à Diretiva/41/UE de 3 de abril de 2014 relativa à Decisão Europeia de Investigação em Matéria Penal (</w:t>
      </w:r>
      <w:hyperlink r:id="rId10" w:history="1">
        <w:r w:rsidRPr="00567437">
          <w:rPr>
            <w:rStyle w:val="Hiperligao"/>
            <w:rFonts w:ascii="Times New Roman" w:hAnsi="Times New Roman" w:cs="Times New Roman"/>
            <w:sz w:val="28"/>
            <w:szCs w:val="28"/>
          </w:rPr>
          <w:t>sítio Web da RJE</w:t>
        </w:r>
      </w:hyperlink>
      <w:r w:rsidRPr="00567437">
        <w:rPr>
          <w:rFonts w:ascii="Times New Roman" w:hAnsi="Times New Roman"/>
          <w:sz w:val="28"/>
          <w:szCs w:val="28"/>
        </w:rPr>
        <w:t>).</w:t>
      </w:r>
    </w:p>
    <w:p w14:paraId="0CB08DD6" w14:textId="477EFC5B" w:rsidR="005F23E3" w:rsidRPr="00567437" w:rsidRDefault="0074309F" w:rsidP="0074607F">
      <w:pPr>
        <w:rPr>
          <w:rFonts w:ascii="Times New Roman" w:hAnsi="Times New Roman" w:cs="Times New Roman"/>
          <w:sz w:val="28"/>
          <w:szCs w:val="28"/>
        </w:rPr>
      </w:pPr>
      <w:r w:rsidRPr="00567437">
        <w:rPr>
          <w:rFonts w:ascii="Times New Roman" w:hAnsi="Times New Roman" w:cs="Times New Roman"/>
          <w:sz w:val="28"/>
          <w:szCs w:val="28"/>
        </w:rPr>
        <w:br w:type="page"/>
      </w:r>
    </w:p>
    <w:p w14:paraId="4F3461FC" w14:textId="6DA3F8A3" w:rsidR="00B738AB" w:rsidRPr="00567437" w:rsidRDefault="0074309F" w:rsidP="0074607F">
      <w:pPr>
        <w:pStyle w:val="Test"/>
        <w:shd w:val="clear" w:color="auto" w:fill="DED888"/>
        <w:spacing w:after="160"/>
        <w:jc w:val="center"/>
        <w:rPr>
          <w:rStyle w:val="Forte"/>
          <w:rFonts w:ascii="Times New Roman" w:hAnsi="Times New Roman"/>
          <w:b/>
          <w:bCs w:val="0"/>
          <w:color w:val="2F5496" w:themeColor="accent1" w:themeShade="BF"/>
          <w:sz w:val="32"/>
          <w:szCs w:val="32"/>
          <w:lang w:val="pt-PT"/>
        </w:rPr>
      </w:pPr>
      <w:r w:rsidRPr="00567437">
        <w:rPr>
          <w:rStyle w:val="Forte"/>
          <w:rFonts w:ascii="Times New Roman" w:hAnsi="Times New Roman"/>
          <w:b/>
          <w:color w:val="2F5496" w:themeColor="accent1" w:themeShade="BF"/>
          <w:sz w:val="32"/>
          <w:szCs w:val="32"/>
          <w:lang w:val="pt-PT"/>
        </w:rPr>
        <w:lastRenderedPageBreak/>
        <w:t>Parte D. Soluções</w:t>
      </w:r>
    </w:p>
    <w:p w14:paraId="11C76AA2" w14:textId="24F30389" w:rsidR="005E5B46" w:rsidRPr="00567437" w:rsidRDefault="0074309F" w:rsidP="0074607F">
      <w:pPr>
        <w:rPr>
          <w:rFonts w:ascii="Times New Roman" w:hAnsi="Times New Roman" w:cs="Times New Roman"/>
          <w:b/>
          <w:bCs/>
          <w:color w:val="2F5496" w:themeColor="accent1" w:themeShade="BF"/>
          <w:sz w:val="28"/>
          <w:szCs w:val="28"/>
        </w:rPr>
      </w:pPr>
      <w:r w:rsidRPr="00567437">
        <w:rPr>
          <w:rFonts w:ascii="Times New Roman" w:hAnsi="Times New Roman" w:cs="Times New Roman"/>
          <w:b/>
          <w:bCs/>
          <w:color w:val="2F5496" w:themeColor="accent1" w:themeShade="BF"/>
          <w:sz w:val="28"/>
          <w:szCs w:val="28"/>
        </w:rPr>
        <w:t>A. I. Cenários introdutórios:</w:t>
      </w:r>
    </w:p>
    <w:p w14:paraId="7E9FB5C7" w14:textId="5C44F497" w:rsidR="006C448E"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A obtenção de elementos de prova em matéria penal no âmbito da UE pode ser feita de duas formas: utilizando </w:t>
      </w:r>
      <w:r w:rsidRPr="00567437">
        <w:rPr>
          <w:rFonts w:ascii="Times New Roman" w:hAnsi="Times New Roman" w:cs="Times New Roman"/>
          <w:b/>
          <w:bCs/>
          <w:i/>
          <w:iCs/>
          <w:sz w:val="28"/>
          <w:szCs w:val="28"/>
        </w:rPr>
        <w:t>os instrumentos jurídicos baseados no princípio do auxílio mútuo ou os instrumentos jurídicos baseados no princípio do reconhecimento mútuo</w:t>
      </w:r>
      <w:r w:rsidRPr="00567437">
        <w:rPr>
          <w:rFonts w:ascii="Times New Roman" w:hAnsi="Times New Roman" w:cs="Times New Roman"/>
          <w:i/>
          <w:iCs/>
          <w:sz w:val="28"/>
          <w:szCs w:val="28"/>
        </w:rPr>
        <w:t>.</w:t>
      </w:r>
    </w:p>
    <w:p w14:paraId="04459C1C" w14:textId="4338FEBB" w:rsidR="002250D7"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A tarefa mais importante para a autoridade judiciária é </w:t>
      </w:r>
      <w:r w:rsidRPr="00567437">
        <w:rPr>
          <w:rFonts w:ascii="Times New Roman" w:hAnsi="Times New Roman" w:cs="Times New Roman"/>
          <w:sz w:val="28"/>
          <w:szCs w:val="28"/>
          <w:u w:val="single"/>
        </w:rPr>
        <w:t>identificar o instrumento jurídico aplicável aos dois EM envolvidos no futuro processo de cooperação judiciária.</w:t>
      </w:r>
      <w:r w:rsidRPr="00567437">
        <w:rPr>
          <w:rFonts w:ascii="Times New Roman" w:hAnsi="Times New Roman" w:cs="Times New Roman"/>
          <w:sz w:val="28"/>
          <w:szCs w:val="28"/>
        </w:rPr>
        <w:t xml:space="preserve"> Ao fazê-lo, permitirá que a autoridade judiciária requerente observe os requisitos nela previstos para alcançar um bom resultado para o seu pedido.</w:t>
      </w:r>
    </w:p>
    <w:p w14:paraId="517C5918" w14:textId="68E9DD03" w:rsidR="00F05998"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A identificação do instrumento jurídico aplicável pela autoridade judiciária emissora </w:t>
      </w:r>
      <w:r w:rsidRPr="00567437">
        <w:rPr>
          <w:rFonts w:ascii="Times New Roman" w:hAnsi="Times New Roman" w:cs="Times New Roman"/>
          <w:sz w:val="28"/>
          <w:szCs w:val="28"/>
          <w:u w:val="single"/>
        </w:rPr>
        <w:t>não é uma questão de selecionar um instrumento jurídico específico</w:t>
      </w:r>
      <w:r w:rsidRPr="00567437">
        <w:rPr>
          <w:rFonts w:ascii="Times New Roman" w:hAnsi="Times New Roman" w:cs="Times New Roman"/>
          <w:sz w:val="28"/>
          <w:szCs w:val="28"/>
        </w:rPr>
        <w:t>. O instrumento jurídico aplicável será o que se encontrar em vigor no momento em que a autoridade judiciária solicitar o auxílio judicial de uma autoridade dentro de outro EM.</w:t>
      </w:r>
    </w:p>
    <w:p w14:paraId="6329E68E" w14:textId="46C60D76" w:rsidR="00C35008"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Para tal, a autoridade emissora terá de prestar especial atenção à sequência dos instrumentos jurídicos, </w:t>
      </w:r>
      <w:r w:rsidRPr="00567437">
        <w:rPr>
          <w:rFonts w:ascii="Times New Roman" w:hAnsi="Times New Roman" w:cs="Times New Roman"/>
          <w:b/>
          <w:bCs/>
          <w:sz w:val="28"/>
          <w:szCs w:val="28"/>
        </w:rPr>
        <w:t>uma vez que estes substituem ou complementam outros instrumentos jurídicos em relação aos EM</w:t>
      </w:r>
      <w:r w:rsidRPr="00567437">
        <w:rPr>
          <w:rFonts w:ascii="Times New Roman" w:hAnsi="Times New Roman" w:cs="Times New Roman"/>
          <w:sz w:val="28"/>
          <w:szCs w:val="28"/>
        </w:rPr>
        <w:t xml:space="preserve"> (a relação com outros instrumentos jurídicos é normalmente mencionada no início ou nas disposições finais do instrumento jurídico em questão – por exemplo, o Artigo 34.º da Diretiva/41/UE relativa à DEI e o Artigo 1.º da Convenção de</w:t>
      </w:r>
      <w:r w:rsidRPr="00567437">
        <w:rPr>
          <w:rFonts w:ascii="Times New Roman" w:hAnsi="Times New Roman" w:cs="Times New Roman"/>
        </w:rPr>
        <w:t xml:space="preserve"> </w:t>
      </w:r>
      <w:r w:rsidRPr="00567437">
        <w:rPr>
          <w:rFonts w:ascii="Times New Roman" w:hAnsi="Times New Roman" w:cs="Times New Roman"/>
          <w:sz w:val="28"/>
          <w:szCs w:val="28"/>
        </w:rPr>
        <w:t>Auxílio Judiciário Mútuo em Matéria Penal entre os Estados-Membros da União Europeia).</w:t>
      </w:r>
    </w:p>
    <w:p w14:paraId="7077F0A1" w14:textId="36FF40BC" w:rsidR="00937B96" w:rsidRPr="00567437" w:rsidRDefault="0074309F" w:rsidP="0013415C">
      <w:pPr>
        <w:pStyle w:val="PargrafodaLista"/>
        <w:numPr>
          <w:ilvl w:val="0"/>
          <w:numId w:val="11"/>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Por exemplo, </w:t>
      </w:r>
      <w:r w:rsidRPr="00567437">
        <w:rPr>
          <w:rFonts w:ascii="Times New Roman" w:hAnsi="Times New Roman" w:cs="Times New Roman"/>
          <w:b/>
          <w:bCs/>
          <w:sz w:val="28"/>
          <w:szCs w:val="28"/>
        </w:rPr>
        <w:t>se a Diretiva sobre a Decisão Europeia de Investigação for aplicável</w:t>
      </w:r>
      <w:r w:rsidRPr="00567437">
        <w:rPr>
          <w:rFonts w:ascii="Times New Roman" w:hAnsi="Times New Roman" w:cs="Times New Roman"/>
          <w:sz w:val="28"/>
          <w:szCs w:val="28"/>
        </w:rPr>
        <w:t xml:space="preserve">, a autoridade judiciária emissora terá de preencher uma DEI e seguir o procedimento mencionado na Diretiva 2014/41/UE, do Parlamento Europeu e do Conselho, de 3 de abril de 2014, relativa à Decisão Europeia de Investigação em matéria penal. </w:t>
      </w:r>
    </w:p>
    <w:p w14:paraId="2B7A3691" w14:textId="6D1DD6BE" w:rsidR="00937B96" w:rsidRPr="00567437" w:rsidRDefault="0074309F" w:rsidP="0013415C">
      <w:pPr>
        <w:pStyle w:val="PargrafodaLista"/>
        <w:numPr>
          <w:ilvl w:val="0"/>
          <w:numId w:val="11"/>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b/>
          <w:bCs/>
          <w:sz w:val="28"/>
          <w:szCs w:val="28"/>
        </w:rPr>
        <w:t>Se a Diretiva 2014/41/UE não for aplicável a um EM</w:t>
      </w:r>
      <w:r w:rsidRPr="00567437">
        <w:rPr>
          <w:rFonts w:ascii="Times New Roman" w:hAnsi="Times New Roman" w:cs="Times New Roman"/>
          <w:sz w:val="28"/>
          <w:szCs w:val="28"/>
        </w:rPr>
        <w:t>, a autoridade judiciária emissora terá de recorrer ao auxílio judiciário mútuo convencional contido em instrumentos jurídicos tais como: a Convenção Europeia de Auxílio Judiciário Mútuo em Matéria Penal, do Conselho da Europa, de 20 de abril de 1959, bem como ambos os protocolos adicionais, e os acordos bilaterais celebrados nos termos do respetivo Artigo 26.º, a Convenção de Aplicação do Acordo de Schengen e a Convenção de</w:t>
      </w:r>
      <w:r w:rsidRPr="00567437">
        <w:rPr>
          <w:rFonts w:ascii="Times New Roman" w:hAnsi="Times New Roman" w:cs="Times New Roman"/>
        </w:rPr>
        <w:t xml:space="preserve"> </w:t>
      </w:r>
      <w:r w:rsidRPr="00567437">
        <w:rPr>
          <w:rFonts w:ascii="Times New Roman" w:hAnsi="Times New Roman" w:cs="Times New Roman"/>
          <w:sz w:val="28"/>
          <w:szCs w:val="28"/>
        </w:rPr>
        <w:t>Auxílio Judiciário Mútuo em Matéria Penal entre os Estados-Membros da União Europeia e respetivo protocolo.</w:t>
      </w:r>
    </w:p>
    <w:p w14:paraId="5B4FA135" w14:textId="7D652AF3" w:rsidR="00B738AB"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Antes de identificar as soluções para os nossos cenários, deve recordar-se que a Diretiva/41/UE relativa à Decisão Europeia de Investigação em matéria penal é </w:t>
      </w:r>
      <w:r w:rsidRPr="00567437">
        <w:rPr>
          <w:rFonts w:ascii="Times New Roman" w:hAnsi="Times New Roman" w:cs="Times New Roman"/>
          <w:sz w:val="28"/>
          <w:szCs w:val="28"/>
        </w:rPr>
        <w:lastRenderedPageBreak/>
        <w:t xml:space="preserve">o instrumento jurídico em vigor </w:t>
      </w:r>
      <w:r w:rsidRPr="00567437">
        <w:rPr>
          <w:rFonts w:ascii="Times New Roman" w:hAnsi="Times New Roman" w:cs="Times New Roman"/>
          <w:sz w:val="28"/>
          <w:szCs w:val="28"/>
          <w:u w:val="single"/>
        </w:rPr>
        <w:t>após 22 de maio de 2017</w:t>
      </w:r>
      <w:r w:rsidRPr="00567437">
        <w:rPr>
          <w:rFonts w:ascii="Times New Roman" w:hAnsi="Times New Roman" w:cs="Times New Roman"/>
          <w:sz w:val="28"/>
          <w:szCs w:val="28"/>
        </w:rPr>
        <w:t xml:space="preserve"> na União Europeia, com algumas exceções (alguns EM não participam e não estão vinculados por este instrumento jurídico).</w:t>
      </w:r>
    </w:p>
    <w:p w14:paraId="0111F5E9" w14:textId="6932E39A" w:rsidR="00FA2F9D"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Tal como previsto nos Considerandos (44) e (45) da Diretiva 2014/41/UE relativa à Decisão Europeia de Investigação, em conformidade com os Artigos 1.° e 2.° e o N.° 1 do Artigo 4.º-A do Protocolo N.° 21 relativo à posição do Reino Unido e da Irlanda em relação ao espaço de liberdade, segurança e justiça anexo ao TUE e ao TFUE, e sem prejuízo do Artigo 4.° do referido Protocolo, a </w:t>
      </w:r>
      <w:r w:rsidRPr="00567437">
        <w:rPr>
          <w:rFonts w:ascii="Times New Roman" w:hAnsi="Times New Roman" w:cs="Times New Roman"/>
          <w:b/>
          <w:bCs/>
          <w:sz w:val="28"/>
          <w:szCs w:val="28"/>
        </w:rPr>
        <w:t>Irlanda</w:t>
      </w:r>
      <w:r w:rsidRPr="00567437">
        <w:rPr>
          <w:rFonts w:ascii="Times New Roman" w:hAnsi="Times New Roman" w:cs="Times New Roman"/>
          <w:sz w:val="28"/>
          <w:szCs w:val="28"/>
        </w:rPr>
        <w:t xml:space="preserve"> </w:t>
      </w:r>
      <w:r w:rsidRPr="00567437">
        <w:rPr>
          <w:rFonts w:ascii="Times New Roman" w:hAnsi="Times New Roman" w:cs="Times New Roman"/>
          <w:i/>
          <w:iCs/>
          <w:sz w:val="28"/>
          <w:szCs w:val="28"/>
          <w:u w:val="single"/>
        </w:rPr>
        <w:t>não participa na adoção desta Diretiva e não se encontra por ela vinculada nem sujeita à sua aplicação.</w:t>
      </w:r>
      <w:r w:rsidRPr="00567437">
        <w:rPr>
          <w:rFonts w:ascii="Times New Roman" w:hAnsi="Times New Roman" w:cs="Times New Roman"/>
          <w:sz w:val="28"/>
          <w:szCs w:val="28"/>
        </w:rPr>
        <w:t xml:space="preserve"> Além disso, nos termos dos Artigos 1.º e 2.º do Protocolo N.º 22 relativo à posição da Dinamarca anexo ao TUE e ao TFUE, a </w:t>
      </w:r>
      <w:r w:rsidRPr="00567437">
        <w:rPr>
          <w:rFonts w:ascii="Times New Roman" w:hAnsi="Times New Roman" w:cs="Times New Roman"/>
          <w:b/>
          <w:bCs/>
          <w:sz w:val="28"/>
          <w:szCs w:val="28"/>
        </w:rPr>
        <w:t>Dinamarca</w:t>
      </w:r>
      <w:r w:rsidRPr="00567437">
        <w:rPr>
          <w:rFonts w:ascii="Times New Roman" w:hAnsi="Times New Roman" w:cs="Times New Roman"/>
          <w:sz w:val="28"/>
          <w:szCs w:val="28"/>
        </w:rPr>
        <w:t xml:space="preserve"> </w:t>
      </w:r>
      <w:r w:rsidRPr="00567437">
        <w:rPr>
          <w:rFonts w:ascii="Times New Roman" w:hAnsi="Times New Roman" w:cs="Times New Roman"/>
          <w:i/>
          <w:iCs/>
          <w:sz w:val="28"/>
          <w:szCs w:val="28"/>
          <w:u w:val="single"/>
        </w:rPr>
        <w:t>não participa na adoção desta Diretiva e não se encontra por ela vinculada nem sujeita à sua aplicação.</w:t>
      </w:r>
      <w:r w:rsidRPr="00567437">
        <w:rPr>
          <w:rFonts w:ascii="Times New Roman" w:hAnsi="Times New Roman" w:cs="Times New Roman"/>
          <w:sz w:val="28"/>
          <w:szCs w:val="28"/>
        </w:rPr>
        <w:t xml:space="preserve"> </w:t>
      </w:r>
    </w:p>
    <w:p w14:paraId="050C71F4" w14:textId="3C7DBB8E" w:rsidR="000C7836"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Como mencionado no n.º 1 do Artigo 34.º da Diretiva 2014/41/UE, a Decisão Europeia de Investigação em matéria penal </w:t>
      </w:r>
      <w:r w:rsidRPr="00567437">
        <w:rPr>
          <w:rFonts w:ascii="Times New Roman" w:hAnsi="Times New Roman" w:cs="Times New Roman"/>
          <w:sz w:val="28"/>
          <w:szCs w:val="28"/>
          <w:u w:val="single"/>
        </w:rPr>
        <w:t>substituiu</w:t>
      </w:r>
      <w:r w:rsidRPr="00567437">
        <w:rPr>
          <w:rFonts w:ascii="Times New Roman" w:hAnsi="Times New Roman" w:cs="Times New Roman"/>
          <w:sz w:val="28"/>
          <w:szCs w:val="28"/>
        </w:rPr>
        <w:t xml:space="preserve"> o auxílio judiciário mútuo convencional por um mecanismo de cooperação baseado no reconhecimento mútuo no que diz respeito, em particular, à obtenção de elementos de prova. Assim sendo, os EM devem aplicar a Diretiva relativa à DEI em detrimento dos outros instrumentos jurídicos disponíveis em matéria de recolha de elementos de prova, não se tratando de uma questão de opção para a autoridade judiciária emissora. </w:t>
      </w:r>
    </w:p>
    <w:p w14:paraId="1F03B62E" w14:textId="5CDA3DED" w:rsidR="000440D7"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Embora, nos termos do N.º 3 do Artigo 34.º da Diretiva relativa à DEI, os Estados-Membros possam celebrar ou continuar a aplicar acordos ou convénios bilaterais ou multilaterais com outros Estados-Membros após 22 de maio de 2017, tal só pode ser feito na medida em que estes permitam reforçar ainda mais os objetivos da Diretiva e contribuam para simplificar ou facilitar ainda mais os procedimentos de recolha de elementos de prova e desde que o nível de salvaguardas estabelecido nesta Diretiva seja respeitado.</w:t>
      </w:r>
    </w:p>
    <w:p w14:paraId="525A6503" w14:textId="247524FC" w:rsidR="00973D99"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As</w:t>
      </w:r>
      <w:r w:rsidRPr="00567437">
        <w:rPr>
          <w:rFonts w:ascii="Times New Roman" w:hAnsi="Times New Roman" w:cs="Times New Roman"/>
          <w:b/>
          <w:bCs/>
          <w:sz w:val="28"/>
          <w:szCs w:val="28"/>
        </w:rPr>
        <w:t xml:space="preserve"> audiências por videoconferência ou outra transmissão audiovisual</w:t>
      </w:r>
      <w:r w:rsidRPr="00567437">
        <w:rPr>
          <w:rFonts w:ascii="Times New Roman" w:hAnsi="Times New Roman" w:cs="Times New Roman"/>
          <w:sz w:val="28"/>
          <w:szCs w:val="28"/>
        </w:rPr>
        <w:t xml:space="preserve"> e as </w:t>
      </w:r>
      <w:r w:rsidRPr="00567437">
        <w:rPr>
          <w:rFonts w:ascii="Times New Roman" w:hAnsi="Times New Roman" w:cs="Times New Roman"/>
          <w:b/>
          <w:bCs/>
          <w:sz w:val="28"/>
          <w:szCs w:val="28"/>
        </w:rPr>
        <w:t>audiências por conferência telefónica</w:t>
      </w:r>
      <w:r w:rsidRPr="00567437">
        <w:rPr>
          <w:rFonts w:ascii="Times New Roman" w:hAnsi="Times New Roman" w:cs="Times New Roman"/>
          <w:sz w:val="28"/>
          <w:szCs w:val="28"/>
        </w:rPr>
        <w:t xml:space="preserve"> estão previstas em diferentes instrumentos jurídicos, tais como:</w:t>
      </w:r>
    </w:p>
    <w:p w14:paraId="7AE3D0A9" w14:textId="36E74956" w:rsidR="0081370D" w:rsidRPr="00567437" w:rsidRDefault="0074309F" w:rsidP="0013415C">
      <w:pPr>
        <w:pStyle w:val="PargrafodaLista"/>
        <w:numPr>
          <w:ilvl w:val="0"/>
          <w:numId w:val="2"/>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Artigos 24.º e 25.º da Diretiva 2014/41/UE relativa à Decisão Europeia de Investigação em Matéria Penal, </w:t>
      </w:r>
    </w:p>
    <w:p w14:paraId="0012698C" w14:textId="4C9B2A85" w:rsidR="00973D99" w:rsidRPr="00567437" w:rsidRDefault="0074309F" w:rsidP="0013415C">
      <w:pPr>
        <w:pStyle w:val="PargrafodaLista"/>
        <w:numPr>
          <w:ilvl w:val="0"/>
          <w:numId w:val="2"/>
        </w:numPr>
        <w:spacing w:line="240" w:lineRule="auto"/>
        <w:contextualSpacing w:val="0"/>
        <w:jc w:val="both"/>
        <w:rPr>
          <w:rFonts w:ascii="Times New Roman" w:hAnsi="Times New Roman" w:cs="Times New Roman"/>
          <w:sz w:val="28"/>
          <w:szCs w:val="28"/>
        </w:rPr>
      </w:pPr>
      <w:r w:rsidRPr="00567437">
        <w:rPr>
          <w:rFonts w:ascii="Times New Roman" w:hAnsi="Times New Roman"/>
          <w:sz w:val="28"/>
          <w:szCs w:val="28"/>
        </w:rPr>
        <w:t xml:space="preserve">Artigos 10.º e 11.º da </w:t>
      </w:r>
      <w:hyperlink r:id="rId11" w:history="1">
        <w:r w:rsidRPr="00567437">
          <w:rPr>
            <w:rFonts w:ascii="Times New Roman" w:hAnsi="Times New Roman"/>
            <w:sz w:val="28"/>
            <w:szCs w:val="28"/>
          </w:rPr>
          <w:t>Convenção de 29 de maio de 2000 relativa ao Auxílio Judiciário Mútuo em Matéria Penal entre os Estados-Membros da União Europeia</w:t>
        </w:r>
      </w:hyperlink>
      <w:r w:rsidRPr="00567437">
        <w:rPr>
          <w:rFonts w:ascii="Times New Roman" w:hAnsi="Times New Roman"/>
          <w:sz w:val="28"/>
          <w:szCs w:val="28"/>
        </w:rPr>
        <w:t xml:space="preserve">, </w:t>
      </w:r>
    </w:p>
    <w:p w14:paraId="75A5D661" w14:textId="77BB2042" w:rsidR="00973D99" w:rsidRPr="00567437" w:rsidRDefault="0074309F" w:rsidP="0013415C">
      <w:pPr>
        <w:pStyle w:val="PargrafodaLista"/>
        <w:numPr>
          <w:ilvl w:val="0"/>
          <w:numId w:val="2"/>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Artigos 9.º e 10.º do </w:t>
      </w:r>
      <w:bookmarkStart w:id="1" w:name="_Hlk37344091"/>
      <w:r w:rsidRPr="00567437">
        <w:rPr>
          <w:rFonts w:ascii="Times New Roman" w:hAnsi="Times New Roman" w:cs="Times New Roman"/>
          <w:sz w:val="28"/>
          <w:szCs w:val="28"/>
        </w:rPr>
        <w:t xml:space="preserve">Segundo Protocolo Adicional à Convenção Europeia de Auxílio Judiciário Mútuo em Matéria Penal </w:t>
      </w:r>
      <w:bookmarkEnd w:id="1"/>
      <w:r w:rsidRPr="00567437">
        <w:rPr>
          <w:rFonts w:ascii="Times New Roman" w:hAnsi="Times New Roman" w:cs="Times New Roman"/>
          <w:sz w:val="28"/>
          <w:szCs w:val="28"/>
        </w:rPr>
        <w:t>(Convenção de 1959).</w:t>
      </w:r>
    </w:p>
    <w:p w14:paraId="4141A173" w14:textId="5D2B1419" w:rsidR="00105283" w:rsidRPr="00567437" w:rsidRDefault="0074309F" w:rsidP="00105283">
      <w:pPr>
        <w:spacing w:after="0" w:line="240" w:lineRule="auto"/>
        <w:ind w:left="360"/>
        <w:jc w:val="both"/>
        <w:rPr>
          <w:rFonts w:ascii="Times New Roman" w:hAnsi="Times New Roman" w:cs="Times New Roman"/>
          <w:sz w:val="28"/>
          <w:szCs w:val="28"/>
        </w:rPr>
      </w:pPr>
      <w:r w:rsidRPr="00567437">
        <w:rPr>
          <w:rFonts w:ascii="Times New Roman" w:hAnsi="Times New Roman" w:cs="Times New Roman"/>
          <w:sz w:val="28"/>
          <w:szCs w:val="28"/>
        </w:rPr>
        <w:lastRenderedPageBreak/>
        <w:t xml:space="preserve">Disposições sobre </w:t>
      </w:r>
      <w:r w:rsidRPr="00567437">
        <w:rPr>
          <w:rFonts w:ascii="Times New Roman" w:hAnsi="Times New Roman" w:cs="Times New Roman"/>
          <w:b/>
          <w:bCs/>
          <w:sz w:val="28"/>
          <w:szCs w:val="28"/>
        </w:rPr>
        <w:t>convocatórias</w:t>
      </w:r>
      <w:r w:rsidRPr="00567437">
        <w:rPr>
          <w:rFonts w:ascii="Times New Roman" w:hAnsi="Times New Roman" w:cs="Times New Roman"/>
          <w:sz w:val="28"/>
          <w:szCs w:val="28"/>
        </w:rPr>
        <w:t xml:space="preserve"> que se encontram na Convenção de 2000 (Artigo 5.º), mas também na Convenção de 1959 (Artigo 7.º)</w:t>
      </w:r>
    </w:p>
    <w:p w14:paraId="307F619E" w14:textId="77777777" w:rsidR="00A80761" w:rsidRPr="00567437" w:rsidRDefault="00F71519" w:rsidP="00105283">
      <w:pPr>
        <w:spacing w:line="240" w:lineRule="auto"/>
        <w:jc w:val="both"/>
        <w:rPr>
          <w:rFonts w:ascii="Times New Roman" w:hAnsi="Times New Roman" w:cs="Times New Roman"/>
          <w:sz w:val="28"/>
          <w:szCs w:val="28"/>
        </w:rPr>
      </w:pPr>
    </w:p>
    <w:p w14:paraId="4D92D9C2" w14:textId="6794C387" w:rsidR="00105283"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A identificação do instrumento jurídico aplicável aos pontos </w:t>
      </w:r>
      <w:proofErr w:type="spellStart"/>
      <w:r w:rsidRPr="00567437">
        <w:rPr>
          <w:rFonts w:ascii="Times New Roman" w:hAnsi="Times New Roman" w:cs="Times New Roman"/>
          <w:sz w:val="28"/>
          <w:szCs w:val="28"/>
        </w:rPr>
        <w:t>a-i</w:t>
      </w:r>
      <w:proofErr w:type="spellEnd"/>
      <w:r w:rsidRPr="00567437">
        <w:rPr>
          <w:rFonts w:ascii="Times New Roman" w:hAnsi="Times New Roman" w:cs="Times New Roman"/>
          <w:sz w:val="28"/>
          <w:szCs w:val="28"/>
        </w:rPr>
        <w:t xml:space="preserve">) </w:t>
      </w:r>
      <w:r w:rsidRPr="00567437">
        <w:rPr>
          <w:rFonts w:ascii="Times New Roman" w:hAnsi="Times New Roman" w:cs="Times New Roman"/>
          <w:sz w:val="28"/>
          <w:szCs w:val="28"/>
          <w:u w:val="single"/>
        </w:rPr>
        <w:t>determinará as regras, formulários e requisitos a serem seguidos por ambos os EM envolvidos na cooperação judiciária</w:t>
      </w:r>
      <w:r w:rsidRPr="00567437">
        <w:rPr>
          <w:rFonts w:ascii="Times New Roman" w:hAnsi="Times New Roman" w:cs="Times New Roman"/>
          <w:sz w:val="28"/>
          <w:szCs w:val="28"/>
        </w:rPr>
        <w:t>.</w:t>
      </w:r>
    </w:p>
    <w:p w14:paraId="6E32F732" w14:textId="58AEFA11" w:rsidR="00105283" w:rsidRPr="00567437" w:rsidRDefault="0074309F" w:rsidP="00A34DBA">
      <w:pPr>
        <w:pStyle w:val="PargrafodaLista"/>
        <w:numPr>
          <w:ilvl w:val="0"/>
          <w:numId w:val="21"/>
        </w:numPr>
        <w:spacing w:after="0" w:line="240" w:lineRule="auto"/>
        <w:jc w:val="both"/>
        <w:rPr>
          <w:rFonts w:ascii="Times New Roman" w:hAnsi="Times New Roman" w:cs="Times New Roman"/>
          <w:i/>
          <w:color w:val="000000" w:themeColor="text1"/>
          <w:sz w:val="28"/>
          <w:szCs w:val="28"/>
        </w:rPr>
      </w:pPr>
      <w:r w:rsidRPr="00567437">
        <w:rPr>
          <w:rFonts w:ascii="Times New Roman" w:hAnsi="Times New Roman" w:cs="Times New Roman"/>
          <w:i/>
          <w:iCs/>
          <w:color w:val="000000" w:themeColor="text1"/>
          <w:sz w:val="28"/>
          <w:szCs w:val="28"/>
        </w:rPr>
        <w:t>Uma autoridade judiciária espanhola quer ouvir, por videoconferência, uma testemunha que se encontra na Dinamarca. Que instrumento jurídico deve utilizar?</w:t>
      </w:r>
    </w:p>
    <w:p w14:paraId="1897F863" w14:textId="77777777" w:rsidR="00A34DBA" w:rsidRPr="00567437" w:rsidRDefault="00F71519" w:rsidP="00A34DBA">
      <w:pPr>
        <w:spacing w:after="0" w:line="240" w:lineRule="auto"/>
        <w:ind w:left="360"/>
        <w:jc w:val="both"/>
        <w:rPr>
          <w:rFonts w:ascii="Times New Roman" w:hAnsi="Times New Roman" w:cs="Times New Roman"/>
          <w:i/>
          <w:color w:val="000000" w:themeColor="text1"/>
          <w:sz w:val="28"/>
          <w:szCs w:val="28"/>
        </w:rPr>
      </w:pPr>
    </w:p>
    <w:p w14:paraId="66D6BFED" w14:textId="114D25A4" w:rsidR="00105283" w:rsidRPr="00567437" w:rsidRDefault="0074309F" w:rsidP="005A51B3">
      <w:pPr>
        <w:spacing w:line="240" w:lineRule="auto"/>
        <w:jc w:val="both"/>
        <w:rPr>
          <w:rFonts w:ascii="Times New Roman" w:hAnsi="Times New Roman" w:cs="Times New Roman"/>
          <w:sz w:val="28"/>
          <w:szCs w:val="28"/>
        </w:rPr>
      </w:pPr>
      <w:bookmarkStart w:id="2" w:name="_Hlk37070048"/>
      <w:r w:rsidRPr="00567437">
        <w:rPr>
          <w:rFonts w:ascii="Times New Roman" w:hAnsi="Times New Roman" w:cs="Times New Roman"/>
          <w:sz w:val="28"/>
          <w:szCs w:val="28"/>
        </w:rPr>
        <w:t xml:space="preserve">A </w:t>
      </w:r>
      <w:r w:rsidRPr="00567437">
        <w:rPr>
          <w:rFonts w:ascii="Times New Roman" w:hAnsi="Times New Roman" w:cs="Times New Roman"/>
          <w:b/>
          <w:bCs/>
          <w:sz w:val="28"/>
          <w:szCs w:val="28"/>
        </w:rPr>
        <w:t>Espanha</w:t>
      </w:r>
      <w:r w:rsidRPr="00567437">
        <w:rPr>
          <w:rFonts w:ascii="Times New Roman" w:hAnsi="Times New Roman" w:cs="Times New Roman"/>
          <w:sz w:val="28"/>
          <w:szCs w:val="28"/>
        </w:rPr>
        <w:t xml:space="preserve"> transpôs a Diretiva 2014/41 relativa à DEI, mas a </w:t>
      </w:r>
      <w:r w:rsidRPr="00567437">
        <w:rPr>
          <w:rFonts w:ascii="Times New Roman" w:hAnsi="Times New Roman" w:cs="Times New Roman"/>
          <w:b/>
          <w:bCs/>
          <w:sz w:val="28"/>
          <w:szCs w:val="28"/>
        </w:rPr>
        <w:t>Dinamarca</w:t>
      </w:r>
      <w:r w:rsidRPr="00567437">
        <w:rPr>
          <w:rFonts w:ascii="Times New Roman" w:hAnsi="Times New Roman" w:cs="Times New Roman"/>
          <w:sz w:val="28"/>
          <w:szCs w:val="28"/>
        </w:rPr>
        <w:t xml:space="preserve"> não participou e não se encontra vinculada por este instrumento jurídico de acordo com o Considerando (45) da mesma Diretiva. </w:t>
      </w:r>
    </w:p>
    <w:tbl>
      <w:tblPr>
        <w:tblW w:w="9030"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0"/>
      </w:tblGrid>
      <w:tr w:rsidR="004C04A0" w:rsidRPr="00567437" w14:paraId="4A6F7B88" w14:textId="77777777" w:rsidTr="00B76581">
        <w:trPr>
          <w:trHeight w:val="1764"/>
        </w:trPr>
        <w:tc>
          <w:tcPr>
            <w:tcW w:w="903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77DA6AA" w14:textId="57A9CB16" w:rsidR="00105283" w:rsidRPr="00567437" w:rsidRDefault="0074309F" w:rsidP="00B76581">
            <w:pPr>
              <w:spacing w:after="0" w:line="240" w:lineRule="auto"/>
              <w:jc w:val="both"/>
            </w:pPr>
            <w:r w:rsidRPr="00567437">
              <w:rPr>
                <w:rFonts w:ascii="Times New Roman" w:hAnsi="Times New Roman"/>
                <w:sz w:val="28"/>
                <w:szCs w:val="28"/>
              </w:rPr>
              <w:t xml:space="preserve">O estado de aplicação da Diretiva 2014/41/UE relativa à DEI pode ser encontrado no sítio Web da RJE – </w:t>
            </w:r>
            <w:hyperlink r:id="rId12" w:history="1">
              <w:r w:rsidRPr="00567437">
                <w:rPr>
                  <w:rStyle w:val="Hiperligao"/>
                  <w:rFonts w:ascii="Times New Roman" w:hAnsi="Times New Roman" w:cs="Times New Roman"/>
                  <w:sz w:val="28"/>
                  <w:szCs w:val="28"/>
                </w:rPr>
                <w:t>www.ejn-crimjust.europa.eu</w:t>
              </w:r>
            </w:hyperlink>
            <w:r w:rsidRPr="00567437">
              <w:rPr>
                <w:rFonts w:ascii="Times New Roman" w:hAnsi="Times New Roman"/>
                <w:sz w:val="28"/>
                <w:szCs w:val="28"/>
              </w:rPr>
              <w:t xml:space="preserve"> na secção </w:t>
            </w:r>
            <w:hyperlink r:id="rId13" w:history="1">
              <w:r w:rsidRPr="00567437">
                <w:rPr>
                  <w:rFonts w:ascii="Times New Roman" w:hAnsi="Times New Roman"/>
                  <w:sz w:val="28"/>
                  <w:szCs w:val="28"/>
                </w:rPr>
                <w:t>Instrumentos Jurídicos da UE para a Cooperação Judiciária</w:t>
              </w:r>
            </w:hyperlink>
            <w:r w:rsidRPr="00567437">
              <w:rPr>
                <w:rFonts w:ascii="Times New Roman" w:hAnsi="Times New Roman"/>
                <w:sz w:val="28"/>
                <w:szCs w:val="28"/>
              </w:rPr>
              <w:t xml:space="preserve">. Na tabela, encontra-se ainda a secção </w:t>
            </w:r>
            <w:hyperlink r:id="rId14" w:history="1">
              <w:r w:rsidRPr="00567437">
                <w:rPr>
                  <w:rStyle w:val="Hiperligao"/>
                  <w:rFonts w:ascii="Times New Roman" w:hAnsi="Times New Roman" w:cs="Times New Roman"/>
                  <w:i/>
                  <w:iCs/>
                  <w:sz w:val="28"/>
                  <w:szCs w:val="28"/>
                </w:rPr>
                <w:t>Estado de aplicação</w:t>
              </w:r>
              <w:r w:rsidRPr="00567437">
                <w:rPr>
                  <w:rStyle w:val="Hiperligao"/>
                  <w:rFonts w:ascii="Times New Roman" w:hAnsi="Times New Roman" w:cs="Times New Roman"/>
                  <w:sz w:val="28"/>
                  <w:szCs w:val="28"/>
                </w:rPr>
                <w:t xml:space="preserve"> da Diretiva</w:t>
              </w:r>
            </w:hyperlink>
            <w:r w:rsidRPr="00567437">
              <w:rPr>
                <w:rFonts w:ascii="Times New Roman" w:hAnsi="Times New Roman"/>
                <w:sz w:val="28"/>
                <w:szCs w:val="28"/>
              </w:rPr>
              <w:t xml:space="preserve"> em que se poderia verificar se um país transpôs a Diretiva relativa à DEI.   </w:t>
            </w:r>
          </w:p>
        </w:tc>
      </w:tr>
    </w:tbl>
    <w:p w14:paraId="3464EFF7" w14:textId="77777777" w:rsidR="00EE2EE8" w:rsidRPr="00567437" w:rsidRDefault="00F71519" w:rsidP="00EE2EE8">
      <w:pPr>
        <w:spacing w:after="0" w:line="240" w:lineRule="auto"/>
        <w:jc w:val="both"/>
        <w:rPr>
          <w:rFonts w:ascii="Times New Roman" w:hAnsi="Times New Roman" w:cs="Times New Roman"/>
          <w:sz w:val="28"/>
          <w:szCs w:val="28"/>
        </w:rPr>
      </w:pPr>
    </w:p>
    <w:p w14:paraId="1F56A6FC" w14:textId="06DD0F04" w:rsidR="00EE2EE8" w:rsidRPr="00567437" w:rsidRDefault="0074309F" w:rsidP="00EE2EE8">
      <w:pPr>
        <w:spacing w:after="0" w:line="240" w:lineRule="auto"/>
        <w:jc w:val="both"/>
        <w:rPr>
          <w:rFonts w:ascii="Times New Roman" w:hAnsi="Times New Roman" w:cs="Times New Roman"/>
          <w:sz w:val="28"/>
          <w:szCs w:val="28"/>
        </w:rPr>
      </w:pPr>
      <w:r w:rsidRPr="00567437">
        <w:drawing>
          <wp:inline distT="0" distB="0" distL="0" distR="0">
            <wp:extent cx="5734050" cy="533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58777" name="Picture 3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34050" cy="533400"/>
                    </a:xfrm>
                    <a:prstGeom prst="rect">
                      <a:avLst/>
                    </a:prstGeom>
                    <a:noFill/>
                    <a:ln>
                      <a:noFill/>
                    </a:ln>
                  </pic:spPr>
                </pic:pic>
              </a:graphicData>
            </a:graphic>
          </wp:inline>
        </w:drawing>
      </w:r>
    </w:p>
    <w:p w14:paraId="76A4625D" w14:textId="77777777" w:rsidR="00EE2EE8" w:rsidRPr="00567437" w:rsidRDefault="00F71519" w:rsidP="0074607F">
      <w:pPr>
        <w:spacing w:line="240" w:lineRule="auto"/>
        <w:jc w:val="both"/>
        <w:rPr>
          <w:rFonts w:ascii="Times New Roman" w:hAnsi="Times New Roman" w:cs="Times New Roman"/>
          <w:sz w:val="28"/>
          <w:szCs w:val="28"/>
        </w:rPr>
      </w:pPr>
    </w:p>
    <w:p w14:paraId="3359D524" w14:textId="458A5760" w:rsidR="00D74806"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Por conseguinte, é necessário identificar um instrumento de auxílio judiciário mútuo aplicável a ambos os EM. Neste caso, </w:t>
      </w:r>
      <w:bookmarkStart w:id="3" w:name="_Hlk32934663"/>
      <w:r w:rsidRPr="00567437">
        <w:rPr>
          <w:rFonts w:ascii="Times New Roman" w:hAnsi="Times New Roman" w:cs="Times New Roman"/>
          <w:sz w:val="28"/>
          <w:szCs w:val="28"/>
        </w:rPr>
        <w:t xml:space="preserve">para a Dinamarca e Espanha, é aplicável a </w:t>
      </w:r>
      <w:bookmarkStart w:id="4" w:name="_Hlk37001155"/>
      <w:r w:rsidRPr="00567437">
        <w:rPr>
          <w:rFonts w:ascii="Times New Roman" w:hAnsi="Times New Roman" w:cs="Times New Roman"/>
          <w:sz w:val="28"/>
          <w:szCs w:val="28"/>
        </w:rPr>
        <w:fldChar w:fldCharType="begin"/>
      </w:r>
      <w:r w:rsidRPr="00567437">
        <w:rPr>
          <w:rFonts w:ascii="Times New Roman" w:hAnsi="Times New Roman" w:cs="Times New Roman"/>
          <w:sz w:val="28"/>
          <w:szCs w:val="28"/>
        </w:rPr>
        <w:instrText xml:space="preserve"> HYPERLINK "https://www.ejn-crimjust.europa.eu/ejn/libcategories/EN/32/-1/-1/-1" </w:instrText>
      </w:r>
      <w:r w:rsidRPr="00567437">
        <w:rPr>
          <w:rFonts w:ascii="Times New Roman" w:hAnsi="Times New Roman" w:cs="Times New Roman"/>
          <w:sz w:val="28"/>
          <w:szCs w:val="28"/>
        </w:rPr>
        <w:fldChar w:fldCharType="separate"/>
      </w:r>
      <w:r w:rsidRPr="00567437">
        <w:rPr>
          <w:rStyle w:val="Hiperligao"/>
          <w:rFonts w:ascii="Times New Roman" w:hAnsi="Times New Roman" w:cs="Times New Roman"/>
          <w:b/>
          <w:bCs/>
          <w:color w:val="auto"/>
          <w:sz w:val="28"/>
          <w:szCs w:val="28"/>
          <w:u w:val="none"/>
        </w:rPr>
        <w:t>Convenção de 29 de maio de 2000 relativa ao Auxílio Judiciário Mútuo em Matéria Penal entre os Estados-Membros da União Europeia</w:t>
      </w:r>
      <w:r w:rsidRPr="00567437">
        <w:rPr>
          <w:rFonts w:ascii="Times New Roman" w:hAnsi="Times New Roman" w:cs="Times New Roman"/>
          <w:b/>
          <w:bCs/>
          <w:sz w:val="28"/>
          <w:szCs w:val="28"/>
        </w:rPr>
        <w:fldChar w:fldCharType="end"/>
      </w:r>
      <w:bookmarkEnd w:id="4"/>
      <w:r w:rsidRPr="00567437">
        <w:rPr>
          <w:rFonts w:ascii="Times New Roman" w:hAnsi="Times New Roman" w:cs="Times New Roman"/>
          <w:b/>
          <w:bCs/>
          <w:sz w:val="28"/>
          <w:szCs w:val="28"/>
        </w:rPr>
        <w:t xml:space="preserve"> </w:t>
      </w:r>
      <w:bookmarkEnd w:id="2"/>
      <w:bookmarkEnd w:id="3"/>
      <w:r w:rsidRPr="00567437">
        <w:rPr>
          <w:rFonts w:ascii="Times New Roman" w:hAnsi="Times New Roman" w:cs="Times New Roman"/>
          <w:sz w:val="28"/>
          <w:szCs w:val="28"/>
        </w:rPr>
        <w:t xml:space="preserve">(prevê-se </w:t>
      </w:r>
      <w:r w:rsidRPr="00567437">
        <w:rPr>
          <w:rFonts w:ascii="Times New Roman" w:hAnsi="Times New Roman" w:cs="Times New Roman"/>
          <w:sz w:val="28"/>
          <w:szCs w:val="28"/>
          <w:u w:val="single"/>
        </w:rPr>
        <w:t>a audição de uma testemunha por videoconferência no Artigo 10.º da Convenção de 2000</w:t>
      </w:r>
      <w:r w:rsidRPr="00567437">
        <w:rPr>
          <w:rFonts w:ascii="Times New Roman" w:hAnsi="Times New Roman" w:cs="Times New Roman"/>
          <w:sz w:val="28"/>
          <w:szCs w:val="28"/>
        </w:rPr>
        <w:t>) porque foi assinada, ratificada e encontra-se em vigor em ambos os países.</w:t>
      </w:r>
    </w:p>
    <w:p w14:paraId="01057DE3" w14:textId="77777777" w:rsidR="00E05F6C" w:rsidRPr="00567437" w:rsidRDefault="00F71519" w:rsidP="00E05F6C">
      <w:pPr>
        <w:spacing w:after="0" w:line="240" w:lineRule="auto"/>
        <w:jc w:val="both"/>
        <w:rPr>
          <w:rFonts w:ascii="Times New Roman" w:hAnsi="Times New Roman" w:cs="Times New Roman"/>
          <w:sz w:val="28"/>
          <w:szCs w:val="28"/>
        </w:rPr>
      </w:pPr>
    </w:p>
    <w:tbl>
      <w:tblPr>
        <w:tblW w:w="904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8"/>
      </w:tblGrid>
      <w:tr w:rsidR="004C04A0" w:rsidRPr="00567437" w14:paraId="4C8F4B23" w14:textId="77777777" w:rsidTr="00B76581">
        <w:trPr>
          <w:trHeight w:val="1117"/>
        </w:trPr>
        <w:tc>
          <w:tcPr>
            <w:tcW w:w="90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B0B5382" w14:textId="6D4B5BD1" w:rsidR="00E05F6C" w:rsidRPr="00567437" w:rsidRDefault="0074309F" w:rsidP="00B76581">
            <w:pPr>
              <w:spacing w:after="0" w:line="240" w:lineRule="auto"/>
              <w:jc w:val="both"/>
              <w:rPr>
                <w:rFonts w:ascii="Times New Roman" w:hAnsi="Times New Roman" w:cs="Times New Roman"/>
                <w:sz w:val="28"/>
                <w:szCs w:val="28"/>
              </w:rPr>
            </w:pPr>
            <w:r w:rsidRPr="00567437">
              <w:rPr>
                <w:rFonts w:ascii="Times New Roman" w:hAnsi="Times New Roman"/>
                <w:sz w:val="28"/>
                <w:szCs w:val="28"/>
              </w:rPr>
              <w:t xml:space="preserve">A tabela com os detalhes da ratificação da </w:t>
            </w:r>
            <w:r w:rsidRPr="00567437">
              <w:rPr>
                <w:rFonts w:ascii="Times New Roman" w:hAnsi="Times New Roman"/>
                <w:b/>
                <w:bCs/>
                <w:sz w:val="28"/>
                <w:szCs w:val="28"/>
              </w:rPr>
              <w:t>Convenção de 29 de maio de 2000 relativa ao Auxílio Judiciário Mútuo em Matéria Penal entre os Estados-Membros da União Europeia</w:t>
            </w:r>
            <w:r w:rsidRPr="00567437">
              <w:rPr>
                <w:rFonts w:ascii="Times New Roman" w:hAnsi="Times New Roman"/>
                <w:sz w:val="28"/>
                <w:szCs w:val="28"/>
              </w:rPr>
              <w:t xml:space="preserve"> encontra-se </w:t>
            </w:r>
            <w:hyperlink r:id="rId16" w:history="1">
              <w:r w:rsidRPr="00567437">
                <w:rPr>
                  <w:rStyle w:val="Hiperligao"/>
                  <w:rFonts w:ascii="Times New Roman" w:hAnsi="Times New Roman" w:cs="Times New Roman"/>
                  <w:sz w:val="28"/>
                  <w:szCs w:val="28"/>
                </w:rPr>
                <w:t>disponível no sítio Web da RJE</w:t>
              </w:r>
            </w:hyperlink>
            <w:r w:rsidRPr="00567437">
              <w:rPr>
                <w:rFonts w:ascii="Times New Roman" w:hAnsi="Times New Roman"/>
                <w:sz w:val="28"/>
                <w:szCs w:val="28"/>
              </w:rPr>
              <w:t>.</w:t>
            </w:r>
          </w:p>
        </w:tc>
      </w:tr>
    </w:tbl>
    <w:p w14:paraId="05A2911A" w14:textId="77777777" w:rsidR="0017314A" w:rsidRPr="00567437" w:rsidRDefault="00F71519" w:rsidP="0017314A">
      <w:pPr>
        <w:spacing w:after="0" w:line="240" w:lineRule="auto"/>
        <w:jc w:val="both"/>
        <w:rPr>
          <w:rFonts w:ascii="Times New Roman" w:hAnsi="Times New Roman" w:cs="Times New Roman"/>
          <w:sz w:val="28"/>
          <w:szCs w:val="28"/>
        </w:rPr>
      </w:pPr>
    </w:p>
    <w:p w14:paraId="747F510C" w14:textId="1060E273" w:rsidR="0017314A" w:rsidRPr="00567437" w:rsidRDefault="0074309F" w:rsidP="0017314A">
      <w:pPr>
        <w:spacing w:after="0"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Contudo, a autoridade judiciária espanhola necessita de verificar a </w:t>
      </w:r>
      <w:r w:rsidRPr="00567437">
        <w:rPr>
          <w:rFonts w:ascii="Times New Roman" w:hAnsi="Times New Roman" w:cs="Times New Roman"/>
          <w:b/>
          <w:bCs/>
          <w:sz w:val="28"/>
          <w:szCs w:val="28"/>
        </w:rPr>
        <w:t>Declaração</w:t>
      </w:r>
      <w:r w:rsidRPr="00567437">
        <w:rPr>
          <w:rFonts w:ascii="Times New Roman" w:hAnsi="Times New Roman" w:cs="Times New Roman"/>
          <w:sz w:val="28"/>
          <w:szCs w:val="28"/>
        </w:rPr>
        <w:t xml:space="preserve"> feita pela Dinamarca em relação à aplicação de algumas das disposições da Convenção de 2000. Como se vê abaixo, a declaração feita pela Dinamarca </w:t>
      </w:r>
      <w:r w:rsidRPr="00567437">
        <w:rPr>
          <w:rFonts w:ascii="Times New Roman" w:hAnsi="Times New Roman" w:cs="Times New Roman"/>
          <w:sz w:val="28"/>
          <w:szCs w:val="28"/>
          <w:u w:val="single"/>
        </w:rPr>
        <w:t xml:space="preserve">apenas diz respeito à não aplicação do Artigo 10.º à audiência por </w:t>
      </w:r>
      <w:r w:rsidRPr="00567437">
        <w:rPr>
          <w:rFonts w:ascii="Times New Roman" w:hAnsi="Times New Roman" w:cs="Times New Roman"/>
          <w:sz w:val="28"/>
          <w:szCs w:val="28"/>
          <w:u w:val="single"/>
        </w:rPr>
        <w:lastRenderedPageBreak/>
        <w:t>videoconferência do arguido</w:t>
      </w:r>
      <w:r w:rsidRPr="00567437">
        <w:rPr>
          <w:rFonts w:ascii="Times New Roman" w:hAnsi="Times New Roman" w:cs="Times New Roman"/>
          <w:sz w:val="28"/>
          <w:szCs w:val="28"/>
        </w:rPr>
        <w:t>, o que não é o nosso caso. Assim, a Convenção de 2000 é aplicável à alínea a).</w:t>
      </w:r>
    </w:p>
    <w:p w14:paraId="6C56D7AA" w14:textId="77777777" w:rsidR="0017314A" w:rsidRPr="00567437" w:rsidRDefault="00F71519" w:rsidP="0017314A">
      <w:pPr>
        <w:spacing w:after="0" w:line="240" w:lineRule="auto"/>
        <w:jc w:val="both"/>
        <w:rPr>
          <w:rFonts w:ascii="Times New Roman" w:hAnsi="Times New Roman" w:cs="Times New Roman"/>
          <w:sz w:val="28"/>
          <w:szCs w:val="28"/>
        </w:rPr>
      </w:pPr>
    </w:p>
    <w:p w14:paraId="5A9C7B7C" w14:textId="7ACA82BB" w:rsidR="0017314A" w:rsidRPr="00567437" w:rsidRDefault="0074309F" w:rsidP="0017314A">
      <w:pPr>
        <w:spacing w:after="0" w:line="240" w:lineRule="auto"/>
        <w:jc w:val="both"/>
        <w:rPr>
          <w:rFonts w:ascii="Times New Roman" w:hAnsi="Times New Roman" w:cs="Times New Roman"/>
          <w:sz w:val="28"/>
          <w:szCs w:val="28"/>
        </w:rPr>
      </w:pPr>
      <w:r w:rsidRPr="00567437">
        <w:drawing>
          <wp:inline distT="0" distB="0" distL="0" distR="0">
            <wp:extent cx="5734050" cy="141922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22386" name="Picture 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34050" cy="1419225"/>
                    </a:xfrm>
                    <a:prstGeom prst="rect">
                      <a:avLst/>
                    </a:prstGeom>
                    <a:noFill/>
                    <a:ln>
                      <a:noFill/>
                    </a:ln>
                  </pic:spPr>
                </pic:pic>
              </a:graphicData>
            </a:graphic>
          </wp:inline>
        </w:drawing>
      </w:r>
    </w:p>
    <w:p w14:paraId="403A1F16" w14:textId="77777777" w:rsidR="0017314A" w:rsidRPr="00567437" w:rsidRDefault="00F71519" w:rsidP="0017314A">
      <w:pPr>
        <w:spacing w:after="0" w:line="240" w:lineRule="auto"/>
        <w:jc w:val="both"/>
        <w:rPr>
          <w:rFonts w:ascii="Times New Roman" w:hAnsi="Times New Roman" w:cs="Times New Roman"/>
          <w:sz w:val="28"/>
          <w:szCs w:val="28"/>
        </w:rPr>
      </w:pPr>
    </w:p>
    <w:p w14:paraId="3C3EAD9E" w14:textId="0397EC24" w:rsidR="0017314A" w:rsidRPr="00567437" w:rsidRDefault="0074309F" w:rsidP="0074607F">
      <w:pPr>
        <w:spacing w:line="240" w:lineRule="auto"/>
        <w:jc w:val="both"/>
        <w:rPr>
          <w:rFonts w:ascii="Times New Roman" w:hAnsi="Times New Roman" w:cs="Times New Roman"/>
          <w:sz w:val="28"/>
          <w:szCs w:val="28"/>
        </w:rPr>
      </w:pPr>
      <w:r w:rsidRPr="00567437">
        <w:drawing>
          <wp:inline distT="0" distB="0" distL="0" distR="0">
            <wp:extent cx="5731510" cy="1116330"/>
            <wp:effectExtent l="0" t="0" r="2540" b="7620"/>
            <wp:docPr id="6" name="Picture 6"/>
            <wp:cNvGraphicFramePr/>
            <a:graphic xmlns:a="http://schemas.openxmlformats.org/drawingml/2006/main">
              <a:graphicData uri="http://schemas.openxmlformats.org/drawingml/2006/picture">
                <pic:pic xmlns:pic="http://schemas.openxmlformats.org/drawingml/2006/picture">
                  <pic:nvPicPr>
                    <pic:cNvPr id="543184197" name="Picture 6"/>
                    <pic:cNvPicPr/>
                  </pic:nvPicPr>
                  <pic:blipFill>
                    <a:blip r:embed="rId18"/>
                    <a:stretch>
                      <a:fillRect/>
                    </a:stretch>
                  </pic:blipFill>
                  <pic:spPr>
                    <a:xfrm>
                      <a:off x="0" y="0"/>
                      <a:ext cx="5731510" cy="1116330"/>
                    </a:xfrm>
                    <a:prstGeom prst="rect">
                      <a:avLst/>
                    </a:prstGeom>
                  </pic:spPr>
                </pic:pic>
              </a:graphicData>
            </a:graphic>
          </wp:inline>
        </w:drawing>
      </w:r>
    </w:p>
    <w:p w14:paraId="31BCB86D" w14:textId="6FDC1FE1" w:rsidR="0017314A" w:rsidRPr="00567437" w:rsidRDefault="0074309F" w:rsidP="00FB3E9B">
      <w:pPr>
        <w:spacing w:after="0" w:line="240" w:lineRule="auto"/>
        <w:jc w:val="both"/>
        <w:rPr>
          <w:rFonts w:ascii="Times New Roman" w:hAnsi="Times New Roman" w:cs="Times New Roman"/>
          <w:i/>
          <w:color w:val="000000" w:themeColor="text1"/>
          <w:sz w:val="28"/>
          <w:szCs w:val="28"/>
        </w:rPr>
      </w:pPr>
      <w:r w:rsidRPr="00567437">
        <w:rPr>
          <w:rFonts w:ascii="Times New Roman" w:hAnsi="Times New Roman" w:cs="Times New Roman"/>
          <w:i/>
          <w:iCs/>
          <w:color w:val="000000" w:themeColor="text1"/>
          <w:sz w:val="28"/>
          <w:szCs w:val="28"/>
        </w:rPr>
        <w:t>2. A autoridade judiciária búlgara quer ouvir por conferência telefónica uma testemunha que se encontra na Irlanda. Que instrumento jurídico deve utilizar?</w:t>
      </w:r>
    </w:p>
    <w:p w14:paraId="51DCF1E6" w14:textId="77777777" w:rsidR="0017314A" w:rsidRPr="00567437" w:rsidRDefault="00F71519" w:rsidP="0074607F">
      <w:pPr>
        <w:spacing w:line="240" w:lineRule="auto"/>
        <w:jc w:val="both"/>
        <w:rPr>
          <w:rFonts w:ascii="Times New Roman" w:hAnsi="Times New Roman" w:cs="Times New Roman"/>
          <w:sz w:val="28"/>
          <w:szCs w:val="28"/>
        </w:rPr>
      </w:pPr>
    </w:p>
    <w:p w14:paraId="711FD4E5" w14:textId="5FFCB8E3" w:rsidR="0017314A" w:rsidRPr="00567437" w:rsidRDefault="0074309F" w:rsidP="0017314A">
      <w:pPr>
        <w:spacing w:after="0"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Ao analisar novamente o estado de aplicação, verifica-se que a </w:t>
      </w:r>
      <w:r w:rsidRPr="00567437">
        <w:rPr>
          <w:rFonts w:ascii="Times New Roman" w:hAnsi="Times New Roman" w:cs="Times New Roman"/>
          <w:b/>
          <w:bCs/>
          <w:sz w:val="28"/>
          <w:szCs w:val="28"/>
        </w:rPr>
        <w:t>Bulgária</w:t>
      </w:r>
      <w:r w:rsidRPr="00567437">
        <w:rPr>
          <w:rFonts w:ascii="Times New Roman" w:hAnsi="Times New Roman" w:cs="Times New Roman"/>
          <w:sz w:val="28"/>
          <w:szCs w:val="28"/>
        </w:rPr>
        <w:t xml:space="preserve"> transpôs a Diretiva 2014/41 relativa à DEI, mas a </w:t>
      </w:r>
      <w:r w:rsidRPr="00567437">
        <w:rPr>
          <w:rFonts w:ascii="Times New Roman" w:hAnsi="Times New Roman" w:cs="Times New Roman"/>
          <w:b/>
          <w:bCs/>
          <w:sz w:val="28"/>
          <w:szCs w:val="28"/>
        </w:rPr>
        <w:t>Irlanda</w:t>
      </w:r>
      <w:r w:rsidRPr="00567437">
        <w:rPr>
          <w:rFonts w:ascii="Times New Roman" w:hAnsi="Times New Roman" w:cs="Times New Roman"/>
          <w:sz w:val="28"/>
          <w:szCs w:val="28"/>
        </w:rPr>
        <w:t xml:space="preserve"> não participa e não se encontra vinculada por este instrumento jurídico de acordo com o Considerando (44) da mesma Diretiva. </w:t>
      </w:r>
    </w:p>
    <w:p w14:paraId="6D3758B0" w14:textId="1C82C711" w:rsidR="0017314A" w:rsidRPr="00567437" w:rsidRDefault="0074309F" w:rsidP="0017314A">
      <w:pPr>
        <w:spacing w:after="0" w:line="240" w:lineRule="auto"/>
        <w:jc w:val="both"/>
        <w:rPr>
          <w:rFonts w:ascii="Times New Roman" w:hAnsi="Times New Roman" w:cs="Times New Roman"/>
          <w:sz w:val="28"/>
          <w:szCs w:val="28"/>
        </w:rPr>
      </w:pPr>
      <w:r w:rsidRPr="00567437">
        <w:drawing>
          <wp:inline distT="0" distB="0" distL="0" distR="0">
            <wp:extent cx="5724525" cy="64770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80820" name="Picture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24525" cy="647700"/>
                    </a:xfrm>
                    <a:prstGeom prst="rect">
                      <a:avLst/>
                    </a:prstGeom>
                    <a:noFill/>
                    <a:ln>
                      <a:noFill/>
                    </a:ln>
                  </pic:spPr>
                </pic:pic>
              </a:graphicData>
            </a:graphic>
          </wp:inline>
        </w:drawing>
      </w:r>
    </w:p>
    <w:p w14:paraId="7F524FBF" w14:textId="77777777" w:rsidR="0017314A" w:rsidRPr="00567437" w:rsidRDefault="00F71519" w:rsidP="0017314A">
      <w:pPr>
        <w:spacing w:after="0" w:line="240" w:lineRule="auto"/>
        <w:jc w:val="both"/>
        <w:rPr>
          <w:rFonts w:ascii="Times New Roman" w:hAnsi="Times New Roman" w:cs="Times New Roman"/>
          <w:sz w:val="28"/>
          <w:szCs w:val="28"/>
        </w:rPr>
      </w:pPr>
    </w:p>
    <w:p w14:paraId="509EE155" w14:textId="36AD3000" w:rsidR="0017314A" w:rsidRPr="00567437" w:rsidRDefault="0074309F" w:rsidP="005A51B3">
      <w:pPr>
        <w:spacing w:line="240" w:lineRule="auto"/>
        <w:jc w:val="both"/>
        <w:rPr>
          <w:rFonts w:ascii="Times New Roman" w:hAnsi="Times New Roman" w:cs="Times New Roman"/>
          <w:sz w:val="28"/>
          <w:szCs w:val="28"/>
        </w:rPr>
      </w:pPr>
      <w:r w:rsidRPr="00567437">
        <w:rPr>
          <w:rFonts w:ascii="Times New Roman" w:hAnsi="Times New Roman"/>
          <w:sz w:val="28"/>
          <w:szCs w:val="28"/>
        </w:rPr>
        <w:t xml:space="preserve">Por conseguinte, é necessário identificar um instrumento de auxílio judiciário mútuo aplicável a ambos os EM. Neste caso, para a Bulgária e Irlanda, é aplicável a </w:t>
      </w:r>
      <w:hyperlink r:id="rId20" w:history="1">
        <w:r w:rsidRPr="00567437">
          <w:rPr>
            <w:rStyle w:val="Hiperligao"/>
            <w:rFonts w:ascii="Times New Roman" w:hAnsi="Times New Roman" w:cs="Times New Roman"/>
            <w:b/>
            <w:bCs/>
            <w:sz w:val="28"/>
            <w:szCs w:val="28"/>
            <w:u w:val="none"/>
          </w:rPr>
          <w:t>Convenção de 29 de maio de 2000 relativa ao Auxílio Judiciário Mútuo em Matéria Penal entre os Estados-Membros da União Europeia</w:t>
        </w:r>
      </w:hyperlink>
      <w:r w:rsidRPr="00567437">
        <w:rPr>
          <w:rFonts w:ascii="Times New Roman" w:hAnsi="Times New Roman"/>
          <w:b/>
          <w:bCs/>
          <w:sz w:val="28"/>
          <w:szCs w:val="28"/>
        </w:rPr>
        <w:t xml:space="preserve"> </w:t>
      </w:r>
      <w:r w:rsidRPr="00567437">
        <w:rPr>
          <w:rFonts w:ascii="Times New Roman" w:hAnsi="Times New Roman"/>
          <w:sz w:val="28"/>
          <w:szCs w:val="28"/>
        </w:rPr>
        <w:t xml:space="preserve">(prevê-se </w:t>
      </w:r>
      <w:r w:rsidRPr="00567437">
        <w:rPr>
          <w:rFonts w:ascii="Times New Roman" w:hAnsi="Times New Roman"/>
          <w:sz w:val="28"/>
          <w:szCs w:val="28"/>
          <w:u w:val="single"/>
        </w:rPr>
        <w:t>a audição de uma testemunha por videoconferência no Artigo 10.º da Convenção de 2000</w:t>
      </w:r>
      <w:r w:rsidRPr="00567437">
        <w:rPr>
          <w:rFonts w:ascii="Times New Roman" w:hAnsi="Times New Roman"/>
          <w:sz w:val="28"/>
          <w:szCs w:val="28"/>
        </w:rPr>
        <w:t>) porque foi assinada, ratificada e encontra-se em vigor em ambos os países. A Convenção de 2000 encontra-se em vigor na Irlanda desde 23 de agosto de 2020.</w:t>
      </w:r>
    </w:p>
    <w:p w14:paraId="1D4D8D5D" w14:textId="721C6767" w:rsidR="0017314A" w:rsidRPr="00567437" w:rsidRDefault="0074309F" w:rsidP="005A51B3">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Contudo, a autoridade judiciária búlgara necessita de verificar a </w:t>
      </w:r>
      <w:r w:rsidRPr="00567437">
        <w:rPr>
          <w:rFonts w:ascii="Times New Roman" w:hAnsi="Times New Roman" w:cs="Times New Roman"/>
          <w:b/>
          <w:bCs/>
          <w:sz w:val="28"/>
          <w:szCs w:val="28"/>
        </w:rPr>
        <w:t>Declaração</w:t>
      </w:r>
      <w:r w:rsidRPr="00567437">
        <w:rPr>
          <w:rFonts w:ascii="Times New Roman" w:hAnsi="Times New Roman" w:cs="Times New Roman"/>
          <w:sz w:val="28"/>
          <w:szCs w:val="28"/>
        </w:rPr>
        <w:t xml:space="preserve"> feita pela Irlanda em relação à aplicação de algumas das disposições da Convenção de 2000. Ao analisar as declarações feitas pela Irlanda, verifica-se que </w:t>
      </w:r>
      <w:r w:rsidRPr="00567437">
        <w:rPr>
          <w:rFonts w:ascii="Times New Roman" w:hAnsi="Times New Roman" w:cs="Times New Roman"/>
          <w:sz w:val="28"/>
          <w:szCs w:val="28"/>
          <w:u w:val="single"/>
        </w:rPr>
        <w:t>nenhuma</w:t>
      </w:r>
      <w:r w:rsidRPr="00567437">
        <w:rPr>
          <w:rFonts w:ascii="Times New Roman" w:hAnsi="Times New Roman" w:cs="Times New Roman"/>
          <w:sz w:val="28"/>
          <w:szCs w:val="28"/>
        </w:rPr>
        <w:t xml:space="preserve"> delas diz respeito à aplicação do Artigo 10.º da Convenção de 2000. Assim, novamente, a Convenção de 2000 é aplicável à alínea b).</w:t>
      </w:r>
    </w:p>
    <w:p w14:paraId="7B1E66EB" w14:textId="77777777" w:rsidR="0017314A" w:rsidRPr="00567437" w:rsidRDefault="00F71519" w:rsidP="0017314A">
      <w:pPr>
        <w:spacing w:after="0" w:line="240" w:lineRule="auto"/>
        <w:jc w:val="both"/>
        <w:rPr>
          <w:rFonts w:ascii="Times New Roman" w:hAnsi="Times New Roman" w:cs="Times New Roman"/>
          <w:sz w:val="28"/>
          <w:szCs w:val="28"/>
        </w:rPr>
      </w:pPr>
    </w:p>
    <w:p w14:paraId="4334D84A" w14:textId="74BF7C5C" w:rsidR="0017314A" w:rsidRPr="00567437" w:rsidRDefault="0074309F" w:rsidP="0017314A">
      <w:pPr>
        <w:spacing w:after="0" w:line="240" w:lineRule="auto"/>
        <w:jc w:val="both"/>
        <w:rPr>
          <w:rFonts w:ascii="Times New Roman" w:hAnsi="Times New Roman" w:cs="Times New Roman"/>
          <w:sz w:val="28"/>
          <w:szCs w:val="28"/>
        </w:rPr>
      </w:pPr>
      <w:r w:rsidRPr="00567437">
        <w:drawing>
          <wp:inline distT="0" distB="0" distL="0" distR="0">
            <wp:extent cx="5734050" cy="176212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45762" name="Picture 1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34050" cy="1762125"/>
                    </a:xfrm>
                    <a:prstGeom prst="rect">
                      <a:avLst/>
                    </a:prstGeom>
                    <a:noFill/>
                    <a:ln>
                      <a:noFill/>
                    </a:ln>
                  </pic:spPr>
                </pic:pic>
              </a:graphicData>
            </a:graphic>
          </wp:inline>
        </w:drawing>
      </w:r>
    </w:p>
    <w:p w14:paraId="36BDDB84" w14:textId="77777777" w:rsidR="0017314A" w:rsidRPr="00567437" w:rsidRDefault="00F71519" w:rsidP="0017314A">
      <w:pPr>
        <w:spacing w:after="0" w:line="240" w:lineRule="auto"/>
        <w:jc w:val="both"/>
        <w:rPr>
          <w:rFonts w:ascii="Times New Roman" w:hAnsi="Times New Roman" w:cs="Times New Roman"/>
          <w:sz w:val="28"/>
          <w:szCs w:val="28"/>
        </w:rPr>
      </w:pPr>
    </w:p>
    <w:p w14:paraId="2C9B3570" w14:textId="46B7D573" w:rsidR="0017314A" w:rsidRPr="00567437" w:rsidRDefault="0074309F" w:rsidP="00FB3E9B">
      <w:pPr>
        <w:spacing w:after="0" w:line="240" w:lineRule="auto"/>
        <w:jc w:val="both"/>
        <w:rPr>
          <w:rFonts w:ascii="Times New Roman" w:hAnsi="Times New Roman" w:cs="Times New Roman"/>
          <w:i/>
          <w:color w:val="000000" w:themeColor="text1"/>
          <w:sz w:val="28"/>
          <w:szCs w:val="28"/>
        </w:rPr>
      </w:pPr>
      <w:r w:rsidRPr="00567437">
        <w:rPr>
          <w:rFonts w:ascii="Times New Roman" w:hAnsi="Times New Roman" w:cs="Times New Roman"/>
          <w:i/>
          <w:iCs/>
          <w:color w:val="000000" w:themeColor="text1"/>
          <w:sz w:val="28"/>
          <w:szCs w:val="28"/>
        </w:rPr>
        <w:t>3. Uma autoridade judiciária alemã quer ouvir, por videoconferência, um perito que se encontra na Grécia. Que instrumento jurídico deve utilizar?</w:t>
      </w:r>
    </w:p>
    <w:p w14:paraId="5B501AE3" w14:textId="3B76B0BA" w:rsidR="0017314A" w:rsidRPr="00567437" w:rsidRDefault="00F71519" w:rsidP="0074607F">
      <w:pPr>
        <w:spacing w:line="240" w:lineRule="auto"/>
        <w:jc w:val="both"/>
        <w:rPr>
          <w:rFonts w:ascii="Times New Roman" w:hAnsi="Times New Roman" w:cs="Times New Roman"/>
          <w:sz w:val="28"/>
          <w:szCs w:val="28"/>
        </w:rPr>
      </w:pPr>
    </w:p>
    <w:p w14:paraId="289772A1" w14:textId="7898EE7E" w:rsidR="0017314A" w:rsidRPr="00567437" w:rsidRDefault="0074309F" w:rsidP="0017314A">
      <w:pPr>
        <w:spacing w:after="0"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Ao verificar o estado de aplicação da Diretiva 2014/41 relativa à DEI acima indicada, nota-se que tanto a </w:t>
      </w:r>
      <w:r w:rsidRPr="00567437">
        <w:rPr>
          <w:rFonts w:ascii="Times New Roman" w:hAnsi="Times New Roman" w:cs="Times New Roman"/>
          <w:b/>
          <w:bCs/>
          <w:sz w:val="28"/>
          <w:szCs w:val="28"/>
        </w:rPr>
        <w:t>Alemanha</w:t>
      </w:r>
      <w:r w:rsidRPr="00567437">
        <w:rPr>
          <w:rFonts w:ascii="Times New Roman" w:hAnsi="Times New Roman" w:cs="Times New Roman"/>
          <w:sz w:val="28"/>
          <w:szCs w:val="28"/>
        </w:rPr>
        <w:t xml:space="preserve"> como a </w:t>
      </w:r>
      <w:r w:rsidRPr="00567437">
        <w:rPr>
          <w:rFonts w:ascii="Times New Roman" w:hAnsi="Times New Roman" w:cs="Times New Roman"/>
          <w:b/>
          <w:bCs/>
          <w:sz w:val="28"/>
          <w:szCs w:val="28"/>
        </w:rPr>
        <w:t>Grécia</w:t>
      </w:r>
      <w:r w:rsidRPr="00567437">
        <w:rPr>
          <w:rFonts w:ascii="Times New Roman" w:hAnsi="Times New Roman" w:cs="Times New Roman"/>
          <w:sz w:val="28"/>
          <w:szCs w:val="28"/>
        </w:rPr>
        <w:t xml:space="preserve"> transpuseram a Diretiva, o que significa que este instrumento jurídico é aplicável entre ambos os EM e, em particular, o disposto no Artigo 24.º da Diretiva.</w:t>
      </w:r>
    </w:p>
    <w:p w14:paraId="536691CE" w14:textId="43EFB692" w:rsidR="0017314A" w:rsidRPr="00567437" w:rsidRDefault="0074309F" w:rsidP="00FB3E9B">
      <w:pPr>
        <w:spacing w:after="0" w:line="240" w:lineRule="auto"/>
        <w:jc w:val="both"/>
        <w:rPr>
          <w:rFonts w:ascii="Times New Roman" w:hAnsi="Times New Roman" w:cs="Times New Roman"/>
          <w:sz w:val="28"/>
          <w:szCs w:val="28"/>
        </w:rPr>
      </w:pPr>
      <w:r w:rsidRPr="00567437">
        <w:drawing>
          <wp:inline distT="0" distB="0" distL="0" distR="0">
            <wp:extent cx="5734050" cy="12382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64795" name="Picture 1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34050" cy="1238250"/>
                    </a:xfrm>
                    <a:prstGeom prst="rect">
                      <a:avLst/>
                    </a:prstGeom>
                    <a:noFill/>
                    <a:ln>
                      <a:noFill/>
                    </a:ln>
                  </pic:spPr>
                </pic:pic>
              </a:graphicData>
            </a:graphic>
          </wp:inline>
        </w:drawing>
      </w:r>
    </w:p>
    <w:p w14:paraId="0883060D" w14:textId="77777777" w:rsidR="0017314A" w:rsidRPr="00567437" w:rsidRDefault="00F71519" w:rsidP="0017314A">
      <w:pPr>
        <w:spacing w:after="0" w:line="240" w:lineRule="auto"/>
        <w:jc w:val="both"/>
        <w:rPr>
          <w:rFonts w:ascii="Times New Roman" w:hAnsi="Times New Roman" w:cs="Times New Roman"/>
          <w:sz w:val="28"/>
          <w:szCs w:val="28"/>
        </w:rPr>
      </w:pPr>
    </w:p>
    <w:p w14:paraId="258BDADF" w14:textId="5AE1C465" w:rsidR="0017314A" w:rsidRPr="00567437" w:rsidRDefault="0074309F" w:rsidP="00FB3E9B">
      <w:pPr>
        <w:spacing w:after="0" w:line="240" w:lineRule="auto"/>
        <w:jc w:val="both"/>
        <w:rPr>
          <w:rFonts w:ascii="Times New Roman" w:hAnsi="Times New Roman" w:cs="Times New Roman"/>
          <w:i/>
          <w:color w:val="000000" w:themeColor="text1"/>
          <w:sz w:val="28"/>
          <w:szCs w:val="28"/>
        </w:rPr>
      </w:pPr>
      <w:r w:rsidRPr="00567437">
        <w:rPr>
          <w:rFonts w:ascii="Times New Roman" w:hAnsi="Times New Roman" w:cs="Times New Roman"/>
          <w:i/>
          <w:iCs/>
          <w:color w:val="000000" w:themeColor="text1"/>
          <w:sz w:val="28"/>
          <w:szCs w:val="28"/>
        </w:rPr>
        <w:t>4. Uma autoridade judiciária francesa quer ouvir, por conferência telefónica, um perito que se encontra na Roménia. Que instrumento jurídico deve utilizar?</w:t>
      </w:r>
    </w:p>
    <w:p w14:paraId="5E34C9C1" w14:textId="77777777" w:rsidR="0017314A" w:rsidRPr="00567437" w:rsidRDefault="00F71519" w:rsidP="0074607F">
      <w:pPr>
        <w:spacing w:line="240" w:lineRule="auto"/>
        <w:jc w:val="both"/>
        <w:rPr>
          <w:rFonts w:ascii="Times New Roman" w:hAnsi="Times New Roman" w:cs="Times New Roman"/>
          <w:sz w:val="28"/>
          <w:szCs w:val="28"/>
        </w:rPr>
      </w:pPr>
    </w:p>
    <w:p w14:paraId="136F280E" w14:textId="10D97E95" w:rsidR="00FB3E9B" w:rsidRPr="00567437" w:rsidRDefault="0074309F" w:rsidP="00FB3E9B">
      <w:pPr>
        <w:spacing w:after="120"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Ao verificar novamente o estado de aplicação da Diretiva 2014/41 relativa à DEI acima indicada, nota-se que tanto a </w:t>
      </w:r>
      <w:r w:rsidRPr="00567437">
        <w:rPr>
          <w:rFonts w:ascii="Times New Roman" w:hAnsi="Times New Roman" w:cs="Times New Roman"/>
          <w:b/>
          <w:bCs/>
          <w:sz w:val="28"/>
          <w:szCs w:val="28"/>
        </w:rPr>
        <w:t>França</w:t>
      </w:r>
      <w:r w:rsidRPr="00567437">
        <w:rPr>
          <w:rFonts w:ascii="Times New Roman" w:hAnsi="Times New Roman" w:cs="Times New Roman"/>
          <w:sz w:val="28"/>
          <w:szCs w:val="28"/>
        </w:rPr>
        <w:t xml:space="preserve"> como a </w:t>
      </w:r>
      <w:r w:rsidRPr="00567437">
        <w:rPr>
          <w:rFonts w:ascii="Times New Roman" w:hAnsi="Times New Roman" w:cs="Times New Roman"/>
          <w:b/>
          <w:bCs/>
          <w:sz w:val="28"/>
          <w:szCs w:val="28"/>
        </w:rPr>
        <w:t>Roménia</w:t>
      </w:r>
      <w:r w:rsidRPr="00567437">
        <w:rPr>
          <w:rFonts w:ascii="Times New Roman" w:hAnsi="Times New Roman" w:cs="Times New Roman"/>
          <w:sz w:val="28"/>
          <w:szCs w:val="28"/>
        </w:rPr>
        <w:t xml:space="preserve"> transpuseram a Diretiva, o que significa que este instrumento jurídico é aplicável entre ambos os EM e, em particular, o disposto no Artigo 24.º da Diretiva.</w:t>
      </w:r>
    </w:p>
    <w:p w14:paraId="248319D9" w14:textId="625C7287" w:rsidR="00476AE8" w:rsidRPr="00567437" w:rsidRDefault="0074309F" w:rsidP="00476AE8">
      <w:pPr>
        <w:spacing w:after="0" w:line="240" w:lineRule="auto"/>
        <w:jc w:val="both"/>
        <w:rPr>
          <w:rFonts w:ascii="Times New Roman" w:hAnsi="Times New Roman" w:cs="Times New Roman"/>
          <w:sz w:val="28"/>
          <w:szCs w:val="28"/>
        </w:rPr>
      </w:pPr>
      <w:r w:rsidRPr="00567437">
        <w:drawing>
          <wp:inline distT="0" distB="0" distL="0" distR="0">
            <wp:extent cx="5724525" cy="66675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81922" name="Picture 1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24525" cy="666750"/>
                    </a:xfrm>
                    <a:prstGeom prst="rect">
                      <a:avLst/>
                    </a:prstGeom>
                    <a:noFill/>
                    <a:ln>
                      <a:noFill/>
                    </a:ln>
                  </pic:spPr>
                </pic:pic>
              </a:graphicData>
            </a:graphic>
          </wp:inline>
        </w:drawing>
      </w:r>
    </w:p>
    <w:p w14:paraId="548366C8" w14:textId="77777777" w:rsidR="00476AE8" w:rsidRPr="00567437" w:rsidRDefault="00F71519" w:rsidP="00476AE8">
      <w:pPr>
        <w:spacing w:after="0" w:line="240" w:lineRule="auto"/>
        <w:jc w:val="both"/>
        <w:rPr>
          <w:rFonts w:ascii="Times New Roman" w:hAnsi="Times New Roman" w:cs="Times New Roman"/>
          <w:sz w:val="28"/>
          <w:szCs w:val="28"/>
        </w:rPr>
      </w:pPr>
    </w:p>
    <w:p w14:paraId="500AF566" w14:textId="310FF9A0" w:rsidR="00476AE8" w:rsidRPr="00567437" w:rsidRDefault="0074309F" w:rsidP="00476AE8">
      <w:pPr>
        <w:spacing w:after="0" w:line="240" w:lineRule="auto"/>
        <w:jc w:val="both"/>
        <w:rPr>
          <w:rFonts w:ascii="Times New Roman" w:hAnsi="Times New Roman" w:cs="Times New Roman"/>
          <w:sz w:val="28"/>
          <w:szCs w:val="28"/>
        </w:rPr>
      </w:pPr>
      <w:r w:rsidRPr="00567437">
        <w:lastRenderedPageBreak/>
        <w:drawing>
          <wp:inline distT="0" distB="0" distL="0" distR="0">
            <wp:extent cx="5724525" cy="17811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08703" name="Picture 1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24525" cy="1781175"/>
                    </a:xfrm>
                    <a:prstGeom prst="rect">
                      <a:avLst/>
                    </a:prstGeom>
                    <a:noFill/>
                    <a:ln>
                      <a:noFill/>
                    </a:ln>
                  </pic:spPr>
                </pic:pic>
              </a:graphicData>
            </a:graphic>
          </wp:inline>
        </w:drawing>
      </w:r>
    </w:p>
    <w:p w14:paraId="14D6D518" w14:textId="77777777" w:rsidR="00476AE8" w:rsidRPr="00567437" w:rsidRDefault="00F71519" w:rsidP="00476AE8">
      <w:pPr>
        <w:spacing w:after="0" w:line="240" w:lineRule="auto"/>
        <w:jc w:val="both"/>
        <w:rPr>
          <w:rFonts w:ascii="Times New Roman" w:hAnsi="Times New Roman" w:cs="Times New Roman"/>
          <w:i/>
          <w:color w:val="000000" w:themeColor="text1"/>
          <w:sz w:val="28"/>
          <w:szCs w:val="28"/>
        </w:rPr>
      </w:pPr>
    </w:p>
    <w:p w14:paraId="10B9AFD2" w14:textId="4F3D3726" w:rsidR="00476AE8" w:rsidRPr="00567437" w:rsidRDefault="0074309F" w:rsidP="00FB3E9B">
      <w:pPr>
        <w:spacing w:after="0" w:line="240" w:lineRule="auto"/>
        <w:jc w:val="both"/>
        <w:rPr>
          <w:rFonts w:ascii="Times New Roman" w:hAnsi="Times New Roman" w:cs="Times New Roman"/>
          <w:i/>
          <w:color w:val="000000" w:themeColor="text1"/>
          <w:sz w:val="28"/>
          <w:szCs w:val="28"/>
        </w:rPr>
      </w:pPr>
      <w:r w:rsidRPr="00567437">
        <w:rPr>
          <w:rFonts w:ascii="Times New Roman" w:hAnsi="Times New Roman" w:cs="Times New Roman"/>
          <w:i/>
          <w:iCs/>
          <w:color w:val="000000" w:themeColor="text1"/>
          <w:sz w:val="28"/>
          <w:szCs w:val="28"/>
        </w:rPr>
        <w:t>5. A autoridade judiciária croata quer convocar um arguido na Dinamarca. Que instrumento jurídico deve utilizar?</w:t>
      </w:r>
    </w:p>
    <w:p w14:paraId="4A663379" w14:textId="67A2772E" w:rsidR="00476AE8" w:rsidRPr="00567437" w:rsidRDefault="00F71519" w:rsidP="0074607F">
      <w:pPr>
        <w:spacing w:line="240" w:lineRule="auto"/>
        <w:jc w:val="both"/>
        <w:rPr>
          <w:rFonts w:ascii="Times New Roman" w:hAnsi="Times New Roman" w:cs="Times New Roman"/>
          <w:sz w:val="28"/>
          <w:szCs w:val="28"/>
        </w:rPr>
      </w:pPr>
    </w:p>
    <w:p w14:paraId="09C38276" w14:textId="1E9D82C7" w:rsidR="00476AE8" w:rsidRPr="00567437" w:rsidRDefault="0074309F" w:rsidP="005A51B3">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A primeira coisa a assinalar é que </w:t>
      </w:r>
      <w:r w:rsidRPr="00567437">
        <w:rPr>
          <w:rFonts w:ascii="Times New Roman" w:hAnsi="Times New Roman" w:cs="Times New Roman"/>
          <w:sz w:val="28"/>
          <w:szCs w:val="28"/>
          <w:u w:val="single"/>
        </w:rPr>
        <w:t>esta não é uma medida de investigação</w:t>
      </w:r>
      <w:r w:rsidRPr="00567437">
        <w:rPr>
          <w:rFonts w:ascii="Times New Roman" w:hAnsi="Times New Roman" w:cs="Times New Roman"/>
          <w:sz w:val="28"/>
          <w:szCs w:val="28"/>
        </w:rPr>
        <w:t xml:space="preserve"> solicitada pela autoridade judiciária croata, o que significa que está fora do âmbito de aplicação da Diretiva 2014/41 relativa à DEI. Por conseguinte, não é necessário verificar o estado de aplicação da Diretiva.</w:t>
      </w:r>
    </w:p>
    <w:p w14:paraId="7519C56F" w14:textId="1A0859DA" w:rsidR="00476AE8" w:rsidRPr="00567437" w:rsidRDefault="0074309F" w:rsidP="005A51B3">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É necessário identificar um instrumento de auxílio judiciário mútuo aplicável a ambos os EM. Como membros da União Europeia, verificamos primeiro se a Convenção de 2000 (o Artigo 5.º estabelece o envio e a notificação de peças processuais) se encontra em vigor em ambos os EM. Para tal, </w:t>
      </w:r>
      <w:r w:rsidRPr="00567437">
        <w:rPr>
          <w:rFonts w:ascii="Times New Roman" w:hAnsi="Times New Roman" w:cs="Times New Roman"/>
          <w:sz w:val="28"/>
          <w:szCs w:val="28"/>
          <w:u w:val="single"/>
        </w:rPr>
        <w:t>verifica-se a tabela de ratificações supramencionada para a Convenção de 2000</w:t>
      </w:r>
      <w:r w:rsidRPr="00567437">
        <w:rPr>
          <w:rFonts w:ascii="Times New Roman" w:hAnsi="Times New Roman" w:cs="Times New Roman"/>
          <w:sz w:val="28"/>
          <w:szCs w:val="28"/>
        </w:rPr>
        <w:t xml:space="preserve">. Constata-se que a Convenção de 2000 se encontra em vigor na </w:t>
      </w:r>
      <w:r w:rsidRPr="00567437">
        <w:rPr>
          <w:rFonts w:ascii="Times New Roman" w:hAnsi="Times New Roman" w:cs="Times New Roman"/>
          <w:b/>
          <w:bCs/>
          <w:sz w:val="28"/>
          <w:szCs w:val="28"/>
        </w:rPr>
        <w:t>Dinamarca</w:t>
      </w:r>
      <w:r w:rsidRPr="00567437">
        <w:rPr>
          <w:rFonts w:ascii="Times New Roman" w:hAnsi="Times New Roman" w:cs="Times New Roman"/>
          <w:sz w:val="28"/>
          <w:szCs w:val="28"/>
        </w:rPr>
        <w:t xml:space="preserve">, mas não na </w:t>
      </w:r>
      <w:r w:rsidRPr="00567437">
        <w:rPr>
          <w:rFonts w:ascii="Times New Roman" w:hAnsi="Times New Roman" w:cs="Times New Roman"/>
          <w:b/>
          <w:bCs/>
          <w:sz w:val="28"/>
          <w:szCs w:val="28"/>
        </w:rPr>
        <w:t>Croácia</w:t>
      </w:r>
      <w:r w:rsidRPr="00567437">
        <w:rPr>
          <w:rFonts w:ascii="Times New Roman" w:hAnsi="Times New Roman" w:cs="Times New Roman"/>
          <w:sz w:val="28"/>
          <w:szCs w:val="28"/>
        </w:rPr>
        <w:t>.</w:t>
      </w:r>
    </w:p>
    <w:p w14:paraId="78B82A15" w14:textId="33A1473E" w:rsidR="00476AE8" w:rsidRPr="00567437" w:rsidRDefault="0074309F" w:rsidP="005A51B3">
      <w:pPr>
        <w:spacing w:line="240" w:lineRule="auto"/>
        <w:jc w:val="both"/>
        <w:rPr>
          <w:rFonts w:ascii="Times New Roman" w:hAnsi="Times New Roman" w:cs="Times New Roman"/>
          <w:sz w:val="28"/>
          <w:szCs w:val="28"/>
        </w:rPr>
      </w:pPr>
      <w:r w:rsidRPr="00567437">
        <w:drawing>
          <wp:inline distT="0" distB="0" distL="0" distR="0">
            <wp:extent cx="5724525" cy="123825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78655" name="Picture 1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724525" cy="1238250"/>
                    </a:xfrm>
                    <a:prstGeom prst="rect">
                      <a:avLst/>
                    </a:prstGeom>
                    <a:noFill/>
                    <a:ln>
                      <a:noFill/>
                    </a:ln>
                  </pic:spPr>
                </pic:pic>
              </a:graphicData>
            </a:graphic>
          </wp:inline>
        </w:drawing>
      </w:r>
    </w:p>
    <w:p w14:paraId="4C336416" w14:textId="77777777" w:rsidR="00476AE8" w:rsidRPr="00567437" w:rsidRDefault="00F71519" w:rsidP="005A51B3">
      <w:pPr>
        <w:spacing w:line="240" w:lineRule="auto"/>
        <w:jc w:val="both"/>
        <w:rPr>
          <w:rFonts w:ascii="Times New Roman" w:hAnsi="Times New Roman" w:cs="Times New Roman"/>
          <w:sz w:val="28"/>
          <w:szCs w:val="28"/>
        </w:rPr>
      </w:pPr>
    </w:p>
    <w:p w14:paraId="38F64B02" w14:textId="4D6BCD39" w:rsidR="00476AE8" w:rsidRPr="00567437" w:rsidRDefault="0074309F" w:rsidP="005A51B3">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É necessário identificar um instrumento de auxílio judiciário mútuo potencialmente aplicável a ambos os EM. O Artigo 7.º da Convenção Europeia de Auxílio Judiciário Mútuo em Matéria Penal (Convenção de 1959) prevê a notificação de escritos e registos de sentenças judiciais – Aparição de testemunhas, peritos e arguidos. É necessário verificar se este instrumento jurídico se encontra em vigor em ambos os EM.</w:t>
      </w:r>
    </w:p>
    <w:p w14:paraId="7AB32EA4" w14:textId="3BACD30F" w:rsidR="00476AE8" w:rsidRPr="00567437" w:rsidRDefault="0074309F" w:rsidP="00A34DBA">
      <w:pPr>
        <w:spacing w:line="240" w:lineRule="auto"/>
        <w:jc w:val="both"/>
        <w:rPr>
          <w:rFonts w:ascii="Times New Roman" w:hAnsi="Times New Roman" w:cs="Times New Roman"/>
          <w:sz w:val="28"/>
          <w:szCs w:val="28"/>
        </w:rPr>
      </w:pPr>
      <w:r w:rsidRPr="00567437">
        <w:rPr>
          <w:rFonts w:ascii="Times New Roman" w:hAnsi="Times New Roman"/>
          <w:sz w:val="28"/>
          <w:szCs w:val="28"/>
        </w:rPr>
        <w:t xml:space="preserve">Para tal, acede-se ao sítio Web do Serviço de Tratados do Conselho da Europa e procuram-se as </w:t>
      </w:r>
      <w:hyperlink r:id="rId26" w:history="1">
        <w:r w:rsidRPr="00567437">
          <w:rPr>
            <w:rStyle w:val="Hiperligao"/>
            <w:rFonts w:ascii="Times New Roman" w:hAnsi="Times New Roman" w:cs="Times New Roman"/>
            <w:sz w:val="28"/>
            <w:szCs w:val="28"/>
          </w:rPr>
          <w:t>assinaturas e ratificações da Convenção de 1959</w:t>
        </w:r>
      </w:hyperlink>
      <w:r w:rsidRPr="00567437">
        <w:rPr>
          <w:rFonts w:ascii="Times New Roman" w:hAnsi="Times New Roman"/>
          <w:sz w:val="28"/>
          <w:szCs w:val="28"/>
          <w:u w:val="single"/>
        </w:rPr>
        <w:t>.</w:t>
      </w:r>
      <w:r w:rsidRPr="00567437">
        <w:rPr>
          <w:rFonts w:ascii="Times New Roman" w:hAnsi="Times New Roman"/>
          <w:sz w:val="28"/>
          <w:szCs w:val="28"/>
        </w:rPr>
        <w:t xml:space="preserve"> A lista dos países signatários está </w:t>
      </w:r>
      <w:hyperlink r:id="rId27" w:history="1">
        <w:r w:rsidRPr="00567437">
          <w:rPr>
            <w:rStyle w:val="Hiperligao"/>
            <w:rFonts w:ascii="Times New Roman" w:hAnsi="Times New Roman" w:cs="Times New Roman"/>
            <w:sz w:val="28"/>
            <w:szCs w:val="28"/>
          </w:rPr>
          <w:t>disponível aqui</w:t>
        </w:r>
      </w:hyperlink>
      <w:r w:rsidRPr="00567437">
        <w:rPr>
          <w:rFonts w:ascii="Times New Roman" w:hAnsi="Times New Roman"/>
          <w:sz w:val="28"/>
          <w:szCs w:val="28"/>
        </w:rPr>
        <w:t>.</w:t>
      </w:r>
    </w:p>
    <w:p w14:paraId="7E7341F3" w14:textId="77777777" w:rsidR="00476AE8" w:rsidRPr="00567437" w:rsidRDefault="00F71519" w:rsidP="00476AE8">
      <w:pPr>
        <w:spacing w:after="0" w:line="240" w:lineRule="auto"/>
        <w:jc w:val="both"/>
        <w:rPr>
          <w:rFonts w:ascii="Times New Roman" w:hAnsi="Times New Roman" w:cs="Times New Roman"/>
          <w:sz w:val="28"/>
          <w:szCs w:val="28"/>
        </w:rPr>
      </w:pPr>
    </w:p>
    <w:p w14:paraId="26B60768" w14:textId="77777777" w:rsidR="00476AE8" w:rsidRPr="00567437" w:rsidRDefault="0074309F" w:rsidP="00476AE8">
      <w:pPr>
        <w:spacing w:after="0" w:line="240" w:lineRule="auto"/>
        <w:jc w:val="both"/>
        <w:rPr>
          <w:rFonts w:ascii="Times New Roman" w:hAnsi="Times New Roman" w:cs="Times New Roman"/>
          <w:sz w:val="28"/>
          <w:szCs w:val="28"/>
        </w:rPr>
      </w:pPr>
      <w:r w:rsidRPr="00567437">
        <w:rPr>
          <w:rFonts w:ascii="Times New Roman" w:hAnsi="Times New Roman" w:cs="Times New Roman"/>
          <w:sz w:val="28"/>
          <w:szCs w:val="28"/>
        </w:rPr>
        <w:lastRenderedPageBreak/>
        <w:t>Abaixo, constata-se que a Convenção de 1959 se encontra em vigor em ambos os EM. Contudo, a autoridade judiciária croata necessita de verificar as Reservas (R) e as Declarações (D) feita pela Dinamarca em relação à aplicação de algumas das disposições da Convenção de 1959.</w:t>
      </w:r>
    </w:p>
    <w:p w14:paraId="3046EBA3" w14:textId="704B6EA6" w:rsidR="00476AE8" w:rsidRPr="00567437" w:rsidRDefault="0074309F" w:rsidP="00476AE8">
      <w:pPr>
        <w:spacing w:after="0" w:line="240" w:lineRule="auto"/>
        <w:jc w:val="both"/>
        <w:rPr>
          <w:rFonts w:ascii="Times New Roman" w:hAnsi="Times New Roman" w:cs="Times New Roman"/>
          <w:sz w:val="28"/>
          <w:szCs w:val="28"/>
        </w:rPr>
      </w:pPr>
      <w:r w:rsidRPr="00567437">
        <w:drawing>
          <wp:inline distT="0" distB="0" distL="0" distR="0">
            <wp:extent cx="5724525" cy="933450"/>
            <wp:effectExtent l="0" t="0" r="952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61969" name="Picture 1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724525" cy="933450"/>
                    </a:xfrm>
                    <a:prstGeom prst="rect">
                      <a:avLst/>
                    </a:prstGeom>
                    <a:noFill/>
                    <a:ln>
                      <a:noFill/>
                    </a:ln>
                  </pic:spPr>
                </pic:pic>
              </a:graphicData>
            </a:graphic>
          </wp:inline>
        </w:drawing>
      </w:r>
    </w:p>
    <w:p w14:paraId="2BCA914D" w14:textId="77777777" w:rsidR="00476AE8" w:rsidRPr="00567437" w:rsidRDefault="00F71519" w:rsidP="00476AE8">
      <w:pPr>
        <w:spacing w:after="0" w:line="240" w:lineRule="auto"/>
        <w:jc w:val="both"/>
        <w:rPr>
          <w:rFonts w:ascii="Times New Roman" w:hAnsi="Times New Roman" w:cs="Times New Roman"/>
          <w:sz w:val="28"/>
          <w:szCs w:val="28"/>
        </w:rPr>
      </w:pPr>
    </w:p>
    <w:p w14:paraId="2CCAB027" w14:textId="7029A7A2" w:rsidR="00476AE8" w:rsidRPr="00567437" w:rsidRDefault="0074309F" w:rsidP="00476AE8">
      <w:pPr>
        <w:spacing w:after="0"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Seguem-se as </w:t>
      </w:r>
      <w:r w:rsidRPr="00567437">
        <w:rPr>
          <w:rFonts w:ascii="Times New Roman" w:hAnsi="Times New Roman" w:cs="Times New Roman"/>
          <w:b/>
          <w:bCs/>
          <w:sz w:val="28"/>
          <w:szCs w:val="28"/>
        </w:rPr>
        <w:t>reservas e declarações</w:t>
      </w:r>
      <w:r w:rsidRPr="00567437">
        <w:rPr>
          <w:rFonts w:ascii="Times New Roman" w:hAnsi="Times New Roman" w:cs="Times New Roman"/>
          <w:sz w:val="28"/>
          <w:szCs w:val="28"/>
        </w:rPr>
        <w:t xml:space="preserve"> feitas pela Dinamarca sobre a forma como o Artigo 7.º da Convenção de 1959 será aplicado (de que forma, prazo).</w:t>
      </w:r>
    </w:p>
    <w:p w14:paraId="564C78EA" w14:textId="65AA1A34" w:rsidR="00476AE8" w:rsidRPr="00567437" w:rsidRDefault="0074309F" w:rsidP="00476AE8">
      <w:pPr>
        <w:spacing w:after="0" w:line="240" w:lineRule="auto"/>
        <w:jc w:val="both"/>
        <w:rPr>
          <w:rFonts w:ascii="Times New Roman" w:hAnsi="Times New Roman" w:cs="Times New Roman"/>
          <w:sz w:val="28"/>
          <w:szCs w:val="28"/>
        </w:rPr>
      </w:pPr>
      <w:r w:rsidRPr="00567437">
        <w:drawing>
          <wp:inline distT="0" distB="0" distL="0" distR="0">
            <wp:extent cx="5724525" cy="1314450"/>
            <wp:effectExtent l="0" t="0" r="952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51729" name="Picture 1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724525" cy="1314450"/>
                    </a:xfrm>
                    <a:prstGeom prst="rect">
                      <a:avLst/>
                    </a:prstGeom>
                    <a:noFill/>
                    <a:ln>
                      <a:noFill/>
                    </a:ln>
                  </pic:spPr>
                </pic:pic>
              </a:graphicData>
            </a:graphic>
          </wp:inline>
        </w:drawing>
      </w:r>
    </w:p>
    <w:p w14:paraId="5315B9FA" w14:textId="0987BD3B" w:rsidR="00476AE8" w:rsidRPr="00567437" w:rsidRDefault="0074309F" w:rsidP="00476AE8">
      <w:pPr>
        <w:spacing w:after="0" w:line="240" w:lineRule="auto"/>
        <w:jc w:val="both"/>
        <w:rPr>
          <w:rFonts w:ascii="Times New Roman" w:hAnsi="Times New Roman" w:cs="Times New Roman"/>
          <w:sz w:val="28"/>
          <w:szCs w:val="28"/>
        </w:rPr>
      </w:pPr>
      <w:r w:rsidRPr="00567437">
        <w:drawing>
          <wp:inline distT="0" distB="0" distL="0" distR="0">
            <wp:extent cx="5724525" cy="1447800"/>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02082"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724525" cy="1447800"/>
                    </a:xfrm>
                    <a:prstGeom prst="rect">
                      <a:avLst/>
                    </a:prstGeom>
                    <a:noFill/>
                    <a:ln>
                      <a:noFill/>
                    </a:ln>
                  </pic:spPr>
                </pic:pic>
              </a:graphicData>
            </a:graphic>
          </wp:inline>
        </w:drawing>
      </w:r>
    </w:p>
    <w:p w14:paraId="44E168AC" w14:textId="77777777" w:rsidR="00476AE8" w:rsidRPr="00567437" w:rsidRDefault="00F71519" w:rsidP="00476AE8">
      <w:pPr>
        <w:spacing w:after="0" w:line="240" w:lineRule="auto"/>
        <w:jc w:val="both"/>
        <w:rPr>
          <w:rFonts w:ascii="Times New Roman" w:hAnsi="Times New Roman" w:cs="Times New Roman"/>
          <w:sz w:val="28"/>
          <w:szCs w:val="28"/>
        </w:rPr>
      </w:pPr>
    </w:p>
    <w:p w14:paraId="44CC5F74" w14:textId="0910F31B" w:rsidR="00476AE8" w:rsidRPr="00567437" w:rsidRDefault="0074309F" w:rsidP="00A34DBA">
      <w:pPr>
        <w:spacing w:after="0" w:line="240" w:lineRule="auto"/>
        <w:jc w:val="both"/>
        <w:rPr>
          <w:rFonts w:ascii="Times New Roman" w:hAnsi="Times New Roman" w:cs="Times New Roman"/>
          <w:i/>
          <w:color w:val="000000" w:themeColor="text1"/>
          <w:sz w:val="28"/>
          <w:szCs w:val="28"/>
        </w:rPr>
      </w:pPr>
      <w:r w:rsidRPr="00567437">
        <w:rPr>
          <w:rFonts w:ascii="Times New Roman" w:hAnsi="Times New Roman" w:cs="Times New Roman"/>
          <w:i/>
          <w:iCs/>
          <w:color w:val="000000" w:themeColor="text1"/>
          <w:sz w:val="28"/>
          <w:szCs w:val="28"/>
        </w:rPr>
        <w:t>6. Uma autoridade judiciária irlandesa quer convocar uma testemunha na Grécia. Que instrumento jurídico deve utilizar?</w:t>
      </w:r>
    </w:p>
    <w:p w14:paraId="72EA3DEC" w14:textId="77777777" w:rsidR="00A34DBA" w:rsidRPr="00567437" w:rsidRDefault="00F71519" w:rsidP="00A34DBA">
      <w:pPr>
        <w:spacing w:after="0" w:line="240" w:lineRule="auto"/>
        <w:jc w:val="both"/>
        <w:rPr>
          <w:rFonts w:ascii="Times New Roman" w:hAnsi="Times New Roman" w:cs="Times New Roman"/>
          <w:i/>
          <w:color w:val="000000" w:themeColor="text1"/>
          <w:sz w:val="28"/>
          <w:szCs w:val="28"/>
        </w:rPr>
      </w:pPr>
    </w:p>
    <w:p w14:paraId="7A834BF4" w14:textId="5D259A34" w:rsidR="00476AE8" w:rsidRPr="00567437" w:rsidRDefault="0074309F" w:rsidP="005A51B3">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Novamente, </w:t>
      </w:r>
      <w:r w:rsidRPr="00567437">
        <w:rPr>
          <w:rFonts w:ascii="Times New Roman" w:hAnsi="Times New Roman" w:cs="Times New Roman"/>
          <w:sz w:val="28"/>
          <w:szCs w:val="28"/>
          <w:u w:val="single"/>
        </w:rPr>
        <w:t>esta não é uma medida de investigação</w:t>
      </w:r>
      <w:r w:rsidRPr="00567437">
        <w:rPr>
          <w:rFonts w:ascii="Times New Roman" w:hAnsi="Times New Roman" w:cs="Times New Roman"/>
          <w:sz w:val="28"/>
          <w:szCs w:val="28"/>
        </w:rPr>
        <w:t xml:space="preserve"> solicitada pela autoridade judiciária irlandesa, o que significa que está fora do âmbito de aplicação da Diretiva 2014/41 relativa à DEI. Por conseguinte, não é necessário verificar o estado de aplicação da Diretiva (além disso, a Irlanda não se encontra vinculada pela Diretiva).</w:t>
      </w:r>
    </w:p>
    <w:p w14:paraId="6D1D168A" w14:textId="5165A57F" w:rsidR="00476AE8" w:rsidRPr="00567437" w:rsidRDefault="0074309F" w:rsidP="005A51B3">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Por conseguinte, é necessário identificar um instrumento de auxílio judiciário mútuo aplicável a ambos os EM. Como membros da União Europeia, verificamos primeiro se a Convenção de 2000 (o Artigo 5.º estabelece o envio e a notificação de peças processuais) se encontra em vigor em ambos os EM. Para tal, </w:t>
      </w:r>
      <w:r w:rsidRPr="00567437">
        <w:rPr>
          <w:rFonts w:ascii="Times New Roman" w:hAnsi="Times New Roman" w:cs="Times New Roman"/>
          <w:sz w:val="28"/>
          <w:szCs w:val="28"/>
          <w:u w:val="single"/>
        </w:rPr>
        <w:t>verifica-se a tabela de ratificações supramencionada</w:t>
      </w:r>
      <w:r w:rsidRPr="00567437">
        <w:rPr>
          <w:rFonts w:ascii="Times New Roman" w:hAnsi="Times New Roman" w:cs="Times New Roman"/>
          <w:sz w:val="28"/>
          <w:szCs w:val="28"/>
        </w:rPr>
        <w:t xml:space="preserve">. Constata-se que a Convenção de 2000 se encontra em vigor na </w:t>
      </w:r>
      <w:r w:rsidRPr="00567437">
        <w:rPr>
          <w:rFonts w:ascii="Times New Roman" w:hAnsi="Times New Roman" w:cs="Times New Roman"/>
          <w:b/>
          <w:bCs/>
          <w:sz w:val="28"/>
          <w:szCs w:val="28"/>
        </w:rPr>
        <w:t>Irlanda</w:t>
      </w:r>
      <w:r w:rsidRPr="00567437">
        <w:rPr>
          <w:rFonts w:ascii="Times New Roman" w:hAnsi="Times New Roman" w:cs="Times New Roman"/>
          <w:sz w:val="28"/>
          <w:szCs w:val="28"/>
        </w:rPr>
        <w:t xml:space="preserve">, mas não na </w:t>
      </w:r>
      <w:r w:rsidRPr="00567437">
        <w:rPr>
          <w:rFonts w:ascii="Times New Roman" w:hAnsi="Times New Roman" w:cs="Times New Roman"/>
          <w:b/>
          <w:bCs/>
          <w:sz w:val="28"/>
          <w:szCs w:val="28"/>
        </w:rPr>
        <w:t>Grécia</w:t>
      </w:r>
      <w:r w:rsidRPr="00567437">
        <w:rPr>
          <w:rFonts w:ascii="Times New Roman" w:hAnsi="Times New Roman" w:cs="Times New Roman"/>
          <w:sz w:val="28"/>
          <w:szCs w:val="28"/>
        </w:rPr>
        <w:t>.</w:t>
      </w:r>
    </w:p>
    <w:p w14:paraId="0FF69EA0" w14:textId="7A395CF5" w:rsidR="00476AE8" w:rsidRPr="00567437" w:rsidRDefault="0074309F" w:rsidP="00476AE8">
      <w:pPr>
        <w:spacing w:after="0" w:line="240" w:lineRule="auto"/>
        <w:jc w:val="both"/>
        <w:rPr>
          <w:rFonts w:ascii="Times New Roman" w:hAnsi="Times New Roman" w:cs="Times New Roman"/>
          <w:sz w:val="28"/>
          <w:szCs w:val="28"/>
        </w:rPr>
      </w:pPr>
      <w:r w:rsidRPr="00567437">
        <w:lastRenderedPageBreak/>
        <w:drawing>
          <wp:inline distT="0" distB="0" distL="0" distR="0">
            <wp:extent cx="5734050" cy="115252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94521" name="Picture 22"/>
                    <pic:cNvPicPr>
                      <a:picLocks noChangeAspect="1" noChangeArrowheads="1"/>
                    </pic:cNvPicPr>
                  </pic:nvPicPr>
                  <pic:blipFill>
                    <a:blip r:embed="rId31">
                      <a:extLst>
                        <a:ext uri="{28A0092B-C50C-407E-A947-70E740481C1C}">
                          <a14:useLocalDpi xmlns:a14="http://schemas.microsoft.com/office/drawing/2010/main" val="0"/>
                        </a:ext>
                      </a:extLst>
                    </a:blip>
                    <a:srcRect t="7633"/>
                    <a:stretch>
                      <a:fillRect/>
                    </a:stretch>
                  </pic:blipFill>
                  <pic:spPr bwMode="auto">
                    <a:xfrm>
                      <a:off x="0" y="0"/>
                      <a:ext cx="5734050" cy="1152525"/>
                    </a:xfrm>
                    <a:prstGeom prst="rect">
                      <a:avLst/>
                    </a:prstGeom>
                    <a:noFill/>
                    <a:ln>
                      <a:noFill/>
                    </a:ln>
                    <a:extLst>
                      <a:ext uri="{53640926-AAD7-44D8-BBD7-CCE9431645EC}">
                        <a14:shadowObscured xmlns:a14="http://schemas.microsoft.com/office/drawing/2010/main"/>
                      </a:ext>
                    </a:extLst>
                  </pic:spPr>
                </pic:pic>
              </a:graphicData>
            </a:graphic>
          </wp:inline>
        </w:drawing>
      </w:r>
    </w:p>
    <w:p w14:paraId="03302896" w14:textId="77777777" w:rsidR="00476AE8" w:rsidRPr="00567437" w:rsidRDefault="00F71519" w:rsidP="00476AE8">
      <w:pPr>
        <w:spacing w:after="0" w:line="240" w:lineRule="auto"/>
        <w:jc w:val="both"/>
        <w:rPr>
          <w:rFonts w:ascii="Times New Roman" w:hAnsi="Times New Roman" w:cs="Times New Roman"/>
          <w:sz w:val="28"/>
          <w:szCs w:val="28"/>
        </w:rPr>
      </w:pPr>
    </w:p>
    <w:p w14:paraId="11AC3472" w14:textId="2DF68FA2" w:rsidR="00DA175D" w:rsidRPr="00567437" w:rsidRDefault="0074309F" w:rsidP="00E27164">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Isto significa que é necessário identificar outro instrumento de auxílio judiciário mútuo potencialmente aplicável a ambos os EM. O Artigo 7.º da Convenção Europeia de Auxílio Judiciário Mútuo em Matéria Penal (Convenção de 1959) prevê a notificação de escritos e registos de sentenças judiciais – Aparição de testemunhas, peritos e arguidos. É necessário verificar se este instrumento jurídico se encontra em vigor em ambos os EM.</w:t>
      </w:r>
    </w:p>
    <w:p w14:paraId="1664B19D" w14:textId="77777777" w:rsidR="00DA175D" w:rsidRPr="00567437" w:rsidRDefault="0074309F" w:rsidP="00E27164">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Tal como mencionado na alínea e), acede-se ao sítio Web do Serviço de Tratados do Conselho da Europa e procuram-se as assinaturas e ratificações da Convenção de 1959. </w:t>
      </w:r>
    </w:p>
    <w:p w14:paraId="53F4AF00" w14:textId="66F10D52" w:rsidR="00DA175D" w:rsidRPr="00567437" w:rsidRDefault="0074309F" w:rsidP="00E27164">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Abaixo, constata-se que a Convenção de 1959 se encontra em vigor em ambos os EM. Contudo, a autoridade judiciária irlandesa necessita de verificar as Reservas (R) e as Declarações (D) feita pela Grécia em relação à aplicação de algumas das disposições da Convenção de 1959. Ao analisar as Reservas feitas pela Grécia, verifica-se que </w:t>
      </w:r>
      <w:r w:rsidRPr="00567437">
        <w:rPr>
          <w:rFonts w:ascii="Times New Roman" w:hAnsi="Times New Roman" w:cs="Times New Roman"/>
          <w:sz w:val="28"/>
          <w:szCs w:val="28"/>
          <w:u w:val="single"/>
        </w:rPr>
        <w:t>nenhuma</w:t>
      </w:r>
      <w:r w:rsidRPr="00567437">
        <w:rPr>
          <w:rFonts w:ascii="Times New Roman" w:hAnsi="Times New Roman" w:cs="Times New Roman"/>
          <w:sz w:val="28"/>
          <w:szCs w:val="28"/>
        </w:rPr>
        <w:t xml:space="preserve"> delas diz respeito à aplicação do Artigo 7.º da Convenção de 1959.</w:t>
      </w:r>
    </w:p>
    <w:p w14:paraId="6CEA78D3" w14:textId="246530A4" w:rsidR="00DA175D" w:rsidRPr="00567437" w:rsidRDefault="0074309F" w:rsidP="00DA175D">
      <w:pPr>
        <w:spacing w:after="0" w:line="240" w:lineRule="auto"/>
        <w:jc w:val="both"/>
        <w:rPr>
          <w:rFonts w:ascii="Times New Roman" w:hAnsi="Times New Roman" w:cs="Times New Roman"/>
          <w:sz w:val="28"/>
          <w:szCs w:val="28"/>
        </w:rPr>
      </w:pPr>
      <w:r w:rsidRPr="00567437">
        <w:drawing>
          <wp:inline distT="0" distB="0" distL="0" distR="0">
            <wp:extent cx="5734050" cy="119062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71071" name="Picture 2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734050" cy="1190625"/>
                    </a:xfrm>
                    <a:prstGeom prst="rect">
                      <a:avLst/>
                    </a:prstGeom>
                    <a:noFill/>
                    <a:ln>
                      <a:noFill/>
                    </a:ln>
                  </pic:spPr>
                </pic:pic>
              </a:graphicData>
            </a:graphic>
          </wp:inline>
        </w:drawing>
      </w:r>
    </w:p>
    <w:p w14:paraId="385BA26F" w14:textId="2E736081" w:rsidR="00476AE8" w:rsidRPr="00567437" w:rsidRDefault="00F71519" w:rsidP="0074607F">
      <w:pPr>
        <w:spacing w:line="240" w:lineRule="auto"/>
        <w:jc w:val="both"/>
        <w:rPr>
          <w:rFonts w:ascii="Times New Roman" w:hAnsi="Times New Roman" w:cs="Times New Roman"/>
          <w:sz w:val="28"/>
          <w:szCs w:val="28"/>
        </w:rPr>
      </w:pPr>
    </w:p>
    <w:p w14:paraId="1B4A0916" w14:textId="41B35D34" w:rsidR="00476AE8" w:rsidRPr="00567437" w:rsidRDefault="0074309F" w:rsidP="00676758">
      <w:pPr>
        <w:pStyle w:val="PargrafodaLista"/>
        <w:numPr>
          <w:ilvl w:val="0"/>
          <w:numId w:val="1"/>
        </w:numPr>
        <w:spacing w:after="0" w:line="240" w:lineRule="auto"/>
        <w:jc w:val="both"/>
        <w:rPr>
          <w:rFonts w:ascii="Times New Roman" w:hAnsi="Times New Roman" w:cs="Times New Roman"/>
          <w:i/>
          <w:color w:val="000000" w:themeColor="text1"/>
          <w:sz w:val="28"/>
          <w:szCs w:val="28"/>
        </w:rPr>
      </w:pPr>
      <w:r w:rsidRPr="00567437">
        <w:rPr>
          <w:rFonts w:ascii="Times New Roman" w:hAnsi="Times New Roman" w:cs="Times New Roman"/>
          <w:i/>
          <w:iCs/>
          <w:color w:val="000000" w:themeColor="text1"/>
          <w:sz w:val="28"/>
          <w:szCs w:val="28"/>
        </w:rPr>
        <w:t>Uma autoridade judiciária romena quer ouvir por videoconferência uma testemunha na Geórgia. Que instrumento jurídico deve utilizar?</w:t>
      </w:r>
    </w:p>
    <w:p w14:paraId="0440B6D9" w14:textId="77777777" w:rsidR="00676758" w:rsidRPr="00567437" w:rsidRDefault="00F71519" w:rsidP="00676758">
      <w:pPr>
        <w:pStyle w:val="PargrafodaLista"/>
        <w:spacing w:after="0" w:line="240" w:lineRule="auto"/>
        <w:jc w:val="both"/>
        <w:rPr>
          <w:rFonts w:ascii="Times New Roman" w:hAnsi="Times New Roman" w:cs="Times New Roman"/>
          <w:i/>
          <w:color w:val="000000" w:themeColor="text1"/>
          <w:sz w:val="28"/>
          <w:szCs w:val="28"/>
        </w:rPr>
      </w:pPr>
    </w:p>
    <w:p w14:paraId="5CA9AF37" w14:textId="4898E9F7" w:rsidR="00876B6E" w:rsidRPr="00567437" w:rsidRDefault="0074309F" w:rsidP="000649D5">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Uma medida de investigação Diretiva/41 não é aplicável, visto que a Geórgia não é um membro da União Europeia. Assim, é necessário dirigir novamente a nossa atenção para o sítio Web do Serviço de Tratados – Conselho da Europa.</w:t>
      </w:r>
    </w:p>
    <w:p w14:paraId="55873943" w14:textId="2D548724" w:rsidR="00876B6E" w:rsidRPr="00567437" w:rsidRDefault="0074309F" w:rsidP="00876B6E">
      <w:pPr>
        <w:spacing w:after="0" w:line="240" w:lineRule="auto"/>
        <w:jc w:val="both"/>
        <w:rPr>
          <w:rFonts w:ascii="Times New Roman" w:hAnsi="Times New Roman" w:cs="Times New Roman"/>
          <w:sz w:val="28"/>
          <w:szCs w:val="28"/>
        </w:rPr>
      </w:pPr>
      <w:r w:rsidRPr="00567437">
        <w:rPr>
          <w:rFonts w:ascii="Times New Roman" w:hAnsi="Times New Roman"/>
          <w:sz w:val="28"/>
          <w:szCs w:val="28"/>
        </w:rPr>
        <w:t xml:space="preserve">A audição por videoconferência de uma testemunha está prevista no Artigo 9.º do </w:t>
      </w:r>
      <w:hyperlink r:id="rId33" w:history="1">
        <w:r w:rsidRPr="00567437">
          <w:rPr>
            <w:rStyle w:val="Hiperligao"/>
            <w:rFonts w:ascii="Times New Roman" w:hAnsi="Times New Roman" w:cs="Times New Roman"/>
            <w:sz w:val="28"/>
            <w:szCs w:val="28"/>
          </w:rPr>
          <w:t>Segundo Protocolo Adicional à Convenção de 1959 (Tratado n.º 182 – Estrasburgo, 08/11/2001)</w:t>
        </w:r>
      </w:hyperlink>
      <w:r w:rsidRPr="00567437">
        <w:rPr>
          <w:rFonts w:ascii="Times New Roman" w:hAnsi="Times New Roman"/>
          <w:sz w:val="28"/>
          <w:szCs w:val="28"/>
        </w:rPr>
        <w:t xml:space="preserve">. Constata-se que este Segundo Protocolo Adicional se encontra em vigor tanto na </w:t>
      </w:r>
      <w:r w:rsidRPr="00567437">
        <w:rPr>
          <w:rFonts w:ascii="Times New Roman" w:hAnsi="Times New Roman"/>
          <w:b/>
          <w:bCs/>
          <w:sz w:val="28"/>
          <w:szCs w:val="28"/>
        </w:rPr>
        <w:t>Roménia</w:t>
      </w:r>
      <w:r w:rsidRPr="00567437">
        <w:rPr>
          <w:rFonts w:ascii="Times New Roman" w:hAnsi="Times New Roman"/>
          <w:sz w:val="28"/>
          <w:szCs w:val="28"/>
        </w:rPr>
        <w:t xml:space="preserve"> como na </w:t>
      </w:r>
      <w:r w:rsidRPr="00567437">
        <w:rPr>
          <w:rFonts w:ascii="Times New Roman" w:hAnsi="Times New Roman"/>
          <w:b/>
          <w:bCs/>
          <w:sz w:val="28"/>
          <w:szCs w:val="28"/>
        </w:rPr>
        <w:t>Geórgia</w:t>
      </w:r>
      <w:r w:rsidRPr="00567437">
        <w:rPr>
          <w:rFonts w:ascii="Times New Roman" w:hAnsi="Times New Roman"/>
          <w:sz w:val="28"/>
          <w:szCs w:val="28"/>
        </w:rPr>
        <w:t>, pelo que este protocolo é o instrumento jurídico para o AJM entre os dois países.</w:t>
      </w:r>
    </w:p>
    <w:p w14:paraId="3FACA2D8" w14:textId="5CDA1259" w:rsidR="00876B6E" w:rsidRPr="00567437" w:rsidRDefault="0074309F" w:rsidP="00876B6E">
      <w:pPr>
        <w:spacing w:after="0" w:line="240" w:lineRule="auto"/>
        <w:jc w:val="both"/>
        <w:rPr>
          <w:rFonts w:ascii="Times New Roman" w:hAnsi="Times New Roman" w:cs="Times New Roman"/>
          <w:sz w:val="28"/>
          <w:szCs w:val="28"/>
        </w:rPr>
      </w:pPr>
      <w:r w:rsidRPr="00567437">
        <w:lastRenderedPageBreak/>
        <w:drawing>
          <wp:inline distT="0" distB="0" distL="0" distR="0">
            <wp:extent cx="5734050" cy="65722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30808" name="Picture 2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34050" cy="657225"/>
                    </a:xfrm>
                    <a:prstGeom prst="rect">
                      <a:avLst/>
                    </a:prstGeom>
                    <a:noFill/>
                    <a:ln>
                      <a:noFill/>
                    </a:ln>
                  </pic:spPr>
                </pic:pic>
              </a:graphicData>
            </a:graphic>
          </wp:inline>
        </w:drawing>
      </w:r>
    </w:p>
    <w:p w14:paraId="5CF01AB3" w14:textId="77777777" w:rsidR="00876B6E" w:rsidRPr="00567437" w:rsidRDefault="00F71519" w:rsidP="00876B6E">
      <w:pPr>
        <w:spacing w:after="0" w:line="240" w:lineRule="auto"/>
        <w:jc w:val="both"/>
        <w:rPr>
          <w:rFonts w:ascii="Times New Roman" w:hAnsi="Times New Roman" w:cs="Times New Roman"/>
          <w:sz w:val="28"/>
          <w:szCs w:val="28"/>
        </w:rPr>
      </w:pPr>
    </w:p>
    <w:p w14:paraId="023D23E4" w14:textId="1ABA9E9F" w:rsidR="00876B6E" w:rsidRPr="00567437" w:rsidRDefault="0074309F" w:rsidP="00876B6E">
      <w:pPr>
        <w:spacing w:after="0" w:line="240" w:lineRule="auto"/>
        <w:jc w:val="both"/>
        <w:rPr>
          <w:rFonts w:ascii="Times New Roman" w:hAnsi="Times New Roman" w:cs="Times New Roman"/>
          <w:sz w:val="28"/>
          <w:szCs w:val="28"/>
        </w:rPr>
      </w:pPr>
      <w:r w:rsidRPr="00567437">
        <w:drawing>
          <wp:inline distT="0" distB="0" distL="0" distR="0">
            <wp:extent cx="5724525" cy="67627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64392" name="Picture 25"/>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724525" cy="676275"/>
                    </a:xfrm>
                    <a:prstGeom prst="rect">
                      <a:avLst/>
                    </a:prstGeom>
                    <a:noFill/>
                    <a:ln>
                      <a:noFill/>
                    </a:ln>
                  </pic:spPr>
                </pic:pic>
              </a:graphicData>
            </a:graphic>
          </wp:inline>
        </w:drawing>
      </w:r>
    </w:p>
    <w:p w14:paraId="7E9693A7" w14:textId="77777777" w:rsidR="00876B6E" w:rsidRPr="00567437" w:rsidRDefault="00F71519" w:rsidP="00876B6E">
      <w:pPr>
        <w:spacing w:after="0" w:line="240" w:lineRule="auto"/>
        <w:jc w:val="both"/>
        <w:rPr>
          <w:rFonts w:ascii="Times New Roman" w:hAnsi="Times New Roman" w:cs="Times New Roman"/>
          <w:sz w:val="28"/>
          <w:szCs w:val="28"/>
        </w:rPr>
      </w:pPr>
    </w:p>
    <w:p w14:paraId="6230085E" w14:textId="1ED144D3" w:rsidR="00876B6E" w:rsidRPr="00567437" w:rsidRDefault="0074309F" w:rsidP="00876B6E">
      <w:pPr>
        <w:spacing w:after="0" w:line="240" w:lineRule="auto"/>
        <w:jc w:val="both"/>
        <w:rPr>
          <w:rFonts w:ascii="Times New Roman" w:hAnsi="Times New Roman" w:cs="Times New Roman"/>
          <w:sz w:val="28"/>
          <w:szCs w:val="28"/>
        </w:rPr>
      </w:pPr>
      <w:bookmarkStart w:id="5" w:name="_Hlk53755274"/>
      <w:r w:rsidRPr="00567437">
        <w:rPr>
          <w:rFonts w:ascii="Times New Roman" w:hAnsi="Times New Roman" w:cs="Times New Roman"/>
          <w:sz w:val="28"/>
          <w:szCs w:val="28"/>
        </w:rPr>
        <w:t xml:space="preserve">Contudo, a autoridade judiciária romena deve verificar as Reservas (R) e as Declarações (D) feitas pela Geórgia em relação à aplicação de algumas das disposições do Segundo Protocolo Adicional à Convenção de 1959. </w:t>
      </w:r>
      <w:bookmarkEnd w:id="5"/>
      <w:r w:rsidRPr="00567437">
        <w:rPr>
          <w:rFonts w:ascii="Times New Roman" w:hAnsi="Times New Roman" w:cs="Times New Roman"/>
          <w:sz w:val="28"/>
          <w:szCs w:val="28"/>
        </w:rPr>
        <w:t xml:space="preserve">Ao verificá-las, nota-se que </w:t>
      </w:r>
      <w:r w:rsidRPr="00567437">
        <w:rPr>
          <w:rFonts w:ascii="Times New Roman" w:hAnsi="Times New Roman" w:cs="Times New Roman"/>
          <w:sz w:val="28"/>
          <w:szCs w:val="28"/>
          <w:u w:val="single"/>
        </w:rPr>
        <w:t xml:space="preserve">nenhuma </w:t>
      </w:r>
      <w:r w:rsidRPr="00567437">
        <w:rPr>
          <w:rFonts w:ascii="Times New Roman" w:hAnsi="Times New Roman" w:cs="Times New Roman"/>
          <w:sz w:val="28"/>
          <w:szCs w:val="28"/>
        </w:rPr>
        <w:t>diz respeito à aplicação do Artigo 9.º do Segundo Protocolo Adicional à Convenção de 1959.</w:t>
      </w:r>
    </w:p>
    <w:p w14:paraId="1C29CD68" w14:textId="65A4FF1A" w:rsidR="00476AE8" w:rsidRPr="00567437" w:rsidRDefault="00F71519" w:rsidP="0074607F">
      <w:pPr>
        <w:spacing w:line="240" w:lineRule="auto"/>
        <w:jc w:val="both"/>
        <w:rPr>
          <w:rFonts w:ascii="Times New Roman" w:hAnsi="Times New Roman" w:cs="Times New Roman"/>
          <w:sz w:val="28"/>
          <w:szCs w:val="28"/>
        </w:rPr>
      </w:pPr>
    </w:p>
    <w:p w14:paraId="7D89259B" w14:textId="5D4A16D6" w:rsidR="00876B6E" w:rsidRPr="00567437" w:rsidRDefault="0074309F" w:rsidP="00FB3E9B">
      <w:pPr>
        <w:spacing w:after="0" w:line="240" w:lineRule="auto"/>
        <w:jc w:val="both"/>
        <w:rPr>
          <w:rFonts w:ascii="Times New Roman" w:hAnsi="Times New Roman" w:cs="Times New Roman"/>
          <w:i/>
          <w:color w:val="000000" w:themeColor="text1"/>
          <w:sz w:val="28"/>
          <w:szCs w:val="28"/>
        </w:rPr>
      </w:pPr>
      <w:r w:rsidRPr="00567437">
        <w:rPr>
          <w:rFonts w:ascii="Times New Roman" w:hAnsi="Times New Roman" w:cs="Times New Roman"/>
          <w:i/>
          <w:iCs/>
          <w:color w:val="000000" w:themeColor="text1"/>
          <w:sz w:val="28"/>
          <w:szCs w:val="28"/>
        </w:rPr>
        <w:t>8. A autoridade judiciária búlgara quer convocar uma testemunha na Noruega. Que instrumento jurídico deve utilizar?</w:t>
      </w:r>
    </w:p>
    <w:p w14:paraId="05DB6510" w14:textId="77777777" w:rsidR="00876B6E" w:rsidRPr="00567437" w:rsidRDefault="00F71519" w:rsidP="0074607F">
      <w:pPr>
        <w:spacing w:line="240" w:lineRule="auto"/>
        <w:jc w:val="both"/>
        <w:rPr>
          <w:rFonts w:ascii="Times New Roman" w:hAnsi="Times New Roman" w:cs="Times New Roman"/>
          <w:sz w:val="28"/>
          <w:szCs w:val="28"/>
        </w:rPr>
      </w:pPr>
    </w:p>
    <w:p w14:paraId="4A405775" w14:textId="026EF768" w:rsidR="00876B6E" w:rsidRPr="00567437" w:rsidRDefault="0074309F" w:rsidP="00430CB8">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A primeira coisa a considerar é que a Diretiva 2014/41 relativa à DEI não é aplicável a este caso particular.</w:t>
      </w:r>
    </w:p>
    <w:p w14:paraId="3DA85EF7" w14:textId="44F631ED" w:rsidR="00FB3E9B" w:rsidRPr="00567437" w:rsidRDefault="0074309F" w:rsidP="00C1785B">
      <w:pPr>
        <w:spacing w:line="240" w:lineRule="auto"/>
        <w:jc w:val="both"/>
        <w:rPr>
          <w:rFonts w:ascii="Times New Roman" w:hAnsi="Times New Roman" w:cs="Times New Roman"/>
          <w:sz w:val="28"/>
          <w:szCs w:val="28"/>
        </w:rPr>
      </w:pPr>
      <w:r w:rsidRPr="00567437">
        <w:rPr>
          <w:rFonts w:ascii="Times New Roman" w:hAnsi="Times New Roman"/>
          <w:sz w:val="28"/>
          <w:szCs w:val="28"/>
        </w:rPr>
        <w:t xml:space="preserve">Em seguida, embora a Noruega não seja um membro da União Europeia, algumas disposições da Convenção de 2000 ainda são aplicáveis em relação à Noruega e à Islândia com a UE, nos termos do </w:t>
      </w:r>
      <w:hyperlink r:id="rId36" w:history="1">
        <w:r w:rsidRPr="00567437">
          <w:rPr>
            <w:rStyle w:val="Hiperligao"/>
            <w:rFonts w:ascii="Times New Roman" w:hAnsi="Times New Roman" w:cs="Times New Roman"/>
            <w:b/>
            <w:bCs/>
            <w:sz w:val="28"/>
            <w:szCs w:val="28"/>
          </w:rPr>
          <w:t>Acordo</w:t>
        </w:r>
        <w:r w:rsidRPr="00567437">
          <w:rPr>
            <w:rStyle w:val="Hiperligao"/>
            <w:rFonts w:ascii="Times New Roman" w:hAnsi="Times New Roman" w:cs="Times New Roman"/>
            <w:sz w:val="28"/>
            <w:szCs w:val="28"/>
          </w:rPr>
          <w:t xml:space="preserve"> entre a União Europeia e a República da Islândia e o Reino da Noruega relativo à aplicação de determinadas disposições da Convenção de 29 de Maio de 2000 relativa ao Auxílio Judiciário Mútuo em Matéria Penal entre os Estados-Membros da União Europeia e o respetivo Protocolo de 2001</w:t>
        </w:r>
      </w:hyperlink>
      <w:r w:rsidRPr="00567437">
        <w:rPr>
          <w:rFonts w:ascii="Times New Roman" w:hAnsi="Times New Roman"/>
          <w:sz w:val="28"/>
          <w:szCs w:val="28"/>
        </w:rPr>
        <w:t>.</w:t>
      </w:r>
    </w:p>
    <w:p w14:paraId="162CCF52" w14:textId="4DABFB6B" w:rsidR="00476AE8" w:rsidRPr="00567437" w:rsidRDefault="0074309F" w:rsidP="00876B6E">
      <w:pPr>
        <w:spacing w:after="0" w:line="240" w:lineRule="auto"/>
        <w:jc w:val="both"/>
        <w:rPr>
          <w:rFonts w:ascii="Times New Roman" w:hAnsi="Times New Roman" w:cs="Times New Roman"/>
          <w:sz w:val="28"/>
          <w:szCs w:val="28"/>
        </w:rPr>
      </w:pPr>
      <w:r w:rsidRPr="00567437">
        <w:drawing>
          <wp:inline distT="0" distB="0" distL="0" distR="0">
            <wp:extent cx="4257675" cy="2219325"/>
            <wp:effectExtent l="0" t="0" r="9525"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59513" name="Picture 2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257675" cy="2219325"/>
                    </a:xfrm>
                    <a:prstGeom prst="rect">
                      <a:avLst/>
                    </a:prstGeom>
                    <a:noFill/>
                    <a:ln>
                      <a:noFill/>
                    </a:ln>
                  </pic:spPr>
                </pic:pic>
              </a:graphicData>
            </a:graphic>
          </wp:inline>
        </w:drawing>
      </w:r>
    </w:p>
    <w:p w14:paraId="327144E0" w14:textId="41C5E54A" w:rsidR="00876B6E" w:rsidRPr="00567437" w:rsidRDefault="0074309F" w:rsidP="00C1785B">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Verifica-se que o Artigo 5.º relativo ao envio de peças processuais </w:t>
      </w:r>
      <w:r w:rsidRPr="00567437">
        <w:rPr>
          <w:rFonts w:ascii="Times New Roman" w:hAnsi="Times New Roman" w:cs="Times New Roman"/>
          <w:sz w:val="28"/>
          <w:szCs w:val="28"/>
          <w:u w:val="single"/>
        </w:rPr>
        <w:t>não é mencionado no n.º 2 do Artigo 1.º do Acordo</w:t>
      </w:r>
      <w:r w:rsidRPr="00567437">
        <w:rPr>
          <w:rFonts w:ascii="Times New Roman" w:hAnsi="Times New Roman" w:cs="Times New Roman"/>
          <w:sz w:val="28"/>
          <w:szCs w:val="28"/>
        </w:rPr>
        <w:t xml:space="preserve"> acima mencionado, o que significa </w:t>
      </w:r>
      <w:r w:rsidRPr="00567437">
        <w:rPr>
          <w:rFonts w:ascii="Times New Roman" w:hAnsi="Times New Roman" w:cs="Times New Roman"/>
          <w:sz w:val="28"/>
          <w:szCs w:val="28"/>
        </w:rPr>
        <w:lastRenderedPageBreak/>
        <w:t>que a Convenção de 2000 não será o instrumento jurídico para o AJM entre os dois países.</w:t>
      </w:r>
    </w:p>
    <w:p w14:paraId="3E6C1865" w14:textId="1A0C2675" w:rsidR="00876B6E" w:rsidRPr="00567437" w:rsidRDefault="0074309F" w:rsidP="00876B6E">
      <w:pPr>
        <w:spacing w:after="0" w:line="240" w:lineRule="auto"/>
        <w:jc w:val="both"/>
        <w:rPr>
          <w:rFonts w:ascii="Times New Roman" w:hAnsi="Times New Roman" w:cs="Times New Roman"/>
          <w:sz w:val="28"/>
          <w:szCs w:val="28"/>
        </w:rPr>
      </w:pPr>
      <w:r w:rsidRPr="00567437">
        <w:rPr>
          <w:rFonts w:ascii="Times New Roman" w:hAnsi="Times New Roman" w:cs="Times New Roman"/>
          <w:sz w:val="28"/>
          <w:szCs w:val="28"/>
        </w:rPr>
        <w:t>Recorda-se que o Artigo 7.º da Convenção de 1959 diz respeito ao envio de peças processuais, pelo que lhe daremos a nossa atenção. Constata-se que a Convenção de 1959 se encontra em vigor em ambos os países. Contudo, a autoridade judiciária búlgara necessita de verificar as Reservas (R) e as Declarações (D) feita pela Noruega em relação à aplicação de algumas das disposições da Convenção de 1959.</w:t>
      </w:r>
    </w:p>
    <w:p w14:paraId="53F0BE6C" w14:textId="77777777" w:rsidR="00876B6E" w:rsidRPr="00567437" w:rsidRDefault="00F71519" w:rsidP="00876B6E">
      <w:pPr>
        <w:spacing w:after="0" w:line="240" w:lineRule="auto"/>
        <w:jc w:val="both"/>
        <w:rPr>
          <w:rFonts w:ascii="Times New Roman" w:hAnsi="Times New Roman" w:cs="Times New Roman"/>
          <w:sz w:val="28"/>
          <w:szCs w:val="28"/>
        </w:rPr>
      </w:pPr>
    </w:p>
    <w:p w14:paraId="55C60602" w14:textId="3C4C141A" w:rsidR="00876B6E" w:rsidRPr="00567437" w:rsidRDefault="0074309F" w:rsidP="00876B6E">
      <w:pPr>
        <w:spacing w:after="0" w:line="240" w:lineRule="auto"/>
        <w:jc w:val="both"/>
        <w:rPr>
          <w:rFonts w:ascii="Times New Roman" w:hAnsi="Times New Roman" w:cs="Times New Roman"/>
          <w:sz w:val="28"/>
          <w:szCs w:val="28"/>
        </w:rPr>
      </w:pPr>
      <w:r w:rsidRPr="00567437">
        <w:drawing>
          <wp:inline distT="0" distB="0" distL="0" distR="0">
            <wp:extent cx="5734050" cy="7048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61445" name="Picture 28"/>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734050" cy="704850"/>
                    </a:xfrm>
                    <a:prstGeom prst="rect">
                      <a:avLst/>
                    </a:prstGeom>
                    <a:noFill/>
                    <a:ln>
                      <a:noFill/>
                    </a:ln>
                  </pic:spPr>
                </pic:pic>
              </a:graphicData>
            </a:graphic>
          </wp:inline>
        </w:drawing>
      </w:r>
    </w:p>
    <w:p w14:paraId="28E14D39" w14:textId="77777777" w:rsidR="00876B6E" w:rsidRPr="00567437" w:rsidRDefault="00F71519" w:rsidP="00876B6E">
      <w:pPr>
        <w:spacing w:after="0" w:line="240" w:lineRule="auto"/>
        <w:jc w:val="both"/>
        <w:rPr>
          <w:rFonts w:ascii="Times New Roman" w:hAnsi="Times New Roman" w:cs="Times New Roman"/>
          <w:sz w:val="28"/>
          <w:szCs w:val="28"/>
        </w:rPr>
      </w:pPr>
    </w:p>
    <w:p w14:paraId="665C5D05" w14:textId="20B1C784" w:rsidR="00876B6E" w:rsidRPr="00567437" w:rsidRDefault="0074309F" w:rsidP="00876B6E">
      <w:pPr>
        <w:spacing w:after="0" w:line="240" w:lineRule="auto"/>
        <w:jc w:val="both"/>
        <w:rPr>
          <w:rFonts w:ascii="Times New Roman" w:hAnsi="Times New Roman" w:cs="Times New Roman"/>
          <w:sz w:val="28"/>
          <w:szCs w:val="28"/>
        </w:rPr>
      </w:pPr>
      <w:r w:rsidRPr="00567437">
        <w:drawing>
          <wp:inline distT="0" distB="0" distL="0" distR="0">
            <wp:extent cx="5734050" cy="6477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13581" name="Picture 29"/>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734050" cy="647700"/>
                    </a:xfrm>
                    <a:prstGeom prst="rect">
                      <a:avLst/>
                    </a:prstGeom>
                    <a:noFill/>
                    <a:ln>
                      <a:noFill/>
                    </a:ln>
                  </pic:spPr>
                </pic:pic>
              </a:graphicData>
            </a:graphic>
          </wp:inline>
        </w:drawing>
      </w:r>
    </w:p>
    <w:p w14:paraId="00697671" w14:textId="77777777" w:rsidR="00876B6E" w:rsidRPr="00567437" w:rsidRDefault="00F71519" w:rsidP="00876B6E">
      <w:pPr>
        <w:spacing w:after="0" w:line="240" w:lineRule="auto"/>
        <w:jc w:val="both"/>
        <w:rPr>
          <w:rFonts w:ascii="Times New Roman" w:hAnsi="Times New Roman" w:cs="Times New Roman"/>
          <w:sz w:val="28"/>
          <w:szCs w:val="28"/>
        </w:rPr>
      </w:pPr>
    </w:p>
    <w:p w14:paraId="125E3DEB" w14:textId="53A486CB" w:rsidR="00876B6E" w:rsidRPr="00567437" w:rsidRDefault="0074309F" w:rsidP="00876B6E">
      <w:pPr>
        <w:spacing w:after="0" w:line="240" w:lineRule="auto"/>
        <w:jc w:val="both"/>
        <w:rPr>
          <w:rFonts w:ascii="Times New Roman" w:hAnsi="Times New Roman" w:cs="Times New Roman"/>
          <w:sz w:val="28"/>
          <w:szCs w:val="28"/>
        </w:rPr>
      </w:pPr>
      <w:r w:rsidRPr="00567437">
        <w:rPr>
          <w:rFonts w:ascii="Times New Roman" w:hAnsi="Times New Roman" w:cs="Times New Roman"/>
          <w:sz w:val="28"/>
          <w:szCs w:val="28"/>
        </w:rPr>
        <w:t>Seguem-se as Reservas e Declarações feitas pela Noruega à Convenção de 1959, relativamente à aplicação do Artigo 7.º.</w:t>
      </w:r>
    </w:p>
    <w:p w14:paraId="1E157271" w14:textId="4BFC82C8" w:rsidR="00876B6E" w:rsidRPr="00567437" w:rsidRDefault="0074309F" w:rsidP="00876B6E">
      <w:pPr>
        <w:spacing w:after="0" w:line="240" w:lineRule="auto"/>
        <w:jc w:val="both"/>
        <w:rPr>
          <w:rFonts w:ascii="Times New Roman" w:hAnsi="Times New Roman" w:cs="Times New Roman"/>
          <w:sz w:val="28"/>
          <w:szCs w:val="28"/>
        </w:rPr>
      </w:pPr>
      <w:r w:rsidRPr="00567437">
        <w:drawing>
          <wp:inline distT="0" distB="0" distL="0" distR="0">
            <wp:extent cx="5724525" cy="1190625"/>
            <wp:effectExtent l="0" t="0" r="9525"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05547"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724525" cy="1190625"/>
                    </a:xfrm>
                    <a:prstGeom prst="rect">
                      <a:avLst/>
                    </a:prstGeom>
                    <a:noFill/>
                    <a:ln>
                      <a:noFill/>
                    </a:ln>
                  </pic:spPr>
                </pic:pic>
              </a:graphicData>
            </a:graphic>
          </wp:inline>
        </w:drawing>
      </w:r>
    </w:p>
    <w:p w14:paraId="37D414D8" w14:textId="74F7B499" w:rsidR="00876B6E" w:rsidRPr="00567437" w:rsidRDefault="0074309F" w:rsidP="00876B6E">
      <w:pPr>
        <w:spacing w:after="0" w:line="240" w:lineRule="auto"/>
        <w:jc w:val="both"/>
        <w:rPr>
          <w:rFonts w:ascii="Times New Roman" w:hAnsi="Times New Roman" w:cs="Times New Roman"/>
          <w:sz w:val="28"/>
          <w:szCs w:val="28"/>
        </w:rPr>
      </w:pPr>
      <w:r w:rsidRPr="00567437">
        <w:drawing>
          <wp:inline distT="0" distB="0" distL="0" distR="0">
            <wp:extent cx="5724525" cy="287655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98416" name="Picture 3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724525" cy="2876550"/>
                    </a:xfrm>
                    <a:prstGeom prst="rect">
                      <a:avLst/>
                    </a:prstGeom>
                    <a:noFill/>
                    <a:ln>
                      <a:noFill/>
                    </a:ln>
                  </pic:spPr>
                </pic:pic>
              </a:graphicData>
            </a:graphic>
          </wp:inline>
        </w:drawing>
      </w:r>
    </w:p>
    <w:p w14:paraId="6CA99C92" w14:textId="41E88334" w:rsidR="00876B6E" w:rsidRPr="00567437" w:rsidRDefault="00F71519" w:rsidP="0074607F">
      <w:pPr>
        <w:spacing w:line="240" w:lineRule="auto"/>
        <w:jc w:val="both"/>
        <w:rPr>
          <w:rFonts w:ascii="Times New Roman" w:hAnsi="Times New Roman" w:cs="Times New Roman"/>
          <w:sz w:val="28"/>
          <w:szCs w:val="28"/>
        </w:rPr>
      </w:pPr>
    </w:p>
    <w:p w14:paraId="5D47713A" w14:textId="69D3E93E" w:rsidR="00876B6E" w:rsidRPr="00567437" w:rsidRDefault="0074309F" w:rsidP="00FB3E9B">
      <w:pPr>
        <w:spacing w:after="0" w:line="240" w:lineRule="auto"/>
        <w:jc w:val="both"/>
        <w:rPr>
          <w:rFonts w:ascii="Times New Roman" w:hAnsi="Times New Roman" w:cs="Times New Roman"/>
          <w:i/>
          <w:color w:val="000000" w:themeColor="text1"/>
          <w:sz w:val="28"/>
          <w:szCs w:val="28"/>
        </w:rPr>
      </w:pPr>
      <w:r w:rsidRPr="00567437">
        <w:rPr>
          <w:rFonts w:ascii="Times New Roman" w:hAnsi="Times New Roman" w:cs="Times New Roman"/>
          <w:i/>
          <w:iCs/>
          <w:color w:val="000000" w:themeColor="text1"/>
          <w:sz w:val="28"/>
          <w:szCs w:val="28"/>
        </w:rPr>
        <w:lastRenderedPageBreak/>
        <w:t>9. Uma autoridade judiciária alemã quer ouvir, por videoconferência, uma testemunha na Suíça. Que instrumento jurídico deve utilizar?</w:t>
      </w:r>
    </w:p>
    <w:p w14:paraId="0FFE269A" w14:textId="59D906C5" w:rsidR="00876B6E" w:rsidRPr="00567437" w:rsidRDefault="00F71519" w:rsidP="0074607F">
      <w:pPr>
        <w:spacing w:line="240" w:lineRule="auto"/>
        <w:jc w:val="both"/>
        <w:rPr>
          <w:rFonts w:ascii="Times New Roman" w:hAnsi="Times New Roman" w:cs="Times New Roman"/>
          <w:sz w:val="28"/>
          <w:szCs w:val="28"/>
        </w:rPr>
      </w:pPr>
    </w:p>
    <w:p w14:paraId="3453FAB7" w14:textId="1E03C9F0" w:rsidR="00876B6E" w:rsidRPr="00567437" w:rsidRDefault="0074309F" w:rsidP="00C1785B">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A primeira coisa a considerar é que a Diretiva 2014/41 relativa à DEI não é aplicável a este caso particular.</w:t>
      </w:r>
    </w:p>
    <w:p w14:paraId="14C61E04" w14:textId="77777777" w:rsidR="00876B6E" w:rsidRPr="00567437" w:rsidRDefault="0074309F" w:rsidP="00C1785B">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Em segundo lugar, a Convenção de 2000 também não é aplicável.</w:t>
      </w:r>
    </w:p>
    <w:p w14:paraId="0F7A49A3" w14:textId="07E7AAEA" w:rsidR="00876B6E" w:rsidRPr="00567437" w:rsidRDefault="0074309F" w:rsidP="00C1785B">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A audição de uma testemunha por videoconferência está prevista no Artigo 9.º do Segundo Protocolo Adicional à Convenção de 1959 (Tratado n.º 182 – Estrasburgo, 08/11/2001). Abaixo, indica-se a ligação: </w:t>
      </w:r>
    </w:p>
    <w:p w14:paraId="61679EF2" w14:textId="77777777" w:rsidR="00876B6E" w:rsidRPr="00567437" w:rsidRDefault="00F71519" w:rsidP="00C1785B">
      <w:pPr>
        <w:spacing w:line="240" w:lineRule="auto"/>
        <w:jc w:val="both"/>
        <w:rPr>
          <w:rFonts w:ascii="Times New Roman" w:hAnsi="Times New Roman" w:cs="Times New Roman"/>
          <w:sz w:val="28"/>
          <w:szCs w:val="28"/>
        </w:rPr>
      </w:pPr>
      <w:hyperlink r:id="rId42" w:history="1">
        <w:r w:rsidR="0074309F" w:rsidRPr="00567437">
          <w:rPr>
            <w:rStyle w:val="Hiperligao"/>
            <w:rFonts w:ascii="Times New Roman" w:hAnsi="Times New Roman" w:cs="Times New Roman"/>
            <w:sz w:val="28"/>
            <w:szCs w:val="28"/>
          </w:rPr>
          <w:t>https://www.coe.int/en/web/conventions/full-list/-/conventions/treaty/182</w:t>
        </w:r>
      </w:hyperlink>
      <w:r w:rsidR="0074309F" w:rsidRPr="00567437">
        <w:rPr>
          <w:rFonts w:ascii="Times New Roman" w:hAnsi="Times New Roman"/>
          <w:sz w:val="28"/>
          <w:szCs w:val="28"/>
        </w:rPr>
        <w:t xml:space="preserve"> </w:t>
      </w:r>
    </w:p>
    <w:p w14:paraId="24D717B0" w14:textId="4C159107" w:rsidR="00876B6E" w:rsidRPr="00567437" w:rsidRDefault="0074309F" w:rsidP="00C1785B">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Constata-se que este Protocolo se encontra em vigor tanto na </w:t>
      </w:r>
      <w:r w:rsidRPr="00567437">
        <w:rPr>
          <w:rFonts w:ascii="Times New Roman" w:hAnsi="Times New Roman" w:cs="Times New Roman"/>
          <w:b/>
          <w:bCs/>
          <w:sz w:val="28"/>
          <w:szCs w:val="28"/>
        </w:rPr>
        <w:t>Alemanha</w:t>
      </w:r>
      <w:r w:rsidRPr="00567437">
        <w:rPr>
          <w:rFonts w:ascii="Times New Roman" w:hAnsi="Times New Roman" w:cs="Times New Roman"/>
          <w:sz w:val="28"/>
          <w:szCs w:val="28"/>
        </w:rPr>
        <w:t xml:space="preserve"> como na </w:t>
      </w:r>
      <w:r w:rsidRPr="00567437">
        <w:rPr>
          <w:rFonts w:ascii="Times New Roman" w:hAnsi="Times New Roman" w:cs="Times New Roman"/>
          <w:b/>
          <w:bCs/>
          <w:sz w:val="28"/>
          <w:szCs w:val="28"/>
        </w:rPr>
        <w:t>Suíça</w:t>
      </w:r>
      <w:r w:rsidRPr="00567437">
        <w:rPr>
          <w:rFonts w:ascii="Times New Roman" w:hAnsi="Times New Roman" w:cs="Times New Roman"/>
          <w:sz w:val="28"/>
          <w:szCs w:val="28"/>
        </w:rPr>
        <w:t>, pelo que este protocolo é o instrumento jurídico para o AJM entre os dois países.</w:t>
      </w:r>
    </w:p>
    <w:p w14:paraId="6AB48DCE" w14:textId="458C0AB5" w:rsidR="00876B6E" w:rsidRPr="00567437" w:rsidRDefault="0074309F" w:rsidP="00876B6E">
      <w:pPr>
        <w:spacing w:after="0" w:line="240" w:lineRule="auto"/>
        <w:jc w:val="both"/>
        <w:rPr>
          <w:rFonts w:ascii="Times New Roman" w:hAnsi="Times New Roman" w:cs="Times New Roman"/>
          <w:sz w:val="28"/>
          <w:szCs w:val="28"/>
        </w:rPr>
      </w:pPr>
      <w:r w:rsidRPr="00567437">
        <w:drawing>
          <wp:inline distT="0" distB="0" distL="0" distR="0">
            <wp:extent cx="5734050" cy="67627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43653" name="Picture 32"/>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734050" cy="676275"/>
                    </a:xfrm>
                    <a:prstGeom prst="rect">
                      <a:avLst/>
                    </a:prstGeom>
                    <a:noFill/>
                    <a:ln>
                      <a:noFill/>
                    </a:ln>
                  </pic:spPr>
                </pic:pic>
              </a:graphicData>
            </a:graphic>
          </wp:inline>
        </w:drawing>
      </w:r>
    </w:p>
    <w:p w14:paraId="2BB113FE" w14:textId="77777777" w:rsidR="00876B6E" w:rsidRPr="00567437" w:rsidRDefault="00F71519" w:rsidP="00876B6E">
      <w:pPr>
        <w:spacing w:after="0" w:line="240" w:lineRule="auto"/>
        <w:jc w:val="both"/>
        <w:rPr>
          <w:rFonts w:ascii="Times New Roman" w:hAnsi="Times New Roman" w:cs="Times New Roman"/>
          <w:sz w:val="28"/>
          <w:szCs w:val="28"/>
        </w:rPr>
      </w:pPr>
    </w:p>
    <w:p w14:paraId="413B78A1" w14:textId="7269A942" w:rsidR="00876B6E" w:rsidRPr="00567437" w:rsidRDefault="0074309F" w:rsidP="00876B6E">
      <w:pPr>
        <w:spacing w:after="0" w:line="240" w:lineRule="auto"/>
        <w:jc w:val="both"/>
        <w:rPr>
          <w:rFonts w:ascii="Times New Roman" w:hAnsi="Times New Roman" w:cs="Times New Roman"/>
          <w:sz w:val="28"/>
          <w:szCs w:val="28"/>
        </w:rPr>
      </w:pPr>
      <w:r w:rsidRPr="00567437">
        <w:drawing>
          <wp:inline distT="0" distB="0" distL="0" distR="0">
            <wp:extent cx="5724525" cy="647700"/>
            <wp:effectExtent l="0" t="0" r="952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96998" name="Picture 33"/>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724525" cy="647700"/>
                    </a:xfrm>
                    <a:prstGeom prst="rect">
                      <a:avLst/>
                    </a:prstGeom>
                    <a:noFill/>
                    <a:ln>
                      <a:noFill/>
                    </a:ln>
                  </pic:spPr>
                </pic:pic>
              </a:graphicData>
            </a:graphic>
          </wp:inline>
        </w:drawing>
      </w:r>
    </w:p>
    <w:p w14:paraId="1CE786F0" w14:textId="5D94879B" w:rsidR="00876B6E" w:rsidRPr="00567437" w:rsidRDefault="0074309F" w:rsidP="00C1785B">
      <w:pPr>
        <w:spacing w:before="160" w:after="0" w:line="240" w:lineRule="auto"/>
        <w:jc w:val="both"/>
        <w:rPr>
          <w:rFonts w:ascii="Times New Roman" w:hAnsi="Times New Roman" w:cs="Times New Roman"/>
          <w:sz w:val="28"/>
          <w:szCs w:val="28"/>
        </w:rPr>
      </w:pPr>
      <w:r w:rsidRPr="00567437">
        <w:rPr>
          <w:rFonts w:ascii="Times New Roman" w:hAnsi="Times New Roman" w:cs="Times New Roman"/>
          <w:sz w:val="28"/>
          <w:szCs w:val="28"/>
        </w:rPr>
        <w:t>Contudo, a autoridade judiciária alemã deve verificar as Declarações (D) feitas pela Suíça em relação à aplicação de algumas das disposições do Segundo Protocolo Adicional à Convenção de 1959. Ao verificá-las, nota-se que nenhuma diz respeito à aplicação do Artigo 9.º do Segundo Protocolo Adicional à Convenção de 1959.</w:t>
      </w:r>
    </w:p>
    <w:p w14:paraId="79307150" w14:textId="06339B09" w:rsidR="00876B6E" w:rsidRPr="00567437" w:rsidRDefault="0074309F" w:rsidP="00876B6E">
      <w:pPr>
        <w:spacing w:after="0" w:line="240" w:lineRule="auto"/>
        <w:jc w:val="both"/>
        <w:rPr>
          <w:rFonts w:ascii="Times New Roman" w:hAnsi="Times New Roman" w:cs="Times New Roman"/>
          <w:sz w:val="28"/>
          <w:szCs w:val="28"/>
        </w:rPr>
      </w:pPr>
      <w:r w:rsidRPr="00567437">
        <w:lastRenderedPageBreak/>
        <w:drawing>
          <wp:inline distT="0" distB="0" distL="0" distR="0">
            <wp:extent cx="5734050" cy="2962275"/>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05965" name="Picture 34"/>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734050" cy="2962275"/>
                    </a:xfrm>
                    <a:prstGeom prst="rect">
                      <a:avLst/>
                    </a:prstGeom>
                    <a:noFill/>
                    <a:ln>
                      <a:noFill/>
                    </a:ln>
                  </pic:spPr>
                </pic:pic>
              </a:graphicData>
            </a:graphic>
          </wp:inline>
        </w:drawing>
      </w:r>
    </w:p>
    <w:p w14:paraId="40B1B1B3" w14:textId="77777777" w:rsidR="00876B6E" w:rsidRPr="00567437" w:rsidRDefault="00F71519" w:rsidP="00876B6E">
      <w:pPr>
        <w:spacing w:after="0" w:line="240" w:lineRule="auto"/>
        <w:jc w:val="both"/>
        <w:rPr>
          <w:rFonts w:ascii="Times New Roman" w:hAnsi="Times New Roman" w:cs="Times New Roman"/>
          <w:sz w:val="28"/>
          <w:szCs w:val="28"/>
        </w:rPr>
      </w:pPr>
    </w:p>
    <w:tbl>
      <w:tblPr>
        <w:tblW w:w="9060"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C04A0" w:rsidRPr="00567437" w14:paraId="49001154" w14:textId="77777777" w:rsidTr="00876B6E">
        <w:trPr>
          <w:trHeight w:val="1070"/>
        </w:trPr>
        <w:tc>
          <w:tcPr>
            <w:tcW w:w="906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BFAF9B7" w14:textId="77777777" w:rsidR="00876B6E" w:rsidRPr="00567437" w:rsidRDefault="0074309F">
            <w:pPr>
              <w:spacing w:after="0" w:line="240" w:lineRule="auto"/>
              <w:jc w:val="both"/>
              <w:rPr>
                <w:rFonts w:ascii="Times New Roman" w:hAnsi="Times New Roman" w:cs="Times New Roman"/>
                <w:b/>
                <w:bCs/>
                <w:sz w:val="28"/>
                <w:szCs w:val="28"/>
              </w:rPr>
            </w:pPr>
            <w:r w:rsidRPr="00567437">
              <w:rPr>
                <w:rFonts w:ascii="Times New Roman" w:hAnsi="Times New Roman" w:cs="Times New Roman"/>
                <w:b/>
                <w:bCs/>
                <w:sz w:val="28"/>
                <w:szCs w:val="28"/>
              </w:rPr>
              <w:t>Pontos-chave a lembrar ao identificar o instrumento jurídico aplicável no processo de cooperação judiciária:</w:t>
            </w:r>
          </w:p>
          <w:p w14:paraId="5E70CE65" w14:textId="77777777" w:rsidR="00876B6E" w:rsidRPr="00567437" w:rsidRDefault="00F71519">
            <w:pPr>
              <w:spacing w:after="0" w:line="240" w:lineRule="auto"/>
              <w:jc w:val="both"/>
              <w:rPr>
                <w:rFonts w:ascii="Times New Roman" w:hAnsi="Times New Roman" w:cs="Times New Roman"/>
                <w:sz w:val="28"/>
                <w:szCs w:val="28"/>
              </w:rPr>
            </w:pPr>
          </w:p>
          <w:p w14:paraId="4040F034" w14:textId="77B07A0A" w:rsidR="00876B6E" w:rsidRPr="00567437" w:rsidRDefault="0074309F" w:rsidP="00D43636">
            <w:pPr>
              <w:pStyle w:val="PargrafodaLista"/>
              <w:numPr>
                <w:ilvl w:val="0"/>
                <w:numId w:val="16"/>
              </w:numPr>
              <w:spacing w:after="120" w:line="240" w:lineRule="auto"/>
              <w:ind w:left="703" w:hanging="357"/>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Procurar sempre um instrumento jurídico de cooperação judiciária em matéria penal </w:t>
            </w:r>
            <w:r w:rsidRPr="00567437">
              <w:rPr>
                <w:rFonts w:ascii="Times New Roman" w:hAnsi="Times New Roman" w:cs="Times New Roman"/>
                <w:b/>
                <w:bCs/>
                <w:sz w:val="28"/>
                <w:szCs w:val="28"/>
              </w:rPr>
              <w:t>em vigor</w:t>
            </w:r>
            <w:r w:rsidRPr="00567437">
              <w:rPr>
                <w:rFonts w:ascii="Times New Roman" w:hAnsi="Times New Roman" w:cs="Times New Roman"/>
                <w:sz w:val="28"/>
                <w:szCs w:val="28"/>
              </w:rPr>
              <w:t xml:space="preserve"> em ambos os países envolvidos no processo de AJM.</w:t>
            </w:r>
          </w:p>
          <w:p w14:paraId="74864E9D" w14:textId="7F1B090E" w:rsidR="00876B6E" w:rsidRPr="00567437" w:rsidRDefault="0074309F" w:rsidP="00D43636">
            <w:pPr>
              <w:pStyle w:val="PargrafodaLista"/>
              <w:numPr>
                <w:ilvl w:val="0"/>
                <w:numId w:val="16"/>
              </w:numPr>
              <w:spacing w:after="120" w:line="240" w:lineRule="auto"/>
              <w:ind w:left="703" w:hanging="357"/>
              <w:contextualSpacing w:val="0"/>
              <w:jc w:val="both"/>
              <w:rPr>
                <w:rFonts w:ascii="Times New Roman" w:hAnsi="Times New Roman" w:cs="Times New Roman"/>
                <w:sz w:val="28"/>
                <w:szCs w:val="28"/>
              </w:rPr>
            </w:pPr>
            <w:r w:rsidRPr="00567437">
              <w:rPr>
                <w:rFonts w:ascii="Times New Roman" w:hAnsi="Times New Roman" w:cs="Times New Roman"/>
                <w:b/>
                <w:bCs/>
                <w:sz w:val="28"/>
                <w:szCs w:val="28"/>
              </w:rPr>
              <w:t>Verificar</w:t>
            </w:r>
            <w:r w:rsidRPr="00567437">
              <w:rPr>
                <w:rFonts w:ascii="Times New Roman" w:hAnsi="Times New Roman" w:cs="Times New Roman"/>
                <w:sz w:val="28"/>
                <w:szCs w:val="28"/>
              </w:rPr>
              <w:t xml:space="preserve"> sempre </w:t>
            </w:r>
            <w:r w:rsidRPr="00567437">
              <w:rPr>
                <w:rFonts w:ascii="Times New Roman" w:hAnsi="Times New Roman" w:cs="Times New Roman"/>
                <w:b/>
                <w:bCs/>
                <w:sz w:val="28"/>
                <w:szCs w:val="28"/>
              </w:rPr>
              <w:t>os países que assinaram uma Convenção (ou os Protocolos)</w:t>
            </w:r>
            <w:r w:rsidRPr="00567437">
              <w:rPr>
                <w:rFonts w:ascii="Times New Roman" w:hAnsi="Times New Roman" w:cs="Times New Roman"/>
                <w:sz w:val="28"/>
                <w:szCs w:val="28"/>
              </w:rPr>
              <w:t xml:space="preserve"> e </w:t>
            </w:r>
            <w:r w:rsidRPr="00567437">
              <w:rPr>
                <w:rFonts w:ascii="Times New Roman" w:hAnsi="Times New Roman" w:cs="Times New Roman"/>
                <w:b/>
                <w:bCs/>
                <w:sz w:val="28"/>
                <w:szCs w:val="28"/>
              </w:rPr>
              <w:t>verificar</w:t>
            </w:r>
            <w:r w:rsidRPr="00567437">
              <w:rPr>
                <w:rFonts w:ascii="Times New Roman" w:hAnsi="Times New Roman" w:cs="Times New Roman"/>
                <w:sz w:val="28"/>
                <w:szCs w:val="28"/>
              </w:rPr>
              <w:t xml:space="preserve"> também </w:t>
            </w:r>
            <w:r w:rsidRPr="00567437">
              <w:rPr>
                <w:rFonts w:ascii="Times New Roman" w:hAnsi="Times New Roman" w:cs="Times New Roman"/>
                <w:b/>
                <w:bCs/>
                <w:sz w:val="28"/>
                <w:szCs w:val="28"/>
              </w:rPr>
              <w:t>as possíveis reservas e declarações feitas</w:t>
            </w:r>
            <w:r w:rsidRPr="00567437">
              <w:rPr>
                <w:rFonts w:ascii="Times New Roman" w:hAnsi="Times New Roman" w:cs="Times New Roman"/>
                <w:sz w:val="28"/>
                <w:szCs w:val="28"/>
              </w:rPr>
              <w:t xml:space="preserve"> por esse Estado requerido.</w:t>
            </w:r>
          </w:p>
          <w:p w14:paraId="39296D99" w14:textId="794C2E47" w:rsidR="00876B6E" w:rsidRPr="00567437" w:rsidRDefault="0074309F" w:rsidP="00D43636">
            <w:pPr>
              <w:pStyle w:val="PargrafodaLista"/>
              <w:numPr>
                <w:ilvl w:val="0"/>
                <w:numId w:val="16"/>
              </w:numPr>
              <w:spacing w:after="120" w:line="240" w:lineRule="auto"/>
              <w:ind w:left="703" w:hanging="357"/>
              <w:contextualSpacing w:val="0"/>
              <w:jc w:val="both"/>
              <w:rPr>
                <w:rFonts w:ascii="Times New Roman" w:hAnsi="Times New Roman" w:cs="Times New Roman"/>
                <w:sz w:val="28"/>
                <w:szCs w:val="28"/>
              </w:rPr>
            </w:pPr>
            <w:r w:rsidRPr="00567437">
              <w:rPr>
                <w:rFonts w:ascii="Times New Roman" w:hAnsi="Times New Roman" w:cs="Times New Roman"/>
                <w:b/>
                <w:bCs/>
                <w:sz w:val="28"/>
                <w:szCs w:val="28"/>
              </w:rPr>
              <w:t>Verificar o estado de aplicação</w:t>
            </w:r>
            <w:r w:rsidRPr="00567437">
              <w:rPr>
                <w:rFonts w:ascii="Times New Roman" w:hAnsi="Times New Roman" w:cs="Times New Roman"/>
                <w:sz w:val="28"/>
                <w:szCs w:val="28"/>
              </w:rPr>
              <w:t xml:space="preserve"> de Decisões-Quadro do Conselho ou Diretivas para os EM da União Europeia (</w:t>
            </w:r>
            <w:r w:rsidRPr="00567437">
              <w:rPr>
                <w:rFonts w:ascii="Times New Roman" w:hAnsi="Times New Roman" w:cs="Times New Roman"/>
                <w:sz w:val="28"/>
                <w:szCs w:val="28"/>
                <w:u w:val="single"/>
              </w:rPr>
              <w:t>consultar o sítio Web da RJE</w:t>
            </w:r>
            <w:r w:rsidRPr="00567437">
              <w:rPr>
                <w:rFonts w:ascii="Times New Roman" w:hAnsi="Times New Roman" w:cs="Times New Roman"/>
                <w:sz w:val="28"/>
                <w:szCs w:val="28"/>
              </w:rPr>
              <w:t>)</w:t>
            </w:r>
          </w:p>
          <w:p w14:paraId="0DB7A2AA" w14:textId="0CD16F11" w:rsidR="00876B6E" w:rsidRPr="00567437" w:rsidRDefault="0074309F" w:rsidP="00D43636">
            <w:pPr>
              <w:pStyle w:val="PargrafodaLista"/>
              <w:numPr>
                <w:ilvl w:val="0"/>
                <w:numId w:val="16"/>
              </w:numPr>
              <w:spacing w:after="120" w:line="240" w:lineRule="auto"/>
              <w:ind w:left="703" w:hanging="357"/>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Uma autoridade emissora </w:t>
            </w:r>
            <w:r w:rsidRPr="00567437">
              <w:rPr>
                <w:rFonts w:ascii="Times New Roman" w:hAnsi="Times New Roman" w:cs="Times New Roman"/>
                <w:b/>
                <w:bCs/>
                <w:sz w:val="28"/>
                <w:szCs w:val="28"/>
              </w:rPr>
              <w:t>não utilizará um instrumento jurídico em detrimento de outro</w:t>
            </w:r>
            <w:r w:rsidRPr="00567437">
              <w:rPr>
                <w:rFonts w:ascii="Times New Roman" w:hAnsi="Times New Roman" w:cs="Times New Roman"/>
                <w:sz w:val="28"/>
                <w:szCs w:val="28"/>
              </w:rPr>
              <w:t xml:space="preserve"> apenas por considerar que o antigo se encontrava a funcionar mais rapidamente ou que o processo de cooperação era mais harmonioso. Por exemplo, uma autoridade emissora não pode utilizar a Convenção de 29 de maio de 2000 relativa ao auxílio judiciário mútuo em matéria penal entre os Estados-Membros da União Europeia em detrimento da Diretiva 2014/41/UE de 3 de abril de 2014 relativa à Decisão Europeia de Investigação, </w:t>
            </w:r>
            <w:r w:rsidRPr="00567437">
              <w:rPr>
                <w:rFonts w:ascii="Times New Roman" w:hAnsi="Times New Roman" w:cs="Times New Roman"/>
                <w:b/>
                <w:bCs/>
                <w:sz w:val="28"/>
                <w:szCs w:val="28"/>
              </w:rPr>
              <w:t>a fim de recolher elementos de prova</w:t>
            </w:r>
            <w:r w:rsidRPr="00567437">
              <w:rPr>
                <w:rFonts w:ascii="Times New Roman" w:hAnsi="Times New Roman" w:cs="Times New Roman"/>
                <w:sz w:val="28"/>
                <w:szCs w:val="28"/>
              </w:rPr>
              <w:t xml:space="preserve"> numa situação particular incluída pela Diretiva e pela Convenção de 2000 (por exemplo – audição de uma testemunha por videoconferência). </w:t>
            </w:r>
          </w:p>
          <w:p w14:paraId="588FB8C9" w14:textId="1EB93B09" w:rsidR="00876B6E" w:rsidRPr="00567437" w:rsidRDefault="0074309F" w:rsidP="00D43636">
            <w:pPr>
              <w:pStyle w:val="PargrafodaLista"/>
              <w:numPr>
                <w:ilvl w:val="0"/>
                <w:numId w:val="16"/>
              </w:numPr>
              <w:spacing w:after="120" w:line="240" w:lineRule="auto"/>
              <w:ind w:left="703" w:hanging="357"/>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Neste caso, nos termos do n.º 1 do Artigo 34.º da Diretiva, a Diretiva é o instrumento jurídico aplicável, uma vez que </w:t>
            </w:r>
            <w:r w:rsidRPr="00567437">
              <w:rPr>
                <w:rFonts w:ascii="Times New Roman" w:hAnsi="Times New Roman" w:cs="Times New Roman"/>
                <w:b/>
                <w:bCs/>
                <w:sz w:val="28"/>
                <w:szCs w:val="28"/>
              </w:rPr>
              <w:t>substitui, a partir de 22 de maio de 2017, as disposições correspondentes da Convenção de 2000</w:t>
            </w:r>
            <w:r w:rsidRPr="00567437">
              <w:rPr>
                <w:rFonts w:ascii="Times New Roman" w:hAnsi="Times New Roman" w:cs="Times New Roman"/>
                <w:sz w:val="28"/>
                <w:szCs w:val="28"/>
              </w:rPr>
              <w:t xml:space="preserve">, a fim de recolher elementos de prova (assim, no exemplo acima referido, </w:t>
            </w:r>
            <w:r w:rsidRPr="00567437">
              <w:rPr>
                <w:rFonts w:ascii="Times New Roman" w:hAnsi="Times New Roman" w:cs="Times New Roman"/>
                <w:sz w:val="28"/>
                <w:szCs w:val="28"/>
              </w:rPr>
              <w:lastRenderedPageBreak/>
              <w:t>o Artigo 10.º da Convenção de 2000 foi substituído pelo Artigo 24.º da Diretiva 2014/41 relativa à DEI). A Convenção de 2000 não pode ser vista como um acordo ou convénio multilateral, mencionado no n.º 3 do Artigo 34.º da Diretiva, uma vez que o objetivo da Diretiva era substituí-la por um sistema mais simples e mais eficaz (</w:t>
            </w:r>
            <w:r w:rsidRPr="00567437">
              <w:rPr>
                <w:rFonts w:ascii="Times New Roman" w:hAnsi="Times New Roman" w:cs="Times New Roman"/>
                <w:b/>
                <w:bCs/>
                <w:sz w:val="28"/>
                <w:szCs w:val="28"/>
              </w:rPr>
              <w:t xml:space="preserve">consultar processo C-296/08 – </w:t>
            </w:r>
            <w:proofErr w:type="spellStart"/>
            <w:r w:rsidRPr="00567437">
              <w:rPr>
                <w:rFonts w:ascii="Times New Roman" w:hAnsi="Times New Roman" w:cs="Times New Roman"/>
                <w:b/>
                <w:bCs/>
                <w:sz w:val="28"/>
                <w:szCs w:val="28"/>
              </w:rPr>
              <w:t>Goicoechea</w:t>
            </w:r>
            <w:proofErr w:type="spellEnd"/>
            <w:r w:rsidRPr="00567437">
              <w:rPr>
                <w:rFonts w:ascii="Times New Roman" w:hAnsi="Times New Roman" w:cs="Times New Roman"/>
                <w:b/>
                <w:bCs/>
                <w:sz w:val="28"/>
                <w:szCs w:val="28"/>
              </w:rPr>
              <w:t xml:space="preserve"> – n.º 54 e 55 aplicáveis </w:t>
            </w:r>
            <w:proofErr w:type="spellStart"/>
            <w:r w:rsidRPr="00567437">
              <w:rPr>
                <w:rFonts w:ascii="Times New Roman" w:hAnsi="Times New Roman" w:cs="Times New Roman"/>
                <w:b/>
                <w:bCs/>
                <w:i/>
                <w:iCs/>
                <w:sz w:val="28"/>
                <w:szCs w:val="28"/>
              </w:rPr>
              <w:t>mutatis</w:t>
            </w:r>
            <w:proofErr w:type="spellEnd"/>
            <w:r w:rsidRPr="00567437">
              <w:rPr>
                <w:rFonts w:ascii="Times New Roman" w:hAnsi="Times New Roman" w:cs="Times New Roman"/>
                <w:b/>
                <w:bCs/>
                <w:i/>
                <w:iCs/>
                <w:sz w:val="28"/>
                <w:szCs w:val="28"/>
              </w:rPr>
              <w:t xml:space="preserve"> </w:t>
            </w:r>
            <w:proofErr w:type="spellStart"/>
            <w:r w:rsidRPr="00567437">
              <w:rPr>
                <w:rFonts w:ascii="Times New Roman" w:hAnsi="Times New Roman" w:cs="Times New Roman"/>
                <w:b/>
                <w:bCs/>
                <w:i/>
                <w:iCs/>
                <w:sz w:val="28"/>
                <w:szCs w:val="28"/>
              </w:rPr>
              <w:t>mutandis</w:t>
            </w:r>
            <w:proofErr w:type="spellEnd"/>
            <w:r w:rsidRPr="00567437">
              <w:rPr>
                <w:rFonts w:ascii="Times New Roman" w:hAnsi="Times New Roman" w:cs="Times New Roman"/>
                <w:sz w:val="28"/>
                <w:szCs w:val="28"/>
              </w:rPr>
              <w:t>).</w:t>
            </w:r>
          </w:p>
          <w:p w14:paraId="49B05268" w14:textId="431A7EF8" w:rsidR="00876B6E" w:rsidRPr="00567437" w:rsidRDefault="0074309F" w:rsidP="00D43636">
            <w:pPr>
              <w:pStyle w:val="PargrafodaLista"/>
              <w:numPr>
                <w:ilvl w:val="0"/>
                <w:numId w:val="16"/>
              </w:numPr>
              <w:spacing w:after="120" w:line="240" w:lineRule="auto"/>
              <w:ind w:left="703" w:hanging="357"/>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A Dinamarca e a Irlanda </w:t>
            </w:r>
            <w:r w:rsidRPr="00567437">
              <w:rPr>
                <w:rFonts w:ascii="Times New Roman" w:hAnsi="Times New Roman" w:cs="Times New Roman"/>
                <w:b/>
                <w:bCs/>
                <w:sz w:val="28"/>
                <w:szCs w:val="28"/>
              </w:rPr>
              <w:t>não se encontram vinculadas</w:t>
            </w:r>
            <w:r w:rsidRPr="00567437">
              <w:rPr>
                <w:rFonts w:ascii="Times New Roman" w:hAnsi="Times New Roman" w:cs="Times New Roman"/>
                <w:sz w:val="28"/>
                <w:szCs w:val="28"/>
              </w:rPr>
              <w:t xml:space="preserve"> pela Diretiva 2014/41 relativa à DEI.</w:t>
            </w:r>
          </w:p>
          <w:p w14:paraId="32963F1D" w14:textId="6A85BA7F" w:rsidR="00876B6E" w:rsidRPr="00567437" w:rsidRDefault="0074309F" w:rsidP="00D43636">
            <w:pPr>
              <w:pStyle w:val="PargrafodaLista"/>
              <w:numPr>
                <w:ilvl w:val="0"/>
                <w:numId w:val="16"/>
              </w:numPr>
              <w:spacing w:after="120" w:line="240" w:lineRule="auto"/>
              <w:ind w:left="703" w:hanging="357"/>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A Convenção de 2000 </w:t>
            </w:r>
            <w:r w:rsidRPr="00567437">
              <w:rPr>
                <w:rFonts w:ascii="Times New Roman" w:hAnsi="Times New Roman" w:cs="Times New Roman"/>
                <w:b/>
                <w:bCs/>
                <w:sz w:val="28"/>
                <w:szCs w:val="28"/>
              </w:rPr>
              <w:t>não se encontra em vigor</w:t>
            </w:r>
            <w:r w:rsidRPr="00567437">
              <w:rPr>
                <w:rFonts w:ascii="Times New Roman" w:hAnsi="Times New Roman" w:cs="Times New Roman"/>
                <w:sz w:val="28"/>
                <w:szCs w:val="28"/>
              </w:rPr>
              <w:t xml:space="preserve"> na Grécia e na Croácia.</w:t>
            </w:r>
          </w:p>
        </w:tc>
      </w:tr>
    </w:tbl>
    <w:p w14:paraId="44B435E9" w14:textId="06AD777B" w:rsidR="00C151FE" w:rsidRPr="00567437" w:rsidRDefault="00F71519" w:rsidP="0074607F">
      <w:pPr>
        <w:rPr>
          <w:rFonts w:ascii="Times New Roman" w:hAnsi="Times New Roman" w:cs="Times New Roman"/>
          <w:b/>
          <w:bCs/>
          <w:sz w:val="28"/>
          <w:szCs w:val="28"/>
        </w:rPr>
      </w:pPr>
    </w:p>
    <w:p w14:paraId="7B9E659F" w14:textId="2D05B95C" w:rsidR="003D6286" w:rsidRPr="00567437" w:rsidRDefault="0074309F" w:rsidP="0074607F">
      <w:pPr>
        <w:rPr>
          <w:rFonts w:ascii="Times New Roman" w:hAnsi="Times New Roman" w:cs="Times New Roman"/>
          <w:b/>
          <w:bCs/>
          <w:sz w:val="28"/>
          <w:szCs w:val="28"/>
        </w:rPr>
      </w:pPr>
      <w:r w:rsidRPr="00567437">
        <w:rPr>
          <w:rFonts w:ascii="Times New Roman" w:hAnsi="Times New Roman" w:cs="Times New Roman"/>
          <w:b/>
          <w:bCs/>
          <w:sz w:val="28"/>
          <w:szCs w:val="28"/>
        </w:rPr>
        <w:br w:type="page"/>
      </w:r>
    </w:p>
    <w:p w14:paraId="527A8093" w14:textId="5D9C91C9" w:rsidR="006C0B14" w:rsidRPr="00567437" w:rsidRDefault="0074309F" w:rsidP="0074607F">
      <w:pPr>
        <w:jc w:val="both"/>
        <w:rPr>
          <w:rFonts w:ascii="Times New Roman" w:hAnsi="Times New Roman" w:cs="Times New Roman"/>
          <w:b/>
          <w:bCs/>
          <w:color w:val="2F5496" w:themeColor="accent1" w:themeShade="BF"/>
          <w:sz w:val="28"/>
          <w:szCs w:val="28"/>
        </w:rPr>
      </w:pPr>
      <w:r w:rsidRPr="00567437">
        <w:rPr>
          <w:rFonts w:ascii="Times New Roman" w:hAnsi="Times New Roman" w:cs="Times New Roman"/>
          <w:b/>
          <w:bCs/>
          <w:color w:val="2F5496" w:themeColor="accent1" w:themeShade="BF"/>
          <w:sz w:val="28"/>
          <w:szCs w:val="28"/>
        </w:rPr>
        <w:lastRenderedPageBreak/>
        <w:t>A. II. Cenário de caso:</w:t>
      </w:r>
    </w:p>
    <w:p w14:paraId="76A8B764" w14:textId="3DCDAAE4" w:rsidR="00C151FE" w:rsidRPr="00567437" w:rsidRDefault="0074309F" w:rsidP="00C151FE">
      <w:pPr>
        <w:jc w:val="both"/>
        <w:rPr>
          <w:rFonts w:ascii="Times New Roman" w:hAnsi="Times New Roman" w:cs="Times New Roman"/>
          <w:b/>
          <w:bCs/>
          <w:color w:val="2F5496" w:themeColor="accent1" w:themeShade="BF"/>
          <w:sz w:val="28"/>
          <w:szCs w:val="28"/>
        </w:rPr>
      </w:pPr>
      <w:r w:rsidRPr="00567437">
        <w:rPr>
          <w:rFonts w:ascii="Times New Roman" w:hAnsi="Times New Roman" w:cs="Times New Roman"/>
          <w:b/>
          <w:bCs/>
          <w:color w:val="2F5496" w:themeColor="accent1" w:themeShade="BF"/>
          <w:sz w:val="28"/>
          <w:szCs w:val="28"/>
        </w:rPr>
        <w:t>Soluções:</w:t>
      </w:r>
    </w:p>
    <w:p w14:paraId="5B9A4CEE" w14:textId="27508224" w:rsidR="00C151FE" w:rsidRPr="00567437" w:rsidRDefault="0074309F" w:rsidP="00C151FE">
      <w:pPr>
        <w:jc w:val="both"/>
        <w:rPr>
          <w:rFonts w:ascii="Times New Roman" w:hAnsi="Times New Roman" w:cs="Times New Roman"/>
          <w:i/>
          <w:color w:val="2F5496" w:themeColor="accent1" w:themeShade="BF"/>
          <w:sz w:val="28"/>
          <w:szCs w:val="28"/>
        </w:rPr>
      </w:pPr>
      <w:r w:rsidRPr="00567437">
        <w:rPr>
          <w:rFonts w:ascii="Times New Roman" w:hAnsi="Times New Roman" w:cs="Times New Roman"/>
          <w:b/>
          <w:bCs/>
          <w:i/>
          <w:iCs/>
          <w:color w:val="2F5496" w:themeColor="accent1" w:themeShade="BF"/>
          <w:sz w:val="28"/>
          <w:szCs w:val="28"/>
        </w:rPr>
        <w:t>Q1.</w:t>
      </w:r>
      <w:r w:rsidRPr="00567437">
        <w:rPr>
          <w:rFonts w:ascii="Times New Roman" w:hAnsi="Times New Roman" w:cs="Times New Roman"/>
          <w:i/>
          <w:iCs/>
          <w:color w:val="2F5496" w:themeColor="accent1" w:themeShade="BF"/>
          <w:sz w:val="28"/>
          <w:szCs w:val="28"/>
        </w:rPr>
        <w:t xml:space="preserve"> Qual é o instrumento jurídico aplicável para ouvir a testemunha A.B. por videoconferência? Caso não seja possível ouvir a testemunha por videoconferência, a testemunha pode ser ouvida por conferência telefónica?</w:t>
      </w:r>
    </w:p>
    <w:p w14:paraId="10C261E6" w14:textId="569D570C" w:rsidR="00243470" w:rsidRPr="00567437" w:rsidRDefault="0074309F" w:rsidP="00C151FE">
      <w:pPr>
        <w:spacing w:line="240" w:lineRule="auto"/>
        <w:jc w:val="both"/>
        <w:rPr>
          <w:rFonts w:ascii="Times New Roman" w:hAnsi="Times New Roman" w:cs="Times New Roman"/>
          <w:sz w:val="28"/>
          <w:szCs w:val="28"/>
        </w:rPr>
      </w:pPr>
      <w:r w:rsidRPr="00567437">
        <w:rPr>
          <w:rFonts w:ascii="Times New Roman" w:hAnsi="Times New Roman"/>
          <w:sz w:val="28"/>
          <w:szCs w:val="28"/>
        </w:rPr>
        <w:t xml:space="preserve">Como explicado no caso introdutório, constata-se que a </w:t>
      </w:r>
      <w:r w:rsidRPr="00567437">
        <w:rPr>
          <w:rFonts w:ascii="Times New Roman" w:hAnsi="Times New Roman"/>
          <w:b/>
          <w:bCs/>
          <w:sz w:val="28"/>
          <w:szCs w:val="28"/>
        </w:rPr>
        <w:t>Roménia</w:t>
      </w:r>
      <w:r w:rsidRPr="00567437">
        <w:rPr>
          <w:rFonts w:ascii="Times New Roman" w:hAnsi="Times New Roman"/>
          <w:sz w:val="28"/>
          <w:szCs w:val="28"/>
        </w:rPr>
        <w:t xml:space="preserve"> transpôs a Diretiva relativa à DEI e que a </w:t>
      </w:r>
      <w:r w:rsidRPr="00567437">
        <w:rPr>
          <w:rFonts w:ascii="Times New Roman" w:hAnsi="Times New Roman"/>
          <w:b/>
          <w:bCs/>
          <w:sz w:val="28"/>
          <w:szCs w:val="28"/>
        </w:rPr>
        <w:t>Dinamarca</w:t>
      </w:r>
      <w:r w:rsidRPr="00567437">
        <w:rPr>
          <w:rFonts w:ascii="Times New Roman" w:hAnsi="Times New Roman"/>
          <w:sz w:val="28"/>
          <w:szCs w:val="28"/>
        </w:rPr>
        <w:t xml:space="preserve"> não participa e não se encontra vinculada por este instrumento jurídico de acordo com o Considerando (45) da mesma Diretiva.  Isto significa que a </w:t>
      </w:r>
      <w:hyperlink r:id="rId46" w:history="1">
        <w:r w:rsidRPr="00567437">
          <w:rPr>
            <w:rStyle w:val="Hiperligao"/>
            <w:rFonts w:ascii="Times New Roman" w:hAnsi="Times New Roman" w:cs="Times New Roman"/>
            <w:color w:val="auto"/>
            <w:sz w:val="28"/>
            <w:szCs w:val="28"/>
            <w:u w:val="none"/>
          </w:rPr>
          <w:t>Convenção de 29 de maio de 2000 relativa ao Auxílio Judiciário Mútuo em Matéria Penal entre os Estados-Membros da União Europeia</w:t>
        </w:r>
      </w:hyperlink>
      <w:r w:rsidRPr="00567437">
        <w:rPr>
          <w:rFonts w:ascii="Times New Roman" w:hAnsi="Times New Roman"/>
          <w:sz w:val="28"/>
          <w:szCs w:val="28"/>
        </w:rPr>
        <w:t xml:space="preserve"> é aplicável, visto que se encontra em vigor em ambos os EM. </w:t>
      </w:r>
    </w:p>
    <w:p w14:paraId="56F62272" w14:textId="1B41EDAC" w:rsidR="00E124AF" w:rsidRPr="00567437" w:rsidRDefault="0074309F" w:rsidP="00E10620">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Os requisitos para a </w:t>
      </w:r>
      <w:r w:rsidRPr="00567437">
        <w:rPr>
          <w:rFonts w:ascii="Times New Roman" w:hAnsi="Times New Roman" w:cs="Times New Roman"/>
          <w:b/>
          <w:bCs/>
          <w:sz w:val="28"/>
          <w:szCs w:val="28"/>
        </w:rPr>
        <w:t>audição de uma testemunha por videoconferência</w:t>
      </w:r>
      <w:r w:rsidRPr="00567437">
        <w:rPr>
          <w:rFonts w:ascii="Times New Roman" w:hAnsi="Times New Roman" w:cs="Times New Roman"/>
          <w:sz w:val="28"/>
          <w:szCs w:val="28"/>
        </w:rPr>
        <w:t xml:space="preserve"> estão previstos nos </w:t>
      </w:r>
      <w:r w:rsidRPr="00567437">
        <w:rPr>
          <w:rFonts w:ascii="Times New Roman" w:hAnsi="Times New Roman" w:cs="Times New Roman"/>
          <w:sz w:val="28"/>
          <w:szCs w:val="28"/>
          <w:u w:val="single"/>
        </w:rPr>
        <w:t>números 1-8 do Artigo 10.º da Convenção de 2000</w:t>
      </w:r>
      <w:r w:rsidRPr="00567437">
        <w:rPr>
          <w:rFonts w:ascii="Times New Roman" w:hAnsi="Times New Roman" w:cs="Times New Roman"/>
          <w:sz w:val="28"/>
          <w:szCs w:val="28"/>
        </w:rPr>
        <w:t xml:space="preserve">. Infelizmente, a Dinamarca </w:t>
      </w:r>
      <w:r w:rsidRPr="00567437">
        <w:rPr>
          <w:rFonts w:ascii="Times New Roman" w:hAnsi="Times New Roman" w:cs="Times New Roman"/>
          <w:b/>
          <w:bCs/>
          <w:sz w:val="28"/>
          <w:szCs w:val="28"/>
        </w:rPr>
        <w:t>ainda não prestou quaisquer declarações relativas à audição das testemunhas por videoconferência (consultar as declarações prestadas por cada Estado na ligação abaixo).</w:t>
      </w:r>
    </w:p>
    <w:tbl>
      <w:tblPr>
        <w:tblW w:w="910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4C04A0" w:rsidRPr="00567437" w14:paraId="0FB505C6" w14:textId="77777777" w:rsidTr="00C151FE">
        <w:trPr>
          <w:trHeight w:val="1732"/>
        </w:trPr>
        <w:tc>
          <w:tcPr>
            <w:tcW w:w="910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B945BD6" w14:textId="1D285095" w:rsidR="00E124AF" w:rsidRPr="00567437" w:rsidRDefault="0074309F">
            <w:pPr>
              <w:spacing w:after="0" w:line="240" w:lineRule="auto"/>
              <w:ind w:left="48"/>
              <w:jc w:val="both"/>
              <w:rPr>
                <w:rFonts w:ascii="Times New Roman" w:hAnsi="Times New Roman" w:cs="Times New Roman"/>
                <w:sz w:val="28"/>
                <w:szCs w:val="28"/>
              </w:rPr>
            </w:pPr>
            <w:r w:rsidRPr="00567437">
              <w:rPr>
                <w:rFonts w:ascii="Times New Roman" w:hAnsi="Times New Roman"/>
                <w:sz w:val="28"/>
                <w:szCs w:val="28"/>
              </w:rPr>
              <w:t xml:space="preserve">As declarações prestadas por cada EM relativamente a algumas das disposições da Convenção de 2000 </w:t>
            </w:r>
            <w:hyperlink r:id="rId47" w:history="1">
              <w:r w:rsidRPr="00567437">
                <w:rPr>
                  <w:rStyle w:val="Hiperligao"/>
                  <w:rFonts w:ascii="Times New Roman" w:hAnsi="Times New Roman" w:cs="Times New Roman"/>
                  <w:sz w:val="28"/>
                  <w:szCs w:val="28"/>
                </w:rPr>
                <w:t>podem ser consultadas no sítio Web da RJE</w:t>
              </w:r>
            </w:hyperlink>
            <w:r w:rsidRPr="00567437">
              <w:rPr>
                <w:rFonts w:ascii="Times New Roman" w:hAnsi="Times New Roman"/>
                <w:sz w:val="28"/>
                <w:szCs w:val="28"/>
              </w:rPr>
              <w:t>.</w:t>
            </w:r>
          </w:p>
          <w:p w14:paraId="580CA2CB" w14:textId="77777777" w:rsidR="00E124AF" w:rsidRPr="00567437" w:rsidRDefault="00F71519">
            <w:pPr>
              <w:spacing w:after="0" w:line="240" w:lineRule="auto"/>
              <w:ind w:left="48"/>
              <w:jc w:val="both"/>
              <w:rPr>
                <w:rFonts w:ascii="Times New Roman" w:hAnsi="Times New Roman" w:cs="Times New Roman"/>
                <w:sz w:val="28"/>
                <w:szCs w:val="28"/>
              </w:rPr>
            </w:pPr>
          </w:p>
          <w:p w14:paraId="59AE530D" w14:textId="3DB51CAE" w:rsidR="00E124AF" w:rsidRPr="00567437" w:rsidRDefault="0074309F" w:rsidP="00C151FE">
            <w:pPr>
              <w:spacing w:after="0" w:line="240" w:lineRule="auto"/>
              <w:ind w:left="48"/>
              <w:jc w:val="both"/>
              <w:rPr>
                <w:rFonts w:ascii="Times New Roman" w:hAnsi="Times New Roman" w:cs="Times New Roman"/>
                <w:sz w:val="28"/>
                <w:szCs w:val="28"/>
              </w:rPr>
            </w:pPr>
            <w:r w:rsidRPr="00567437">
              <w:rPr>
                <w:rFonts w:ascii="Times New Roman" w:hAnsi="Times New Roman"/>
                <w:sz w:val="28"/>
                <w:szCs w:val="28"/>
              </w:rPr>
              <w:t xml:space="preserve">As declarações prestadas pela Dinamarca relativamente às disposições da Convenção de 2000 </w:t>
            </w:r>
            <w:hyperlink r:id="rId48" w:history="1">
              <w:r w:rsidRPr="00567437">
                <w:rPr>
                  <w:rStyle w:val="Hiperligao"/>
                  <w:rFonts w:ascii="Times New Roman" w:hAnsi="Times New Roman" w:cs="Times New Roman"/>
                  <w:sz w:val="28"/>
                  <w:szCs w:val="28"/>
                </w:rPr>
                <w:t>podem ser consultadas aqui</w:t>
              </w:r>
            </w:hyperlink>
            <w:r w:rsidRPr="00567437">
              <w:rPr>
                <w:rFonts w:ascii="Times New Roman" w:hAnsi="Times New Roman"/>
                <w:sz w:val="28"/>
                <w:szCs w:val="28"/>
              </w:rPr>
              <w:t>.</w:t>
            </w:r>
          </w:p>
        </w:tc>
      </w:tr>
    </w:tbl>
    <w:p w14:paraId="20D0A2AD" w14:textId="77777777" w:rsidR="00E124AF" w:rsidRPr="00567437" w:rsidRDefault="00F71519" w:rsidP="0074607F">
      <w:pPr>
        <w:spacing w:line="240" w:lineRule="auto"/>
        <w:jc w:val="both"/>
        <w:rPr>
          <w:rFonts w:ascii="Times New Roman" w:hAnsi="Times New Roman" w:cs="Times New Roman"/>
          <w:sz w:val="28"/>
          <w:szCs w:val="28"/>
        </w:rPr>
      </w:pPr>
    </w:p>
    <w:p w14:paraId="0B516959" w14:textId="5926A0B1" w:rsidR="00E124AF"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Se, por qualquer motivo, não for possível ouvir a testemunha por videoconferência, a </w:t>
      </w:r>
      <w:r w:rsidRPr="00567437">
        <w:rPr>
          <w:rFonts w:ascii="Times New Roman" w:hAnsi="Times New Roman" w:cs="Times New Roman"/>
          <w:b/>
          <w:bCs/>
          <w:sz w:val="28"/>
          <w:szCs w:val="28"/>
        </w:rPr>
        <w:t>audiência</w:t>
      </w:r>
      <w:r w:rsidRPr="00567437">
        <w:rPr>
          <w:rFonts w:ascii="Times New Roman" w:hAnsi="Times New Roman" w:cs="Times New Roman"/>
          <w:sz w:val="28"/>
          <w:szCs w:val="28"/>
        </w:rPr>
        <w:t xml:space="preserve"> pode ser feita por </w:t>
      </w:r>
      <w:r w:rsidRPr="00567437">
        <w:rPr>
          <w:rFonts w:ascii="Times New Roman" w:hAnsi="Times New Roman" w:cs="Times New Roman"/>
          <w:b/>
          <w:bCs/>
          <w:sz w:val="28"/>
          <w:szCs w:val="28"/>
        </w:rPr>
        <w:t>conferência telefónica</w:t>
      </w:r>
      <w:r w:rsidRPr="00567437">
        <w:rPr>
          <w:rFonts w:ascii="Times New Roman" w:hAnsi="Times New Roman" w:cs="Times New Roman"/>
          <w:sz w:val="28"/>
          <w:szCs w:val="28"/>
        </w:rPr>
        <w:t xml:space="preserve">, conforme os requisitos do </w:t>
      </w:r>
      <w:r w:rsidRPr="00567437">
        <w:rPr>
          <w:rFonts w:ascii="Times New Roman" w:hAnsi="Times New Roman" w:cs="Times New Roman"/>
          <w:sz w:val="28"/>
          <w:szCs w:val="28"/>
          <w:u w:val="single"/>
        </w:rPr>
        <w:t>Artigo 11.º da Convenção de 2000</w:t>
      </w:r>
      <w:r w:rsidRPr="00567437">
        <w:rPr>
          <w:rFonts w:ascii="Times New Roman" w:hAnsi="Times New Roman" w:cs="Times New Roman"/>
          <w:sz w:val="28"/>
          <w:szCs w:val="28"/>
        </w:rPr>
        <w:t>.</w:t>
      </w:r>
    </w:p>
    <w:p w14:paraId="3050320E" w14:textId="4828E38F" w:rsidR="00E124AF" w:rsidRPr="00567437" w:rsidRDefault="0074309F" w:rsidP="0013415C">
      <w:pPr>
        <w:pStyle w:val="PargrafodaLista"/>
        <w:numPr>
          <w:ilvl w:val="0"/>
          <w:numId w:val="18"/>
        </w:numPr>
        <w:spacing w:after="0" w:line="240" w:lineRule="auto"/>
        <w:jc w:val="both"/>
        <w:rPr>
          <w:rStyle w:val="Hiperligao"/>
          <w:rFonts w:ascii="Times New Roman" w:hAnsi="Times New Roman" w:cs="Times New Roman"/>
          <w:bCs/>
          <w:i/>
          <w:color w:val="auto"/>
          <w:sz w:val="28"/>
          <w:szCs w:val="28"/>
          <w:u w:val="none"/>
        </w:rPr>
      </w:pPr>
      <w:r w:rsidRPr="00567437">
        <w:rPr>
          <w:rFonts w:ascii="Times New Roman" w:hAnsi="Times New Roman"/>
          <w:i/>
          <w:iCs/>
          <w:sz w:val="28"/>
          <w:szCs w:val="28"/>
        </w:rPr>
        <w:t xml:space="preserve">Caso a autoridade competente requerente seja da </w:t>
      </w:r>
      <w:r w:rsidRPr="00567437">
        <w:rPr>
          <w:rFonts w:ascii="Times New Roman" w:hAnsi="Times New Roman"/>
          <w:i/>
          <w:iCs/>
          <w:sz w:val="28"/>
          <w:szCs w:val="28"/>
          <w:u w:val="single"/>
        </w:rPr>
        <w:t>Croácia</w:t>
      </w:r>
      <w:r w:rsidRPr="00567437">
        <w:rPr>
          <w:rFonts w:ascii="Times New Roman" w:hAnsi="Times New Roman"/>
          <w:i/>
          <w:iCs/>
          <w:sz w:val="28"/>
          <w:szCs w:val="28"/>
        </w:rPr>
        <w:t xml:space="preserve">, os </w:t>
      </w:r>
      <w:proofErr w:type="spellStart"/>
      <w:r w:rsidRPr="00567437">
        <w:rPr>
          <w:rFonts w:ascii="Times New Roman" w:hAnsi="Times New Roman"/>
          <w:i/>
          <w:iCs/>
          <w:sz w:val="28"/>
          <w:szCs w:val="28"/>
          <w:u w:val="single"/>
        </w:rPr>
        <w:t>n.</w:t>
      </w:r>
      <w:r w:rsidRPr="00567437">
        <w:rPr>
          <w:rFonts w:ascii="Times New Roman" w:hAnsi="Times New Roman"/>
          <w:i/>
          <w:iCs/>
          <w:sz w:val="28"/>
          <w:szCs w:val="28"/>
          <w:u w:val="single"/>
          <w:vertAlign w:val="superscript"/>
        </w:rPr>
        <w:t>os</w:t>
      </w:r>
      <w:proofErr w:type="spellEnd"/>
      <w:r w:rsidRPr="00567437">
        <w:rPr>
          <w:rFonts w:ascii="Times New Roman" w:hAnsi="Times New Roman"/>
          <w:i/>
          <w:iCs/>
          <w:sz w:val="28"/>
          <w:szCs w:val="28"/>
          <w:u w:val="single"/>
        </w:rPr>
        <w:t xml:space="preserve"> 1 a 7 do Artigo 9.º do Segundo Protocolo Adicional à Convenção Europeia de Auxílio Judiciário Mútuo em Matéria Penal de 1959 (Estrasburgo, 08/11/2001)</w:t>
      </w:r>
      <w:r w:rsidRPr="00567437">
        <w:rPr>
          <w:rFonts w:ascii="Times New Roman" w:hAnsi="Times New Roman"/>
          <w:i/>
          <w:iCs/>
          <w:sz w:val="28"/>
          <w:szCs w:val="28"/>
        </w:rPr>
        <w:t xml:space="preserve"> serão aplicáveis para a audição de testemunhas por videoconferência ou conferência telefónica, uma vez que a Croácia não assinou a </w:t>
      </w:r>
      <w:hyperlink r:id="rId49" w:history="1">
        <w:r w:rsidRPr="00567437">
          <w:rPr>
            <w:rStyle w:val="Hiperligao"/>
            <w:rFonts w:ascii="Times New Roman" w:hAnsi="Times New Roman" w:cs="Times New Roman"/>
            <w:i/>
            <w:iCs/>
            <w:color w:val="auto"/>
            <w:sz w:val="28"/>
            <w:szCs w:val="28"/>
            <w:u w:val="none"/>
          </w:rPr>
          <w:t>Convenção de 29 de Maio de 2000 relativa ao Auxílio Judiciário Mútuo em Matéria Penal entre os Estados-Membros da União Europeia</w:t>
        </w:r>
      </w:hyperlink>
      <w:r w:rsidRPr="00567437">
        <w:rPr>
          <w:rStyle w:val="Hiperligao"/>
          <w:rFonts w:ascii="Times New Roman" w:hAnsi="Times New Roman" w:cs="Times New Roman"/>
          <w:i/>
          <w:iCs/>
          <w:color w:val="auto"/>
          <w:sz w:val="28"/>
          <w:szCs w:val="28"/>
          <w:u w:val="none"/>
        </w:rPr>
        <w:t xml:space="preserve"> e a Dinamarca não se encontra vinculada pela Diretiva 2014/41 relativa à DEI.</w:t>
      </w:r>
    </w:p>
    <w:p w14:paraId="4C3C003A" w14:textId="66921102" w:rsidR="007675C0" w:rsidRPr="00567437" w:rsidRDefault="00F71519" w:rsidP="0074607F">
      <w:pPr>
        <w:rPr>
          <w:rFonts w:ascii="Times New Roman" w:hAnsi="Times New Roman" w:cs="Times New Roman"/>
          <w:b/>
          <w:bCs/>
          <w:sz w:val="28"/>
          <w:szCs w:val="28"/>
        </w:rPr>
      </w:pPr>
    </w:p>
    <w:p w14:paraId="0CA366E7" w14:textId="73AF51FB" w:rsidR="00C151FE" w:rsidRPr="00567437" w:rsidRDefault="00F71519" w:rsidP="0074607F">
      <w:pPr>
        <w:rPr>
          <w:rFonts w:ascii="Times New Roman" w:hAnsi="Times New Roman" w:cs="Times New Roman"/>
          <w:b/>
          <w:bCs/>
          <w:sz w:val="28"/>
          <w:szCs w:val="28"/>
        </w:rPr>
      </w:pPr>
    </w:p>
    <w:p w14:paraId="27E8EE84" w14:textId="2E12F9D2" w:rsidR="00C151FE" w:rsidRPr="00567437" w:rsidRDefault="00F71519" w:rsidP="0074607F">
      <w:pPr>
        <w:rPr>
          <w:rFonts w:ascii="Times New Roman" w:hAnsi="Times New Roman" w:cs="Times New Roman"/>
          <w:b/>
          <w:bCs/>
          <w:sz w:val="28"/>
          <w:szCs w:val="28"/>
        </w:rPr>
      </w:pPr>
    </w:p>
    <w:p w14:paraId="2036F976" w14:textId="4BDCBC00" w:rsidR="00C151FE" w:rsidRPr="00567437" w:rsidRDefault="0074309F" w:rsidP="00C151FE">
      <w:pPr>
        <w:jc w:val="both"/>
        <w:rPr>
          <w:rFonts w:ascii="Times New Roman" w:hAnsi="Times New Roman" w:cs="Times New Roman"/>
          <w:i/>
          <w:color w:val="2F5496" w:themeColor="accent1" w:themeShade="BF"/>
          <w:sz w:val="28"/>
          <w:szCs w:val="28"/>
        </w:rPr>
      </w:pPr>
      <w:r w:rsidRPr="00567437">
        <w:rPr>
          <w:rFonts w:ascii="Times New Roman" w:hAnsi="Times New Roman" w:cs="Times New Roman"/>
          <w:b/>
          <w:bCs/>
          <w:i/>
          <w:iCs/>
          <w:color w:val="2F5496" w:themeColor="accent1" w:themeShade="BF"/>
          <w:sz w:val="28"/>
          <w:szCs w:val="28"/>
        </w:rPr>
        <w:lastRenderedPageBreak/>
        <w:t>Q2.</w:t>
      </w:r>
      <w:r w:rsidRPr="00567437">
        <w:rPr>
          <w:rFonts w:ascii="Times New Roman" w:hAnsi="Times New Roman" w:cs="Times New Roman"/>
          <w:i/>
          <w:iCs/>
          <w:color w:val="2F5496" w:themeColor="accent1" w:themeShade="BF"/>
          <w:sz w:val="28"/>
          <w:szCs w:val="28"/>
        </w:rPr>
        <w:t xml:space="preserve"> É possível ouvir o suspeito J.H. por videoconferência? </w:t>
      </w:r>
    </w:p>
    <w:p w14:paraId="6CD14D07" w14:textId="29C9FFDF" w:rsidR="0051374B" w:rsidRPr="00567437" w:rsidRDefault="0074309F" w:rsidP="00C151FE">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Como explicado no caso introdutório, a </w:t>
      </w:r>
      <w:r w:rsidRPr="00567437">
        <w:rPr>
          <w:rFonts w:ascii="Times New Roman" w:hAnsi="Times New Roman" w:cs="Times New Roman"/>
          <w:b/>
          <w:bCs/>
          <w:sz w:val="28"/>
          <w:szCs w:val="28"/>
        </w:rPr>
        <w:t>Roménia</w:t>
      </w:r>
      <w:r w:rsidRPr="00567437">
        <w:rPr>
          <w:rFonts w:ascii="Times New Roman" w:hAnsi="Times New Roman" w:cs="Times New Roman"/>
          <w:sz w:val="28"/>
          <w:szCs w:val="28"/>
        </w:rPr>
        <w:t xml:space="preserve"> transpôs a Diretiva 2014/41/UE relativa à DEI, mas a </w:t>
      </w:r>
      <w:r w:rsidRPr="00567437">
        <w:rPr>
          <w:rFonts w:ascii="Times New Roman" w:hAnsi="Times New Roman" w:cs="Times New Roman"/>
          <w:b/>
          <w:bCs/>
          <w:sz w:val="28"/>
          <w:szCs w:val="28"/>
        </w:rPr>
        <w:t>Irlanda</w:t>
      </w:r>
      <w:r w:rsidRPr="00567437">
        <w:rPr>
          <w:rFonts w:ascii="Times New Roman" w:hAnsi="Times New Roman" w:cs="Times New Roman"/>
          <w:sz w:val="28"/>
          <w:szCs w:val="28"/>
        </w:rPr>
        <w:t xml:space="preserve"> </w:t>
      </w:r>
      <w:r w:rsidRPr="00567437">
        <w:rPr>
          <w:rFonts w:ascii="Times New Roman" w:hAnsi="Times New Roman" w:cs="Times New Roman"/>
          <w:sz w:val="28"/>
          <w:szCs w:val="28"/>
          <w:u w:val="single"/>
        </w:rPr>
        <w:t>não</w:t>
      </w:r>
      <w:r w:rsidRPr="00567437">
        <w:rPr>
          <w:rFonts w:ascii="Times New Roman" w:hAnsi="Times New Roman" w:cs="Times New Roman"/>
          <w:sz w:val="28"/>
          <w:szCs w:val="28"/>
        </w:rPr>
        <w:t xml:space="preserve"> participa e </w:t>
      </w:r>
      <w:r w:rsidRPr="00567437">
        <w:rPr>
          <w:rFonts w:ascii="Times New Roman" w:hAnsi="Times New Roman" w:cs="Times New Roman"/>
          <w:sz w:val="28"/>
          <w:szCs w:val="28"/>
          <w:u w:val="single"/>
        </w:rPr>
        <w:t>não</w:t>
      </w:r>
      <w:r w:rsidRPr="00567437">
        <w:rPr>
          <w:rFonts w:ascii="Times New Roman" w:hAnsi="Times New Roman" w:cs="Times New Roman"/>
          <w:sz w:val="28"/>
          <w:szCs w:val="28"/>
        </w:rPr>
        <w:t xml:space="preserve"> se encontra vinculada por este instrumento jurídico de acordo com o Considerando (44) da mesma Diretiva.</w:t>
      </w:r>
    </w:p>
    <w:p w14:paraId="678558EC" w14:textId="7AA9E843" w:rsidR="00993FFC" w:rsidRPr="00567437" w:rsidRDefault="0074309F" w:rsidP="00C151FE">
      <w:pPr>
        <w:spacing w:line="240" w:lineRule="auto"/>
        <w:jc w:val="both"/>
        <w:rPr>
          <w:rFonts w:ascii="Times New Roman" w:hAnsi="Times New Roman" w:cs="Times New Roman"/>
          <w:sz w:val="28"/>
          <w:szCs w:val="28"/>
        </w:rPr>
      </w:pPr>
      <w:r w:rsidRPr="00567437">
        <w:rPr>
          <w:rFonts w:ascii="Times New Roman" w:hAnsi="Times New Roman"/>
          <w:sz w:val="28"/>
          <w:szCs w:val="28"/>
        </w:rPr>
        <w:t xml:space="preserve">Tanto a Roménia como a Irlanda assinaram e ratificaram a Convenção de 2000 e a Convenção encontra-se em vigor desde 23.08.2020 na Irlanda. Isto significa que a </w:t>
      </w:r>
      <w:hyperlink r:id="rId50" w:history="1">
        <w:r w:rsidRPr="00567437">
          <w:rPr>
            <w:rStyle w:val="Hiperligao"/>
            <w:rFonts w:ascii="Times New Roman" w:hAnsi="Times New Roman" w:cs="Times New Roman"/>
            <w:color w:val="auto"/>
            <w:sz w:val="28"/>
            <w:szCs w:val="28"/>
            <w:u w:val="none"/>
          </w:rPr>
          <w:t>Convenção de 29 de maio de 2000 relativa ao Auxílio Judiciário Mútuo em Matéria Penal entre os Estados-Membros da União Europeia</w:t>
        </w:r>
      </w:hyperlink>
      <w:r w:rsidRPr="00567437">
        <w:rPr>
          <w:rFonts w:ascii="Times New Roman" w:hAnsi="Times New Roman"/>
          <w:sz w:val="28"/>
          <w:szCs w:val="28"/>
        </w:rPr>
        <w:t xml:space="preserve"> é aplicável, visto que ambos os EM a assinaram e ratificaram.</w:t>
      </w:r>
    </w:p>
    <w:p w14:paraId="645F77A5" w14:textId="0C459835" w:rsidR="001C4632"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Os requisitos para a </w:t>
      </w:r>
      <w:r w:rsidRPr="00567437">
        <w:rPr>
          <w:rFonts w:ascii="Times New Roman" w:hAnsi="Times New Roman" w:cs="Times New Roman"/>
          <w:b/>
          <w:bCs/>
          <w:sz w:val="28"/>
          <w:szCs w:val="28"/>
        </w:rPr>
        <w:t>audição de um suspeito por videoconferência</w:t>
      </w:r>
      <w:r w:rsidRPr="00567437">
        <w:rPr>
          <w:rFonts w:ascii="Times New Roman" w:hAnsi="Times New Roman" w:cs="Times New Roman"/>
          <w:sz w:val="28"/>
          <w:szCs w:val="28"/>
        </w:rPr>
        <w:t xml:space="preserve"> estão previstos no </w:t>
      </w:r>
      <w:r w:rsidRPr="00567437">
        <w:rPr>
          <w:rFonts w:ascii="Times New Roman" w:hAnsi="Times New Roman" w:cs="Times New Roman"/>
          <w:sz w:val="28"/>
          <w:szCs w:val="28"/>
          <w:u w:val="single"/>
        </w:rPr>
        <w:t>n.º 9 do Artigo 10.º da Convenção de 2000</w:t>
      </w:r>
      <w:r w:rsidRPr="00567437">
        <w:rPr>
          <w:rFonts w:ascii="Times New Roman" w:hAnsi="Times New Roman" w:cs="Times New Roman"/>
          <w:sz w:val="28"/>
          <w:szCs w:val="28"/>
        </w:rPr>
        <w:t xml:space="preserve">. Infelizmente, a Irlanda </w:t>
      </w:r>
      <w:r w:rsidRPr="00567437">
        <w:rPr>
          <w:rFonts w:ascii="Times New Roman" w:hAnsi="Times New Roman" w:cs="Times New Roman"/>
          <w:b/>
          <w:bCs/>
          <w:sz w:val="28"/>
          <w:szCs w:val="28"/>
        </w:rPr>
        <w:t>ainda não prestou quaisquer declarações relativas à audição das testemunhas por videoconferência (consultar as declarações prestadas por cada Estado na ligação abaixo).</w:t>
      </w:r>
    </w:p>
    <w:p w14:paraId="0013C951" w14:textId="77777777" w:rsidR="00E124AF" w:rsidRPr="00567437" w:rsidRDefault="00F71519" w:rsidP="00E124AF">
      <w:pPr>
        <w:spacing w:after="0" w:line="240" w:lineRule="auto"/>
        <w:jc w:val="both"/>
        <w:rPr>
          <w:rFonts w:ascii="Times New Roman" w:hAnsi="Times New Roman" w:cs="Times New Roman"/>
          <w:sz w:val="28"/>
          <w:szCs w:val="28"/>
        </w:rPr>
      </w:pPr>
    </w:p>
    <w:tbl>
      <w:tblPr>
        <w:tblW w:w="9108"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4C04A0" w:rsidRPr="00567437" w14:paraId="296D4901" w14:textId="77777777" w:rsidTr="00C151FE">
        <w:trPr>
          <w:trHeight w:val="1738"/>
        </w:trPr>
        <w:tc>
          <w:tcPr>
            <w:tcW w:w="910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21EE7AB" w14:textId="0A9B4707" w:rsidR="00E124AF" w:rsidRPr="00567437" w:rsidRDefault="0074309F">
            <w:pPr>
              <w:spacing w:after="0" w:line="240" w:lineRule="auto"/>
              <w:ind w:left="48"/>
              <w:jc w:val="both"/>
              <w:rPr>
                <w:rFonts w:ascii="Times New Roman" w:hAnsi="Times New Roman" w:cs="Times New Roman"/>
                <w:sz w:val="28"/>
                <w:szCs w:val="28"/>
              </w:rPr>
            </w:pPr>
            <w:r w:rsidRPr="00567437">
              <w:rPr>
                <w:rFonts w:ascii="Times New Roman" w:hAnsi="Times New Roman"/>
                <w:sz w:val="28"/>
                <w:szCs w:val="28"/>
              </w:rPr>
              <w:t xml:space="preserve">As declarações prestadas por cada EM relativamente a algumas das disposições da Convenção de 2000 </w:t>
            </w:r>
            <w:hyperlink r:id="rId51" w:history="1">
              <w:r w:rsidRPr="00567437">
                <w:rPr>
                  <w:rStyle w:val="Hiperligao"/>
                  <w:rFonts w:ascii="Times New Roman" w:hAnsi="Times New Roman" w:cs="Times New Roman"/>
                  <w:sz w:val="28"/>
                  <w:szCs w:val="28"/>
                </w:rPr>
                <w:t>podem ser consultadas no sítio Web da RJE</w:t>
              </w:r>
            </w:hyperlink>
            <w:r w:rsidRPr="00567437">
              <w:rPr>
                <w:rFonts w:ascii="Times New Roman" w:hAnsi="Times New Roman"/>
                <w:sz w:val="28"/>
                <w:szCs w:val="28"/>
              </w:rPr>
              <w:t>.</w:t>
            </w:r>
          </w:p>
          <w:p w14:paraId="0DF0BEBD" w14:textId="77777777" w:rsidR="00E124AF" w:rsidRPr="00567437" w:rsidRDefault="00F71519">
            <w:pPr>
              <w:spacing w:after="0" w:line="240" w:lineRule="auto"/>
              <w:ind w:left="48"/>
              <w:jc w:val="both"/>
              <w:rPr>
                <w:rFonts w:ascii="Times New Roman" w:hAnsi="Times New Roman" w:cs="Times New Roman"/>
                <w:sz w:val="28"/>
                <w:szCs w:val="28"/>
              </w:rPr>
            </w:pPr>
          </w:p>
          <w:p w14:paraId="2FA6B4A7" w14:textId="63412D49" w:rsidR="00E124AF" w:rsidRPr="00567437" w:rsidRDefault="0074309F" w:rsidP="00C151FE">
            <w:pPr>
              <w:spacing w:after="0" w:line="240" w:lineRule="auto"/>
              <w:ind w:left="48"/>
              <w:jc w:val="both"/>
              <w:rPr>
                <w:rFonts w:ascii="Times New Roman" w:hAnsi="Times New Roman" w:cs="Times New Roman"/>
                <w:sz w:val="28"/>
                <w:szCs w:val="28"/>
              </w:rPr>
            </w:pPr>
            <w:r w:rsidRPr="00567437">
              <w:rPr>
                <w:rFonts w:ascii="Times New Roman" w:hAnsi="Times New Roman"/>
                <w:sz w:val="28"/>
                <w:szCs w:val="28"/>
              </w:rPr>
              <w:t xml:space="preserve">As declarações prestadas pela Irlanda relativamente às disposições da Convenção de 2000 </w:t>
            </w:r>
            <w:hyperlink r:id="rId52" w:history="1">
              <w:r w:rsidRPr="00567437">
                <w:rPr>
                  <w:rStyle w:val="Hiperligao"/>
                  <w:rFonts w:ascii="Times New Roman" w:hAnsi="Times New Roman" w:cs="Times New Roman"/>
                  <w:sz w:val="28"/>
                  <w:szCs w:val="28"/>
                </w:rPr>
                <w:t>podem ser consultadas aqui</w:t>
              </w:r>
            </w:hyperlink>
            <w:r w:rsidRPr="00567437">
              <w:rPr>
                <w:rFonts w:ascii="Times New Roman" w:hAnsi="Times New Roman"/>
                <w:sz w:val="28"/>
                <w:szCs w:val="28"/>
              </w:rPr>
              <w:t>.</w:t>
            </w:r>
          </w:p>
        </w:tc>
      </w:tr>
    </w:tbl>
    <w:p w14:paraId="609684A4" w14:textId="77777777" w:rsidR="00E124AF" w:rsidRPr="00567437" w:rsidRDefault="00F71519" w:rsidP="00E124AF">
      <w:pPr>
        <w:spacing w:after="0" w:line="240" w:lineRule="auto"/>
        <w:jc w:val="both"/>
        <w:rPr>
          <w:rFonts w:ascii="Times New Roman" w:hAnsi="Times New Roman" w:cs="Times New Roman"/>
          <w:sz w:val="28"/>
          <w:szCs w:val="28"/>
        </w:rPr>
      </w:pPr>
    </w:p>
    <w:p w14:paraId="0F1DD1DF" w14:textId="215356F6" w:rsidR="000F2DCF"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i/>
          <w:iCs/>
          <w:sz w:val="28"/>
          <w:szCs w:val="28"/>
        </w:rPr>
        <w:t xml:space="preserve">Caso a autoridade competente requerente seja da </w:t>
      </w:r>
      <w:r w:rsidRPr="00567437">
        <w:rPr>
          <w:rFonts w:ascii="Times New Roman" w:hAnsi="Times New Roman"/>
          <w:i/>
          <w:iCs/>
          <w:sz w:val="28"/>
          <w:szCs w:val="28"/>
          <w:u w:val="single"/>
        </w:rPr>
        <w:t>Croácia</w:t>
      </w:r>
      <w:r w:rsidRPr="00567437">
        <w:rPr>
          <w:rFonts w:ascii="Times New Roman" w:hAnsi="Times New Roman"/>
          <w:i/>
          <w:iCs/>
          <w:sz w:val="28"/>
          <w:szCs w:val="28"/>
        </w:rPr>
        <w:t xml:space="preserve">, o </w:t>
      </w:r>
      <w:r w:rsidRPr="00567437">
        <w:rPr>
          <w:rFonts w:ascii="Times New Roman" w:hAnsi="Times New Roman"/>
          <w:i/>
          <w:iCs/>
          <w:sz w:val="28"/>
          <w:szCs w:val="28"/>
          <w:u w:val="single"/>
        </w:rPr>
        <w:t>n.º 8 do Artigo 9.º do Segundo Protocolo Adicional à Convenção Europeia de Auxílio Judiciário Mútuo em Matéria Penal de 1959 (Estrasburgo, 08/11/2001)</w:t>
      </w:r>
      <w:r w:rsidRPr="00567437">
        <w:rPr>
          <w:rFonts w:ascii="Times New Roman" w:hAnsi="Times New Roman"/>
          <w:i/>
          <w:iCs/>
          <w:sz w:val="28"/>
          <w:szCs w:val="28"/>
        </w:rPr>
        <w:t xml:space="preserve"> serão aplicáveis para a audição de um suspeito por videoconferência ou conferência telefónica, uma vez que a Croácia não assinou a </w:t>
      </w:r>
      <w:hyperlink r:id="rId53" w:history="1">
        <w:r w:rsidRPr="00567437">
          <w:rPr>
            <w:rStyle w:val="Hiperligao"/>
            <w:rFonts w:ascii="Times New Roman" w:hAnsi="Times New Roman" w:cs="Times New Roman"/>
            <w:i/>
            <w:iCs/>
            <w:color w:val="auto"/>
            <w:sz w:val="28"/>
            <w:szCs w:val="28"/>
            <w:u w:val="none"/>
          </w:rPr>
          <w:t>Convenção de 29 de Maio de 2000 relativa ao Auxílio Judiciário Mútuo em Matéria Penal entre os Estados-Membros da União Europeia</w:t>
        </w:r>
      </w:hyperlink>
      <w:r w:rsidRPr="00567437">
        <w:rPr>
          <w:rStyle w:val="Hiperligao"/>
          <w:rFonts w:ascii="Times New Roman" w:hAnsi="Times New Roman" w:cs="Times New Roman"/>
          <w:i/>
          <w:iCs/>
          <w:color w:val="auto"/>
          <w:sz w:val="28"/>
          <w:szCs w:val="28"/>
          <w:u w:val="none"/>
        </w:rPr>
        <w:t xml:space="preserve"> e a Irlanda não se encontra vinculada pela Diretiva 2014/41 relativa à DEI.</w:t>
      </w:r>
    </w:p>
    <w:p w14:paraId="2643B27A" w14:textId="1FE7CCE6" w:rsidR="00D43636" w:rsidRPr="00567437" w:rsidRDefault="0074309F">
      <w:pPr>
        <w:rPr>
          <w:rFonts w:ascii="Times New Roman" w:hAnsi="Times New Roman" w:cs="Times New Roman"/>
          <w:sz w:val="28"/>
          <w:szCs w:val="28"/>
        </w:rPr>
      </w:pPr>
      <w:r w:rsidRPr="00567437">
        <w:rPr>
          <w:rFonts w:ascii="Times New Roman" w:hAnsi="Times New Roman" w:cs="Times New Roman"/>
          <w:sz w:val="28"/>
          <w:szCs w:val="28"/>
        </w:rPr>
        <w:br w:type="page"/>
      </w:r>
    </w:p>
    <w:p w14:paraId="4CDD0E46" w14:textId="1C252041" w:rsidR="00C151FE" w:rsidRPr="00567437" w:rsidRDefault="0074309F" w:rsidP="00C151FE">
      <w:pPr>
        <w:jc w:val="both"/>
        <w:rPr>
          <w:rFonts w:ascii="Times New Roman" w:hAnsi="Times New Roman" w:cs="Times New Roman"/>
          <w:i/>
          <w:color w:val="2F5496" w:themeColor="accent1" w:themeShade="BF"/>
          <w:sz w:val="28"/>
          <w:szCs w:val="28"/>
        </w:rPr>
      </w:pPr>
      <w:r w:rsidRPr="00567437">
        <w:rPr>
          <w:rFonts w:ascii="Times New Roman" w:hAnsi="Times New Roman" w:cs="Times New Roman"/>
          <w:b/>
          <w:bCs/>
          <w:i/>
          <w:iCs/>
          <w:color w:val="2F5496" w:themeColor="accent1" w:themeShade="BF"/>
          <w:sz w:val="28"/>
          <w:szCs w:val="28"/>
        </w:rPr>
        <w:lastRenderedPageBreak/>
        <w:t>Q3.</w:t>
      </w:r>
      <w:r w:rsidRPr="00567437">
        <w:rPr>
          <w:rFonts w:ascii="Times New Roman" w:hAnsi="Times New Roman" w:cs="Times New Roman"/>
          <w:i/>
          <w:iCs/>
          <w:color w:val="2F5496" w:themeColor="accent1" w:themeShade="BF"/>
          <w:sz w:val="28"/>
          <w:szCs w:val="28"/>
        </w:rPr>
        <w:t xml:space="preserve"> Identifique as autoridades competentes solicitadas na Dinamarca e na Irlanda e os canais de transmissão que devem ser utilizados.</w:t>
      </w:r>
    </w:p>
    <w:p w14:paraId="31A294EA" w14:textId="6F47E5A8" w:rsidR="00DA2D25" w:rsidRPr="00567437" w:rsidRDefault="0074309F" w:rsidP="00C151FE">
      <w:pPr>
        <w:spacing w:line="240" w:lineRule="auto"/>
        <w:jc w:val="both"/>
        <w:rPr>
          <w:rFonts w:ascii="Times New Roman" w:hAnsi="Times New Roman" w:cs="Times New Roman"/>
          <w:b/>
          <w:bCs/>
          <w:sz w:val="28"/>
          <w:szCs w:val="28"/>
        </w:rPr>
      </w:pPr>
      <w:r w:rsidRPr="00567437">
        <w:rPr>
          <w:rFonts w:ascii="Times New Roman" w:hAnsi="Times New Roman" w:cs="Times New Roman"/>
          <w:b/>
          <w:bCs/>
          <w:sz w:val="28"/>
          <w:szCs w:val="28"/>
        </w:rPr>
        <w:t>Carta Rogatória =&gt; Roménia (ou outros EM, com exceção da Croácia e da Grécia) – Dinamarca</w:t>
      </w:r>
    </w:p>
    <w:p w14:paraId="1B69D09A" w14:textId="526BBA69" w:rsidR="006557E8"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Nos termos do n.º 1 do Artigo 6.º da Convenção de 2000, os pedidos de auxílio mútuo devem ser feitos por escrito, ou por qualquer meio capaz de produzir um registo escrito em condições que permitam ao Estado-Membro recetor estabelecer a autenticidade, e enviados </w:t>
      </w:r>
      <w:r w:rsidRPr="00567437">
        <w:rPr>
          <w:rFonts w:ascii="Times New Roman" w:hAnsi="Times New Roman" w:cs="Times New Roman"/>
          <w:b/>
          <w:bCs/>
          <w:sz w:val="28"/>
          <w:szCs w:val="28"/>
          <w:u w:val="single"/>
        </w:rPr>
        <w:t>diretamente</w:t>
      </w:r>
      <w:r w:rsidRPr="00567437">
        <w:rPr>
          <w:rFonts w:ascii="Times New Roman" w:hAnsi="Times New Roman" w:cs="Times New Roman"/>
          <w:sz w:val="28"/>
          <w:szCs w:val="28"/>
        </w:rPr>
        <w:t xml:space="preserve"> entre autoridades judiciárias com competência territorial para os iniciar e executar, e devem ser devolvidos através das mesmas vias, salvo disposição em contrário.</w:t>
      </w:r>
    </w:p>
    <w:p w14:paraId="7EE5AD0F" w14:textId="1DDF1D60" w:rsidR="00DA2D25" w:rsidRPr="00567437" w:rsidRDefault="0074309F" w:rsidP="00845A78">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A autoridade competente requerida pode ser identificada utilizando o </w:t>
      </w:r>
      <w:r w:rsidRPr="00567437">
        <w:rPr>
          <w:rFonts w:ascii="Times New Roman" w:hAnsi="Times New Roman" w:cs="Times New Roman"/>
          <w:b/>
          <w:bCs/>
          <w:sz w:val="28"/>
          <w:szCs w:val="28"/>
        </w:rPr>
        <w:t>Atlas</w:t>
      </w:r>
      <w:r w:rsidRPr="00567437">
        <w:rPr>
          <w:rFonts w:ascii="Times New Roman" w:hAnsi="Times New Roman" w:cs="Times New Roman"/>
          <w:sz w:val="28"/>
          <w:szCs w:val="28"/>
        </w:rPr>
        <w:t xml:space="preserve"> do </w:t>
      </w:r>
      <w:r w:rsidRPr="00567437">
        <w:rPr>
          <w:rFonts w:ascii="Times New Roman" w:hAnsi="Times New Roman" w:cs="Times New Roman"/>
          <w:sz w:val="28"/>
          <w:szCs w:val="28"/>
          <w:u w:val="single"/>
        </w:rPr>
        <w:t>sítio Web da RJE</w:t>
      </w:r>
      <w:r w:rsidRPr="00567437">
        <w:rPr>
          <w:rFonts w:ascii="Times New Roman" w:hAnsi="Times New Roman" w:cs="Times New Roman"/>
          <w:sz w:val="28"/>
          <w:szCs w:val="28"/>
        </w:rPr>
        <w:t xml:space="preserve">. Selecionar o país – Dinamarca e a medida de investigação necessária – 703. </w:t>
      </w:r>
      <w:proofErr w:type="spellStart"/>
      <w:r w:rsidRPr="00567437">
        <w:rPr>
          <w:rFonts w:ascii="Times New Roman" w:hAnsi="Times New Roman" w:cs="Times New Roman"/>
          <w:sz w:val="28"/>
          <w:szCs w:val="28"/>
        </w:rPr>
        <w:t>Hearing</w:t>
      </w:r>
      <w:proofErr w:type="spellEnd"/>
      <w:r w:rsidRPr="00567437">
        <w:rPr>
          <w:rFonts w:ascii="Times New Roman" w:hAnsi="Times New Roman" w:cs="Times New Roman"/>
          <w:sz w:val="28"/>
          <w:szCs w:val="28"/>
        </w:rPr>
        <w:t xml:space="preserve"> </w:t>
      </w:r>
      <w:proofErr w:type="spellStart"/>
      <w:r w:rsidRPr="00567437">
        <w:rPr>
          <w:rFonts w:ascii="Times New Roman" w:hAnsi="Times New Roman" w:cs="Times New Roman"/>
          <w:sz w:val="28"/>
          <w:szCs w:val="28"/>
        </w:rPr>
        <w:t>witnesses</w:t>
      </w:r>
      <w:proofErr w:type="spellEnd"/>
      <w:r w:rsidRPr="00567437">
        <w:rPr>
          <w:rFonts w:ascii="Times New Roman" w:hAnsi="Times New Roman" w:cs="Times New Roman"/>
          <w:sz w:val="28"/>
          <w:szCs w:val="28"/>
        </w:rPr>
        <w:t xml:space="preserve">: </w:t>
      </w:r>
      <w:proofErr w:type="spellStart"/>
      <w:r w:rsidRPr="00567437">
        <w:rPr>
          <w:rFonts w:ascii="Times New Roman" w:hAnsi="Times New Roman" w:cs="Times New Roman"/>
          <w:sz w:val="28"/>
          <w:szCs w:val="28"/>
        </w:rPr>
        <w:t>by</w:t>
      </w:r>
      <w:proofErr w:type="spellEnd"/>
      <w:r w:rsidRPr="00567437">
        <w:rPr>
          <w:rFonts w:ascii="Times New Roman" w:hAnsi="Times New Roman" w:cs="Times New Roman"/>
          <w:sz w:val="28"/>
          <w:szCs w:val="28"/>
        </w:rPr>
        <w:t xml:space="preserve"> </w:t>
      </w:r>
      <w:proofErr w:type="spellStart"/>
      <w:r w:rsidRPr="00567437">
        <w:rPr>
          <w:rFonts w:ascii="Times New Roman" w:hAnsi="Times New Roman" w:cs="Times New Roman"/>
          <w:sz w:val="28"/>
          <w:szCs w:val="28"/>
        </w:rPr>
        <w:t>video</w:t>
      </w:r>
      <w:proofErr w:type="spellEnd"/>
      <w:r w:rsidRPr="00567437">
        <w:rPr>
          <w:rFonts w:ascii="Times New Roman" w:hAnsi="Times New Roman" w:cs="Times New Roman"/>
          <w:sz w:val="28"/>
          <w:szCs w:val="28"/>
        </w:rPr>
        <w:t xml:space="preserve"> </w:t>
      </w:r>
      <w:proofErr w:type="spellStart"/>
      <w:r w:rsidRPr="00567437">
        <w:rPr>
          <w:rFonts w:ascii="Times New Roman" w:hAnsi="Times New Roman" w:cs="Times New Roman"/>
          <w:sz w:val="28"/>
          <w:szCs w:val="28"/>
        </w:rPr>
        <w:t>conference</w:t>
      </w:r>
      <w:proofErr w:type="spellEnd"/>
      <w:r w:rsidRPr="00567437">
        <w:rPr>
          <w:rFonts w:ascii="Times New Roman" w:hAnsi="Times New Roman" w:cs="Times New Roman"/>
          <w:sz w:val="28"/>
          <w:szCs w:val="28"/>
        </w:rPr>
        <w:t xml:space="preserve"> (</w:t>
      </w:r>
      <w:r w:rsidRPr="00567437">
        <w:rPr>
          <w:rFonts w:ascii="Times New Roman" w:hAnsi="Times New Roman" w:cs="Times New Roman"/>
          <w:i/>
          <w:iCs/>
          <w:sz w:val="28"/>
          <w:szCs w:val="28"/>
        </w:rPr>
        <w:t>audiência de testemunhas: por videoconferência</w:t>
      </w:r>
      <w:r w:rsidRPr="00567437">
        <w:rPr>
          <w:rFonts w:ascii="Times New Roman" w:hAnsi="Times New Roman" w:cs="Times New Roman"/>
          <w:sz w:val="28"/>
          <w:szCs w:val="28"/>
        </w:rPr>
        <w:t xml:space="preserve">); de seguida, selecionar </w:t>
      </w:r>
      <w:proofErr w:type="spellStart"/>
      <w:r w:rsidRPr="00567437">
        <w:rPr>
          <w:rFonts w:ascii="Times New Roman" w:hAnsi="Times New Roman" w:cs="Times New Roman"/>
          <w:i/>
          <w:iCs/>
          <w:sz w:val="28"/>
          <w:szCs w:val="28"/>
        </w:rPr>
        <w:t>all</w:t>
      </w:r>
      <w:proofErr w:type="spellEnd"/>
      <w:r w:rsidRPr="00567437">
        <w:rPr>
          <w:rFonts w:ascii="Times New Roman" w:hAnsi="Times New Roman" w:cs="Times New Roman"/>
          <w:i/>
          <w:iCs/>
          <w:sz w:val="28"/>
          <w:szCs w:val="28"/>
        </w:rPr>
        <w:t xml:space="preserve"> </w:t>
      </w:r>
      <w:proofErr w:type="spellStart"/>
      <w:r w:rsidRPr="00567437">
        <w:rPr>
          <w:rFonts w:ascii="Times New Roman" w:hAnsi="Times New Roman" w:cs="Times New Roman"/>
          <w:i/>
          <w:iCs/>
          <w:sz w:val="28"/>
          <w:szCs w:val="28"/>
        </w:rPr>
        <w:t>other</w:t>
      </w:r>
      <w:proofErr w:type="spellEnd"/>
      <w:r w:rsidRPr="00567437">
        <w:rPr>
          <w:rFonts w:ascii="Times New Roman" w:hAnsi="Times New Roman" w:cs="Times New Roman"/>
          <w:i/>
          <w:iCs/>
          <w:sz w:val="28"/>
          <w:szCs w:val="28"/>
        </w:rPr>
        <w:t xml:space="preserve"> </w:t>
      </w:r>
      <w:proofErr w:type="spellStart"/>
      <w:r w:rsidRPr="00567437">
        <w:rPr>
          <w:rFonts w:ascii="Times New Roman" w:hAnsi="Times New Roman" w:cs="Times New Roman"/>
          <w:i/>
          <w:iCs/>
          <w:sz w:val="28"/>
          <w:szCs w:val="28"/>
        </w:rPr>
        <w:t>matters</w:t>
      </w:r>
      <w:proofErr w:type="spellEnd"/>
      <w:r w:rsidRPr="00567437">
        <w:rPr>
          <w:rFonts w:ascii="Times New Roman" w:hAnsi="Times New Roman" w:cs="Times New Roman"/>
          <w:i/>
          <w:iCs/>
          <w:sz w:val="28"/>
          <w:szCs w:val="28"/>
        </w:rPr>
        <w:t xml:space="preserve"> (todos os outros assuntos) (não aplicável a</w:t>
      </w:r>
      <w:r w:rsidRPr="00567437">
        <w:rPr>
          <w:rFonts w:ascii="Times New Roman" w:hAnsi="Times New Roman" w:cs="Times New Roman"/>
        </w:rPr>
        <w:t xml:space="preserve"> </w:t>
      </w:r>
      <w:r w:rsidRPr="00567437">
        <w:rPr>
          <w:rFonts w:ascii="Times New Roman" w:hAnsi="Times New Roman" w:cs="Times New Roman"/>
          <w:i/>
          <w:iCs/>
          <w:sz w:val="28"/>
          <w:szCs w:val="28"/>
        </w:rPr>
        <w:t>infrações económicas graves, branqueamento de capitais)</w:t>
      </w:r>
      <w:r w:rsidRPr="00567437">
        <w:rPr>
          <w:rFonts w:ascii="Times New Roman" w:hAnsi="Times New Roman" w:cs="Times New Roman"/>
          <w:sz w:val="28"/>
          <w:szCs w:val="28"/>
        </w:rPr>
        <w:t xml:space="preserve">, o instrumento jurídico aplicável – a Convenção de 2000 – e acrescentar a cidade – </w:t>
      </w:r>
      <w:proofErr w:type="spellStart"/>
      <w:r w:rsidRPr="00567437">
        <w:rPr>
          <w:rFonts w:ascii="Times New Roman" w:hAnsi="Times New Roman" w:cs="Times New Roman"/>
          <w:sz w:val="28"/>
          <w:szCs w:val="28"/>
        </w:rPr>
        <w:t>Aarhus</w:t>
      </w:r>
      <w:proofErr w:type="spellEnd"/>
      <w:r w:rsidRPr="00567437">
        <w:rPr>
          <w:rFonts w:ascii="Times New Roman" w:hAnsi="Times New Roman" w:cs="Times New Roman"/>
          <w:sz w:val="28"/>
          <w:szCs w:val="28"/>
        </w:rPr>
        <w:t>. Deve aparecer a autoridade competente para onde a Carta Rogatória deve ser enviada diretamente (consultar os passos abaixo).</w:t>
      </w:r>
    </w:p>
    <w:p w14:paraId="78B5D4CF" w14:textId="72B20295" w:rsidR="00DA2D25" w:rsidRPr="00567437" w:rsidRDefault="00F71519" w:rsidP="00DA2D25">
      <w:pPr>
        <w:spacing w:after="0" w:line="240" w:lineRule="auto"/>
        <w:jc w:val="both"/>
        <w:rPr>
          <w:rFonts w:ascii="Times New Roman" w:hAnsi="Times New Roman" w:cs="Times New Roman"/>
          <w:sz w:val="28"/>
          <w:szCs w:val="28"/>
        </w:rPr>
      </w:pPr>
    </w:p>
    <w:p w14:paraId="637A1A39" w14:textId="7850A084" w:rsidR="00DA2D25" w:rsidRPr="00567437" w:rsidRDefault="0074309F" w:rsidP="00DA2D25">
      <w:pPr>
        <w:spacing w:after="0" w:line="240" w:lineRule="auto"/>
        <w:jc w:val="both"/>
        <w:rPr>
          <w:rFonts w:ascii="Times New Roman" w:hAnsi="Times New Roman" w:cs="Times New Roman"/>
          <w:sz w:val="28"/>
          <w:szCs w:val="28"/>
        </w:rPr>
      </w:pPr>
      <w:r w:rsidRPr="00567437">
        <w:drawing>
          <wp:inline distT="0" distB="0" distL="0" distR="0">
            <wp:extent cx="5734050" cy="21717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173580" name="Picture 2"/>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734050" cy="2171700"/>
                    </a:xfrm>
                    <a:prstGeom prst="rect">
                      <a:avLst/>
                    </a:prstGeom>
                    <a:noFill/>
                    <a:ln>
                      <a:noFill/>
                    </a:ln>
                  </pic:spPr>
                </pic:pic>
              </a:graphicData>
            </a:graphic>
          </wp:inline>
        </w:drawing>
      </w:r>
    </w:p>
    <w:p w14:paraId="5E4CEE86" w14:textId="77777777" w:rsidR="00DA2D25" w:rsidRPr="00567437" w:rsidRDefault="00F71519" w:rsidP="00DA2D25">
      <w:pPr>
        <w:spacing w:after="0" w:line="240" w:lineRule="auto"/>
        <w:jc w:val="both"/>
        <w:rPr>
          <w:rFonts w:ascii="Times New Roman" w:hAnsi="Times New Roman" w:cs="Times New Roman"/>
          <w:sz w:val="28"/>
          <w:szCs w:val="28"/>
        </w:rPr>
      </w:pPr>
    </w:p>
    <w:p w14:paraId="48676126" w14:textId="6242FD67" w:rsidR="00DA2D25" w:rsidRPr="00567437" w:rsidRDefault="0074309F" w:rsidP="00DA2D25">
      <w:pPr>
        <w:spacing w:after="0" w:line="240" w:lineRule="auto"/>
        <w:jc w:val="both"/>
        <w:rPr>
          <w:rFonts w:ascii="Times New Roman" w:hAnsi="Times New Roman" w:cs="Times New Roman"/>
          <w:sz w:val="28"/>
          <w:szCs w:val="28"/>
        </w:rPr>
      </w:pPr>
      <w:r w:rsidRPr="00567437">
        <w:lastRenderedPageBreak/>
        <w:drawing>
          <wp:inline distT="0" distB="0" distL="0" distR="0">
            <wp:extent cx="5734050" cy="340995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67486" name="Picture 3"/>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734050" cy="3409950"/>
                    </a:xfrm>
                    <a:prstGeom prst="rect">
                      <a:avLst/>
                    </a:prstGeom>
                    <a:noFill/>
                    <a:ln>
                      <a:noFill/>
                    </a:ln>
                  </pic:spPr>
                </pic:pic>
              </a:graphicData>
            </a:graphic>
          </wp:inline>
        </w:drawing>
      </w:r>
    </w:p>
    <w:p w14:paraId="4106B9CF" w14:textId="1031F1A6" w:rsidR="00DA2D25" w:rsidRPr="00567437" w:rsidRDefault="0074309F" w:rsidP="00DA2D25">
      <w:pPr>
        <w:spacing w:after="0" w:line="240" w:lineRule="auto"/>
        <w:jc w:val="both"/>
        <w:rPr>
          <w:rFonts w:ascii="Times New Roman" w:hAnsi="Times New Roman" w:cs="Times New Roman"/>
          <w:sz w:val="28"/>
          <w:szCs w:val="28"/>
        </w:rPr>
      </w:pPr>
      <w:r w:rsidRPr="00567437">
        <w:drawing>
          <wp:inline distT="0" distB="0" distL="0" distR="0">
            <wp:extent cx="5724525" cy="2867025"/>
            <wp:effectExtent l="0" t="0" r="9525"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949082" name="Picture 4"/>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724525" cy="2867025"/>
                    </a:xfrm>
                    <a:prstGeom prst="rect">
                      <a:avLst/>
                    </a:prstGeom>
                    <a:noFill/>
                    <a:ln>
                      <a:noFill/>
                    </a:ln>
                  </pic:spPr>
                </pic:pic>
              </a:graphicData>
            </a:graphic>
          </wp:inline>
        </w:drawing>
      </w:r>
    </w:p>
    <w:p w14:paraId="3A130D38" w14:textId="77777777" w:rsidR="00DA2D25" w:rsidRPr="00567437" w:rsidRDefault="00F71519" w:rsidP="00DA2D25">
      <w:pPr>
        <w:spacing w:after="0" w:line="240" w:lineRule="auto"/>
        <w:jc w:val="both"/>
        <w:rPr>
          <w:rFonts w:ascii="Times New Roman" w:hAnsi="Times New Roman" w:cs="Times New Roman"/>
          <w:sz w:val="28"/>
          <w:szCs w:val="28"/>
        </w:rPr>
      </w:pPr>
    </w:p>
    <w:p w14:paraId="3219F1DC" w14:textId="4604A23E" w:rsidR="00DA2D25" w:rsidRPr="00567437" w:rsidRDefault="0074309F" w:rsidP="00DA2D25">
      <w:pPr>
        <w:spacing w:after="0" w:line="240" w:lineRule="auto"/>
        <w:jc w:val="both"/>
        <w:rPr>
          <w:rFonts w:ascii="Times New Roman" w:hAnsi="Times New Roman" w:cs="Times New Roman"/>
          <w:sz w:val="28"/>
          <w:szCs w:val="28"/>
        </w:rPr>
      </w:pPr>
      <w:r w:rsidRPr="00567437">
        <w:lastRenderedPageBreak/>
        <w:drawing>
          <wp:inline distT="0" distB="0" distL="0" distR="0">
            <wp:extent cx="5731510" cy="3769995"/>
            <wp:effectExtent l="0" t="0" r="2540" b="1905"/>
            <wp:docPr id="29" name="Picture 5"/>
            <wp:cNvGraphicFramePr/>
            <a:graphic xmlns:a="http://schemas.openxmlformats.org/drawingml/2006/main">
              <a:graphicData uri="http://schemas.openxmlformats.org/drawingml/2006/picture">
                <pic:pic xmlns:pic="http://schemas.openxmlformats.org/drawingml/2006/picture">
                  <pic:nvPicPr>
                    <pic:cNvPr id="853833373" name="Picture 5"/>
                    <pic:cNvPicPr/>
                  </pic:nvPicPr>
                  <pic:blipFill>
                    <a:blip r:embed="rId57"/>
                    <a:stretch>
                      <a:fillRect/>
                    </a:stretch>
                  </pic:blipFill>
                  <pic:spPr>
                    <a:xfrm>
                      <a:off x="0" y="0"/>
                      <a:ext cx="5731510" cy="3769995"/>
                    </a:xfrm>
                    <a:prstGeom prst="rect">
                      <a:avLst/>
                    </a:prstGeom>
                  </pic:spPr>
                </pic:pic>
              </a:graphicData>
            </a:graphic>
          </wp:inline>
        </w:drawing>
      </w:r>
    </w:p>
    <w:p w14:paraId="12C74009" w14:textId="00F0481B" w:rsidR="00DA2D25" w:rsidRPr="00567437" w:rsidRDefault="00F71519" w:rsidP="00DA2D25">
      <w:pPr>
        <w:spacing w:after="0" w:line="240" w:lineRule="auto"/>
        <w:jc w:val="both"/>
        <w:rPr>
          <w:rFonts w:ascii="Times New Roman" w:hAnsi="Times New Roman" w:cs="Times New Roman"/>
          <w:sz w:val="28"/>
          <w:szCs w:val="28"/>
        </w:rPr>
      </w:pPr>
    </w:p>
    <w:p w14:paraId="3A3E689C" w14:textId="5EBE3CC6" w:rsidR="00DA2D25" w:rsidRPr="00567437" w:rsidRDefault="0074309F" w:rsidP="00DA2D25">
      <w:pPr>
        <w:spacing w:after="0" w:line="240" w:lineRule="auto"/>
        <w:jc w:val="both"/>
        <w:rPr>
          <w:rFonts w:ascii="Times New Roman" w:hAnsi="Times New Roman" w:cs="Times New Roman"/>
          <w:sz w:val="28"/>
          <w:szCs w:val="28"/>
        </w:rPr>
      </w:pPr>
      <w:r w:rsidRPr="00567437">
        <w:drawing>
          <wp:inline distT="0" distB="0" distL="0" distR="0">
            <wp:extent cx="5734050" cy="455295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84798" name="Picture 18"/>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734050" cy="4552950"/>
                    </a:xfrm>
                    <a:prstGeom prst="rect">
                      <a:avLst/>
                    </a:prstGeom>
                    <a:noFill/>
                    <a:ln>
                      <a:noFill/>
                    </a:ln>
                  </pic:spPr>
                </pic:pic>
              </a:graphicData>
            </a:graphic>
          </wp:inline>
        </w:drawing>
      </w:r>
    </w:p>
    <w:p w14:paraId="73741FE8" w14:textId="77777777" w:rsidR="00DA2D25" w:rsidRPr="00567437" w:rsidRDefault="00F71519" w:rsidP="00DA2D25">
      <w:pPr>
        <w:spacing w:after="0" w:line="240" w:lineRule="auto"/>
        <w:jc w:val="both"/>
        <w:rPr>
          <w:rFonts w:ascii="Times New Roman" w:hAnsi="Times New Roman" w:cs="Times New Roman"/>
          <w:sz w:val="28"/>
          <w:szCs w:val="28"/>
        </w:rPr>
      </w:pPr>
    </w:p>
    <w:p w14:paraId="480904A0" w14:textId="5054B347" w:rsidR="00E15A11" w:rsidRPr="00567437" w:rsidRDefault="0074309F" w:rsidP="0074607F">
      <w:pPr>
        <w:jc w:val="both"/>
        <w:rPr>
          <w:rFonts w:ascii="Times New Roman" w:hAnsi="Times New Roman" w:cs="Times New Roman"/>
          <w:sz w:val="28"/>
          <w:szCs w:val="28"/>
        </w:rPr>
      </w:pPr>
      <w:r w:rsidRPr="00567437">
        <w:rPr>
          <w:rFonts w:ascii="Times New Roman" w:hAnsi="Times New Roman" w:cs="Times New Roman"/>
          <w:sz w:val="28"/>
          <w:szCs w:val="28"/>
        </w:rPr>
        <w:lastRenderedPageBreak/>
        <w:t>Após enviar a Carta Rogatória a esta autoridade competente, a autoridade requerente e a autoridade requerida entrarão em contacto a fim de organizarem todos os detalhes técnicos para esta audiência.</w:t>
      </w:r>
    </w:p>
    <w:p w14:paraId="21B89991" w14:textId="23B950E5" w:rsidR="00D20F10" w:rsidRPr="00567437" w:rsidRDefault="0074309F" w:rsidP="00C151FE">
      <w:pPr>
        <w:jc w:val="both"/>
        <w:rPr>
          <w:rFonts w:ascii="Times New Roman" w:hAnsi="Times New Roman" w:cs="Times New Roman"/>
          <w:sz w:val="28"/>
          <w:szCs w:val="28"/>
        </w:rPr>
      </w:pPr>
      <w:r w:rsidRPr="00567437">
        <w:rPr>
          <w:rFonts w:ascii="Times New Roman" w:hAnsi="Times New Roman" w:cs="Times New Roman"/>
          <w:sz w:val="28"/>
          <w:szCs w:val="28"/>
        </w:rPr>
        <w:t xml:space="preserve">No caso da </w:t>
      </w:r>
      <w:r w:rsidRPr="00567437">
        <w:rPr>
          <w:rFonts w:ascii="Times New Roman" w:hAnsi="Times New Roman" w:cs="Times New Roman"/>
          <w:sz w:val="28"/>
          <w:szCs w:val="28"/>
          <w:u w:val="single"/>
        </w:rPr>
        <w:t>Croácia</w:t>
      </w:r>
      <w:r w:rsidRPr="00567437">
        <w:rPr>
          <w:rFonts w:ascii="Times New Roman" w:hAnsi="Times New Roman" w:cs="Times New Roman"/>
          <w:sz w:val="28"/>
          <w:szCs w:val="28"/>
        </w:rPr>
        <w:t>, o Artigo 4.º do Segundo Protocolo Adicional à Convenção Europeia de Auxílio Judiciário Mútuo em Matéria Penal de 1959 será aplicável, evidentemente, se não existir um acordo bilateral mais favorável entre os dois países (canal do MJ para o MJ).</w:t>
      </w:r>
    </w:p>
    <w:p w14:paraId="2F6C4674" w14:textId="622AFF62" w:rsidR="001F0975" w:rsidRPr="00567437" w:rsidRDefault="0074309F" w:rsidP="00C151FE">
      <w:pPr>
        <w:spacing w:line="240" w:lineRule="auto"/>
        <w:jc w:val="both"/>
        <w:rPr>
          <w:rFonts w:ascii="Times New Roman" w:hAnsi="Times New Roman" w:cs="Times New Roman"/>
          <w:b/>
          <w:bCs/>
          <w:sz w:val="28"/>
          <w:szCs w:val="28"/>
        </w:rPr>
      </w:pPr>
      <w:r w:rsidRPr="00567437">
        <w:rPr>
          <w:rFonts w:ascii="Times New Roman" w:hAnsi="Times New Roman" w:cs="Times New Roman"/>
          <w:b/>
          <w:bCs/>
          <w:sz w:val="28"/>
          <w:szCs w:val="28"/>
        </w:rPr>
        <w:t>Carta Rogatória =&gt; Roménia (ou outros EM, com exceção da Croácia e da Grécia) – Irlanda</w:t>
      </w:r>
    </w:p>
    <w:p w14:paraId="1C5356DC" w14:textId="03D864FC" w:rsidR="001F0975"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Nos termos do n.º 1 do Artigo 6.º da Convenção de 2000, os pedidos de auxílio mútuo devem ser feitos por escrito, ou por qualquer meio capaz de produzir um registo escrito em condições que permitam ao Estado-Membro recetor estabelecer a autenticidade, e enviados diretamente entre autoridades judiciárias com competência territorial para os iniciar e executar, e devem ser devolvidos através das mesmas vias, salvo disposição em contrário.</w:t>
      </w:r>
    </w:p>
    <w:p w14:paraId="2A9AA6AC" w14:textId="08B190FC" w:rsidR="0074607F" w:rsidRPr="00567437" w:rsidRDefault="0074309F" w:rsidP="00D14C39">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Não obstante o n.º 1, o Reino Unido e a </w:t>
      </w:r>
      <w:r w:rsidRPr="00567437">
        <w:rPr>
          <w:rFonts w:ascii="Times New Roman" w:hAnsi="Times New Roman" w:cs="Times New Roman"/>
          <w:b/>
          <w:bCs/>
          <w:sz w:val="28"/>
          <w:szCs w:val="28"/>
        </w:rPr>
        <w:t>Irlanda</w:t>
      </w:r>
      <w:r w:rsidRPr="00567437">
        <w:rPr>
          <w:rFonts w:ascii="Times New Roman" w:hAnsi="Times New Roman" w:cs="Times New Roman"/>
          <w:sz w:val="28"/>
          <w:szCs w:val="28"/>
        </w:rPr>
        <w:t xml:space="preserve">, respetivamente, podem, </w:t>
      </w:r>
      <w:r w:rsidRPr="00567437">
        <w:rPr>
          <w:rFonts w:ascii="Times New Roman" w:hAnsi="Times New Roman" w:cs="Times New Roman"/>
          <w:b/>
          <w:bCs/>
          <w:sz w:val="28"/>
          <w:szCs w:val="28"/>
        </w:rPr>
        <w:t>ao procederem à notificação prevista no n.º 2 do Artigo 27.º, declarar que os pedidos e as comunicações que lhe forem dirigidos, tal como especificado na declaração, devem ser enviados através da sua autoridade central.</w:t>
      </w:r>
      <w:r w:rsidRPr="00567437">
        <w:rPr>
          <w:rFonts w:ascii="Times New Roman" w:hAnsi="Times New Roman" w:cs="Times New Roman"/>
          <w:sz w:val="28"/>
          <w:szCs w:val="28"/>
        </w:rPr>
        <w:t xml:space="preserve"> Estes Estados-Membros e o Reino Unido e a Irlanda podem, a qualquer momento, através de uma nova declaração, limitar o âmbito de tal declaração com o objetivo de conferir maior efeito ao n.º 1. Devem fazê-lo quando as disposições sobre o auxílio mútuo da Convenção de Aplicação do Acordo de Schengen forem colocadas em vigor para os mesmos (n.º 3 do Artigo 6.º da Convenção de 2000).</w:t>
      </w:r>
    </w:p>
    <w:p w14:paraId="77011DF2" w14:textId="0891A527" w:rsidR="00D14C39" w:rsidRPr="00567437" w:rsidRDefault="0074309F" w:rsidP="00D14C39">
      <w:pPr>
        <w:spacing w:after="0" w:line="240" w:lineRule="auto"/>
        <w:jc w:val="both"/>
        <w:rPr>
          <w:rFonts w:ascii="Times New Roman" w:hAnsi="Times New Roman" w:cs="Times New Roman"/>
          <w:sz w:val="28"/>
          <w:szCs w:val="28"/>
        </w:rPr>
      </w:pPr>
      <w:r w:rsidRPr="00567437">
        <w:rPr>
          <w:rFonts w:ascii="Times New Roman" w:hAnsi="Times New Roman" w:cs="Times New Roman"/>
          <w:sz w:val="28"/>
          <w:szCs w:val="28"/>
        </w:rPr>
        <w:t>A Irlanda estou uma declaração a este Artigo e, assim sendo, todos os pedidos recebidos devem ser enviados ao ministro da justiça e da Igualdade como Autoridade Central (ver abaixo).</w:t>
      </w:r>
    </w:p>
    <w:p w14:paraId="366B3C5B" w14:textId="56799106" w:rsidR="001F0975" w:rsidRPr="00567437" w:rsidRDefault="00F71519" w:rsidP="0074607F">
      <w:pPr>
        <w:spacing w:line="240" w:lineRule="auto"/>
        <w:jc w:val="both"/>
        <w:rPr>
          <w:rFonts w:ascii="Times New Roman" w:hAnsi="Times New Roman" w:cs="Times New Roman"/>
          <w:sz w:val="28"/>
          <w:szCs w:val="28"/>
        </w:rPr>
      </w:pPr>
    </w:p>
    <w:p w14:paraId="4CA44DFE" w14:textId="09F8DD05" w:rsidR="001F0975"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rPr>
        <w:drawing>
          <wp:inline distT="0" distB="0" distL="0" distR="0">
            <wp:extent cx="5731510" cy="7156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62191" name=""/>
                    <pic:cNvPicPr/>
                  </pic:nvPicPr>
                  <pic:blipFill>
                    <a:blip r:embed="rId59"/>
                    <a:stretch>
                      <a:fillRect/>
                    </a:stretch>
                  </pic:blipFill>
                  <pic:spPr>
                    <a:xfrm>
                      <a:off x="0" y="0"/>
                      <a:ext cx="5731510" cy="715645"/>
                    </a:xfrm>
                    <a:prstGeom prst="rect">
                      <a:avLst/>
                    </a:prstGeom>
                  </pic:spPr>
                </pic:pic>
              </a:graphicData>
            </a:graphic>
          </wp:inline>
        </w:drawing>
      </w:r>
    </w:p>
    <w:p w14:paraId="3996749B" w14:textId="2B43B5B3" w:rsidR="006557E8"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Por este motivo, o pedido de auxílio mútuo deve ser dirigido por escrito pelo Ministério da Justiça da Roménia (autoridade requerente) ao Ministério da Justiça e da Igualdade irlandês (como autoridade central requerida) e deve ser devolvido através dos mesmos canais.</w:t>
      </w:r>
    </w:p>
    <w:p w14:paraId="1805A64E" w14:textId="2E9A6934" w:rsidR="00945A47" w:rsidRPr="00567437" w:rsidRDefault="00F71519" w:rsidP="0074607F">
      <w:pPr>
        <w:rPr>
          <w:rFonts w:ascii="Times New Roman" w:hAnsi="Times New Roman" w:cs="Times New Roman"/>
          <w:sz w:val="28"/>
          <w:szCs w:val="28"/>
        </w:rPr>
      </w:pPr>
    </w:p>
    <w:p w14:paraId="52B0A100" w14:textId="77777777" w:rsidR="00D14C39" w:rsidRPr="00567437" w:rsidRDefault="00F71519" w:rsidP="00D14C39">
      <w:pPr>
        <w:spacing w:after="0" w:line="240" w:lineRule="auto"/>
        <w:jc w:val="both"/>
        <w:rPr>
          <w:rFonts w:ascii="Times New Roman" w:hAnsi="Times New Roman" w:cs="Times New Roman"/>
          <w:sz w:val="28"/>
          <w:szCs w:val="28"/>
        </w:rPr>
      </w:pPr>
    </w:p>
    <w:p w14:paraId="5D1D5A5C" w14:textId="4E030FAC" w:rsidR="00D14C39" w:rsidRPr="00567437" w:rsidRDefault="0074309F" w:rsidP="00D14C39">
      <w:pPr>
        <w:spacing w:after="0" w:line="240" w:lineRule="auto"/>
        <w:jc w:val="both"/>
        <w:rPr>
          <w:rFonts w:ascii="Times New Roman" w:hAnsi="Times New Roman" w:cs="Times New Roman"/>
          <w:sz w:val="28"/>
          <w:szCs w:val="28"/>
        </w:rPr>
      </w:pPr>
      <w:r w:rsidRPr="00567437">
        <w:lastRenderedPageBreak/>
        <w:drawing>
          <wp:inline distT="0" distB="0" distL="0" distR="0">
            <wp:extent cx="5734050" cy="2657475"/>
            <wp:effectExtent l="0" t="0" r="0"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36343" name="Picture 19"/>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734050" cy="2657475"/>
                    </a:xfrm>
                    <a:prstGeom prst="rect">
                      <a:avLst/>
                    </a:prstGeom>
                    <a:noFill/>
                    <a:ln>
                      <a:noFill/>
                    </a:ln>
                  </pic:spPr>
                </pic:pic>
              </a:graphicData>
            </a:graphic>
          </wp:inline>
        </w:drawing>
      </w:r>
    </w:p>
    <w:p w14:paraId="4A2061B3" w14:textId="77777777" w:rsidR="00D14C39" w:rsidRPr="00567437" w:rsidRDefault="00F71519" w:rsidP="00D14C39">
      <w:pPr>
        <w:spacing w:after="0" w:line="240" w:lineRule="auto"/>
        <w:jc w:val="both"/>
        <w:rPr>
          <w:rFonts w:ascii="Times New Roman" w:hAnsi="Times New Roman" w:cs="Times New Roman"/>
          <w:sz w:val="28"/>
          <w:szCs w:val="28"/>
        </w:rPr>
      </w:pPr>
    </w:p>
    <w:p w14:paraId="5750E78B" w14:textId="77777777" w:rsidR="00D14C39" w:rsidRPr="00567437" w:rsidRDefault="00F71519" w:rsidP="00D14C39">
      <w:pPr>
        <w:spacing w:after="0" w:line="240" w:lineRule="auto"/>
        <w:jc w:val="both"/>
        <w:rPr>
          <w:rFonts w:ascii="Times New Roman" w:hAnsi="Times New Roman" w:cs="Times New Roman"/>
          <w:sz w:val="28"/>
          <w:szCs w:val="28"/>
        </w:rPr>
      </w:pPr>
    </w:p>
    <w:p w14:paraId="55CF9F54" w14:textId="77777777" w:rsidR="00D14C39" w:rsidRPr="00567437" w:rsidRDefault="00F71519" w:rsidP="00D14C39">
      <w:pPr>
        <w:spacing w:after="0" w:line="240" w:lineRule="auto"/>
        <w:jc w:val="both"/>
        <w:rPr>
          <w:rFonts w:ascii="Times New Roman" w:hAnsi="Times New Roman" w:cs="Times New Roman"/>
          <w:sz w:val="28"/>
          <w:szCs w:val="28"/>
        </w:rPr>
      </w:pPr>
    </w:p>
    <w:p w14:paraId="19203F92" w14:textId="77777777" w:rsidR="00D14C39" w:rsidRPr="00567437" w:rsidRDefault="00F71519" w:rsidP="00D14C39">
      <w:pPr>
        <w:spacing w:after="0" w:line="240" w:lineRule="auto"/>
        <w:jc w:val="both"/>
        <w:rPr>
          <w:rFonts w:ascii="Times New Roman" w:hAnsi="Times New Roman" w:cs="Times New Roman"/>
          <w:sz w:val="28"/>
          <w:szCs w:val="28"/>
        </w:rPr>
      </w:pPr>
    </w:p>
    <w:p w14:paraId="053386A7" w14:textId="64EB7335" w:rsidR="00D14C39" w:rsidRPr="00567437" w:rsidRDefault="0074309F" w:rsidP="00D14C39">
      <w:pPr>
        <w:spacing w:after="0" w:line="240" w:lineRule="auto"/>
        <w:jc w:val="both"/>
        <w:rPr>
          <w:rFonts w:ascii="Times New Roman" w:hAnsi="Times New Roman" w:cs="Times New Roman"/>
          <w:sz w:val="28"/>
          <w:szCs w:val="28"/>
        </w:rPr>
      </w:pPr>
      <w:r w:rsidRPr="00567437">
        <w:drawing>
          <wp:inline distT="0" distB="0" distL="0" distR="0">
            <wp:extent cx="5734050" cy="4562475"/>
            <wp:effectExtent l="0" t="0" r="0"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84848" name="Picture 26"/>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734050" cy="4562475"/>
                    </a:xfrm>
                    <a:prstGeom prst="rect">
                      <a:avLst/>
                    </a:prstGeom>
                    <a:noFill/>
                    <a:ln>
                      <a:noFill/>
                    </a:ln>
                  </pic:spPr>
                </pic:pic>
              </a:graphicData>
            </a:graphic>
          </wp:inline>
        </w:drawing>
      </w:r>
    </w:p>
    <w:p w14:paraId="57F4CD0C" w14:textId="77777777" w:rsidR="00D14C39" w:rsidRPr="00567437" w:rsidRDefault="00F71519" w:rsidP="00D14C39">
      <w:pPr>
        <w:spacing w:after="0" w:line="240" w:lineRule="auto"/>
        <w:jc w:val="both"/>
        <w:rPr>
          <w:rFonts w:ascii="Times New Roman" w:hAnsi="Times New Roman" w:cs="Times New Roman"/>
          <w:sz w:val="28"/>
          <w:szCs w:val="28"/>
        </w:rPr>
      </w:pPr>
    </w:p>
    <w:p w14:paraId="656B17A1" w14:textId="66F1B4A0" w:rsidR="00D14C39" w:rsidRPr="00567437" w:rsidRDefault="0074309F" w:rsidP="00D14C39">
      <w:pPr>
        <w:spacing w:after="0" w:line="240" w:lineRule="auto"/>
        <w:jc w:val="both"/>
        <w:rPr>
          <w:rFonts w:ascii="Times New Roman" w:hAnsi="Times New Roman" w:cs="Times New Roman"/>
          <w:sz w:val="28"/>
          <w:szCs w:val="28"/>
        </w:rPr>
      </w:pPr>
      <w:r w:rsidRPr="00567437">
        <w:lastRenderedPageBreak/>
        <w:drawing>
          <wp:inline distT="0" distB="0" distL="0" distR="0">
            <wp:extent cx="5734050" cy="321945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06691" name="Picture 21"/>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734050" cy="3219450"/>
                    </a:xfrm>
                    <a:prstGeom prst="rect">
                      <a:avLst/>
                    </a:prstGeom>
                    <a:noFill/>
                    <a:ln>
                      <a:noFill/>
                    </a:ln>
                  </pic:spPr>
                </pic:pic>
              </a:graphicData>
            </a:graphic>
          </wp:inline>
        </w:drawing>
      </w:r>
    </w:p>
    <w:p w14:paraId="58766643" w14:textId="77777777" w:rsidR="00D14C39" w:rsidRPr="00567437" w:rsidRDefault="00F71519" w:rsidP="00D14C39">
      <w:pPr>
        <w:spacing w:after="0" w:line="240" w:lineRule="auto"/>
        <w:jc w:val="both"/>
        <w:rPr>
          <w:rFonts w:ascii="Times New Roman" w:hAnsi="Times New Roman" w:cs="Times New Roman"/>
          <w:sz w:val="28"/>
          <w:szCs w:val="28"/>
        </w:rPr>
      </w:pPr>
    </w:p>
    <w:p w14:paraId="24C17A81" w14:textId="77777777" w:rsidR="00D14C39" w:rsidRPr="00567437" w:rsidRDefault="00F71519" w:rsidP="00D14C39">
      <w:pPr>
        <w:spacing w:after="0" w:line="240" w:lineRule="auto"/>
        <w:jc w:val="both"/>
        <w:rPr>
          <w:rFonts w:ascii="Times New Roman" w:hAnsi="Times New Roman" w:cs="Times New Roman"/>
          <w:sz w:val="28"/>
          <w:szCs w:val="28"/>
        </w:rPr>
      </w:pPr>
    </w:p>
    <w:p w14:paraId="250AD5D5" w14:textId="0F2082F8" w:rsidR="00D14C39" w:rsidRPr="00567437" w:rsidRDefault="0074309F" w:rsidP="008A7C0A">
      <w:pPr>
        <w:jc w:val="both"/>
        <w:rPr>
          <w:rFonts w:ascii="Times New Roman" w:hAnsi="Times New Roman" w:cs="Times New Roman"/>
          <w:i/>
          <w:color w:val="2F5496" w:themeColor="accent1" w:themeShade="BF"/>
          <w:sz w:val="28"/>
          <w:szCs w:val="28"/>
        </w:rPr>
      </w:pPr>
      <w:r w:rsidRPr="00567437">
        <w:rPr>
          <w:rFonts w:ascii="Times New Roman" w:hAnsi="Times New Roman" w:cs="Times New Roman"/>
          <w:b/>
          <w:bCs/>
          <w:i/>
          <w:iCs/>
          <w:color w:val="2F5496" w:themeColor="accent1" w:themeShade="BF"/>
          <w:sz w:val="28"/>
          <w:szCs w:val="28"/>
        </w:rPr>
        <w:t>Q4.</w:t>
      </w:r>
      <w:r w:rsidRPr="00567437">
        <w:rPr>
          <w:rFonts w:ascii="Times New Roman" w:hAnsi="Times New Roman" w:cs="Times New Roman"/>
          <w:i/>
          <w:iCs/>
          <w:color w:val="2F5496" w:themeColor="accent1" w:themeShade="BF"/>
          <w:sz w:val="28"/>
          <w:szCs w:val="28"/>
        </w:rPr>
        <w:t xml:space="preserve"> Que formulário para a Carta Rogatória deve ser utilizado pela autoridade judiciária requerente ao solicitar a audiência por videoconferência ou por conferência telefónica?</w:t>
      </w:r>
    </w:p>
    <w:p w14:paraId="1090DA8D" w14:textId="47D282B2" w:rsidR="00916191" w:rsidRPr="00567437" w:rsidRDefault="0074309F" w:rsidP="008A7C0A">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u w:val="single"/>
        </w:rPr>
        <w:t>Não existe qualquer formulário específico</w:t>
      </w:r>
      <w:r w:rsidRPr="00567437">
        <w:rPr>
          <w:rFonts w:ascii="Times New Roman" w:hAnsi="Times New Roman" w:cs="Times New Roman"/>
          <w:sz w:val="28"/>
          <w:szCs w:val="28"/>
        </w:rPr>
        <w:t xml:space="preserve"> para a Carta Rogatória a ser enviada pela autoridade requerente à autoridade requerida, </w:t>
      </w:r>
      <w:r w:rsidRPr="00567437">
        <w:rPr>
          <w:rFonts w:ascii="Times New Roman" w:hAnsi="Times New Roman" w:cs="Times New Roman"/>
          <w:b/>
          <w:bCs/>
          <w:sz w:val="28"/>
          <w:szCs w:val="28"/>
        </w:rPr>
        <w:t>nem na Convenção de 2000 nem na Convenção de 1959 e respetivos protocolos adicionais.</w:t>
      </w:r>
    </w:p>
    <w:p w14:paraId="0388DBBC" w14:textId="10BD7471" w:rsidR="00A231AD" w:rsidRPr="00567437" w:rsidRDefault="0074309F" w:rsidP="008A7C0A">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As autoridades requerentes têm tido dificuldades em elaborar diferentes formulários de uma Carta Rogatória a ser enviada às autoridades requeridas. E esta não é uma tarefa fácil!</w:t>
      </w:r>
    </w:p>
    <w:p w14:paraId="75C1A034" w14:textId="2D2A9C50" w:rsidR="00D14C39" w:rsidRPr="00567437" w:rsidRDefault="0074309F" w:rsidP="008A7C0A">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Por este motivo, no sítio Web da RJE, na Secção – </w:t>
      </w:r>
      <w:proofErr w:type="spellStart"/>
      <w:r w:rsidRPr="00567437">
        <w:rPr>
          <w:rFonts w:ascii="Times New Roman" w:hAnsi="Times New Roman" w:cs="Times New Roman"/>
          <w:b/>
          <w:bCs/>
          <w:sz w:val="28"/>
          <w:szCs w:val="28"/>
        </w:rPr>
        <w:t>Compendium</w:t>
      </w:r>
      <w:proofErr w:type="spellEnd"/>
      <w:r w:rsidRPr="00567437">
        <w:rPr>
          <w:rFonts w:ascii="Times New Roman" w:hAnsi="Times New Roman" w:cs="Times New Roman"/>
          <w:sz w:val="28"/>
          <w:szCs w:val="28"/>
        </w:rPr>
        <w:t xml:space="preserve"> (</w:t>
      </w:r>
      <w:r w:rsidRPr="00567437">
        <w:rPr>
          <w:rFonts w:ascii="Times New Roman" w:hAnsi="Times New Roman" w:cs="Times New Roman"/>
          <w:i/>
          <w:iCs/>
          <w:sz w:val="28"/>
          <w:szCs w:val="28"/>
        </w:rPr>
        <w:t>Compêndio</w:t>
      </w:r>
      <w:r w:rsidRPr="00567437">
        <w:rPr>
          <w:rFonts w:ascii="Times New Roman" w:hAnsi="Times New Roman" w:cs="Times New Roman"/>
          <w:sz w:val="28"/>
          <w:szCs w:val="28"/>
        </w:rPr>
        <w:t>) – existe a possibilidade de elaborar uma Carta Rogatória em função de a autoridade requerida estar localizada num Estado-Membro da UE, Noruega ou num Estado não Membro da UE.</w:t>
      </w:r>
    </w:p>
    <w:p w14:paraId="107ED23B" w14:textId="77777777" w:rsidR="008C28C5" w:rsidRPr="00567437" w:rsidRDefault="00F71519" w:rsidP="008A7C0A">
      <w:pPr>
        <w:spacing w:line="240" w:lineRule="auto"/>
        <w:jc w:val="both"/>
        <w:rPr>
          <w:rFonts w:ascii="Times New Roman" w:hAnsi="Times New Roman" w:cs="Times New Roman"/>
          <w:sz w:val="28"/>
          <w:szCs w:val="28"/>
        </w:rPr>
      </w:pPr>
    </w:p>
    <w:tbl>
      <w:tblPr>
        <w:tblW w:w="912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0"/>
      </w:tblGrid>
      <w:tr w:rsidR="004C04A0" w:rsidRPr="00567437" w14:paraId="4A193CE7" w14:textId="77777777" w:rsidTr="008A7C0A">
        <w:trPr>
          <w:trHeight w:val="425"/>
        </w:trPr>
        <w:tc>
          <w:tcPr>
            <w:tcW w:w="9120"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07C42BD" w14:textId="7BF1A670" w:rsidR="00D14C39" w:rsidRPr="00567437" w:rsidRDefault="0074309F" w:rsidP="008A7C0A">
            <w:pPr>
              <w:spacing w:after="0" w:line="240" w:lineRule="auto"/>
              <w:ind w:left="84"/>
              <w:jc w:val="both"/>
              <w:rPr>
                <w:rFonts w:ascii="Times New Roman" w:hAnsi="Times New Roman" w:cs="Times New Roman"/>
                <w:sz w:val="28"/>
                <w:szCs w:val="28"/>
              </w:rPr>
            </w:pPr>
            <w:r w:rsidRPr="00567437">
              <w:rPr>
                <w:rFonts w:ascii="Times New Roman" w:hAnsi="Times New Roman"/>
                <w:sz w:val="28"/>
                <w:szCs w:val="28"/>
              </w:rPr>
              <w:t xml:space="preserve">Está </w:t>
            </w:r>
            <w:hyperlink r:id="rId63" w:history="1">
              <w:r w:rsidRPr="00567437">
                <w:rPr>
                  <w:rStyle w:val="Hiperligao"/>
                  <w:rFonts w:ascii="Times New Roman" w:hAnsi="Times New Roman" w:cs="Times New Roman"/>
                  <w:sz w:val="28"/>
                  <w:szCs w:val="28"/>
                </w:rPr>
                <w:t>disponível no mesmo sítio Web</w:t>
              </w:r>
            </w:hyperlink>
            <w:r w:rsidRPr="00567437">
              <w:rPr>
                <w:rFonts w:ascii="Times New Roman" w:hAnsi="Times New Roman"/>
                <w:sz w:val="28"/>
                <w:szCs w:val="28"/>
              </w:rPr>
              <w:t xml:space="preserve"> um </w:t>
            </w:r>
            <w:proofErr w:type="spellStart"/>
            <w:r w:rsidRPr="00567437">
              <w:rPr>
                <w:rFonts w:ascii="Times New Roman" w:hAnsi="Times New Roman"/>
                <w:b/>
                <w:bCs/>
                <w:sz w:val="28"/>
                <w:szCs w:val="28"/>
              </w:rPr>
              <w:t>Compendium</w:t>
            </w:r>
            <w:proofErr w:type="spellEnd"/>
            <w:r w:rsidRPr="00567437">
              <w:rPr>
                <w:rFonts w:ascii="Times New Roman" w:hAnsi="Times New Roman"/>
                <w:b/>
                <w:bCs/>
                <w:sz w:val="28"/>
                <w:szCs w:val="28"/>
              </w:rPr>
              <w:t xml:space="preserve"> </w:t>
            </w:r>
            <w:proofErr w:type="spellStart"/>
            <w:r w:rsidRPr="00567437">
              <w:rPr>
                <w:rFonts w:ascii="Times New Roman" w:hAnsi="Times New Roman"/>
                <w:b/>
                <w:bCs/>
                <w:sz w:val="28"/>
                <w:szCs w:val="28"/>
              </w:rPr>
              <w:t>User</w:t>
            </w:r>
            <w:proofErr w:type="spellEnd"/>
            <w:r w:rsidRPr="00567437">
              <w:rPr>
                <w:rFonts w:ascii="Times New Roman" w:hAnsi="Times New Roman"/>
                <w:b/>
                <w:bCs/>
                <w:sz w:val="28"/>
                <w:szCs w:val="28"/>
              </w:rPr>
              <w:t xml:space="preserve"> Manual </w:t>
            </w:r>
            <w:r w:rsidRPr="00567437">
              <w:rPr>
                <w:rFonts w:ascii="Times New Roman" w:hAnsi="Times New Roman"/>
                <w:sz w:val="28"/>
                <w:szCs w:val="28"/>
              </w:rPr>
              <w:t>(</w:t>
            </w:r>
            <w:r w:rsidRPr="00567437">
              <w:rPr>
                <w:rFonts w:ascii="Times New Roman" w:hAnsi="Times New Roman"/>
                <w:i/>
                <w:iCs/>
                <w:sz w:val="28"/>
                <w:szCs w:val="28"/>
              </w:rPr>
              <w:t>Manual de Utilizador do Compêndio</w:t>
            </w:r>
            <w:r w:rsidRPr="00567437">
              <w:rPr>
                <w:rFonts w:ascii="Times New Roman" w:hAnsi="Times New Roman"/>
                <w:sz w:val="28"/>
                <w:szCs w:val="28"/>
              </w:rPr>
              <w:t>).</w:t>
            </w:r>
          </w:p>
        </w:tc>
      </w:tr>
    </w:tbl>
    <w:p w14:paraId="1758607A" w14:textId="17014061" w:rsidR="008C28C5" w:rsidRPr="00567437" w:rsidRDefault="00F71519" w:rsidP="0074607F">
      <w:pPr>
        <w:spacing w:line="240" w:lineRule="auto"/>
        <w:jc w:val="both"/>
        <w:rPr>
          <w:rFonts w:ascii="Times New Roman" w:hAnsi="Times New Roman" w:cs="Times New Roman"/>
          <w:sz w:val="28"/>
          <w:szCs w:val="28"/>
        </w:rPr>
      </w:pPr>
    </w:p>
    <w:p w14:paraId="260F80B0" w14:textId="77777777" w:rsidR="008C28C5" w:rsidRPr="00567437" w:rsidRDefault="0074309F">
      <w:pPr>
        <w:rPr>
          <w:rFonts w:ascii="Times New Roman" w:hAnsi="Times New Roman" w:cs="Times New Roman"/>
          <w:sz w:val="28"/>
          <w:szCs w:val="28"/>
        </w:rPr>
      </w:pPr>
      <w:r w:rsidRPr="00567437">
        <w:rPr>
          <w:rFonts w:ascii="Times New Roman" w:hAnsi="Times New Roman" w:cs="Times New Roman"/>
          <w:sz w:val="28"/>
          <w:szCs w:val="28"/>
        </w:rPr>
        <w:br w:type="page"/>
      </w:r>
    </w:p>
    <w:p w14:paraId="675DDD57" w14:textId="095D0816" w:rsidR="005A194C" w:rsidRPr="00567437" w:rsidRDefault="0074309F" w:rsidP="004D0EA9">
      <w:pPr>
        <w:jc w:val="both"/>
        <w:rPr>
          <w:rFonts w:ascii="Times New Roman" w:hAnsi="Times New Roman" w:cs="Times New Roman"/>
          <w:i/>
          <w:color w:val="2F5496" w:themeColor="accent1" w:themeShade="BF"/>
          <w:sz w:val="28"/>
          <w:szCs w:val="28"/>
        </w:rPr>
      </w:pPr>
      <w:r w:rsidRPr="00567437">
        <w:rPr>
          <w:rFonts w:ascii="Times New Roman" w:hAnsi="Times New Roman" w:cs="Times New Roman"/>
          <w:b/>
          <w:bCs/>
          <w:i/>
          <w:iCs/>
          <w:color w:val="2F5496" w:themeColor="accent1" w:themeShade="BF"/>
          <w:sz w:val="28"/>
          <w:szCs w:val="28"/>
        </w:rPr>
        <w:lastRenderedPageBreak/>
        <w:t>Q5.</w:t>
      </w:r>
      <w:r w:rsidRPr="00567437">
        <w:rPr>
          <w:rFonts w:ascii="Times New Roman" w:hAnsi="Times New Roman" w:cs="Times New Roman"/>
          <w:i/>
          <w:iCs/>
          <w:color w:val="2F5496" w:themeColor="accent1" w:themeShade="BF"/>
          <w:sz w:val="28"/>
          <w:szCs w:val="28"/>
        </w:rPr>
        <w:t xml:space="preserve"> Preencha as Cartas Rogatórias necessárias para audiência da testemunha e do suspeito.</w:t>
      </w:r>
    </w:p>
    <w:p w14:paraId="7718D2F8" w14:textId="56BB6E5F" w:rsidR="00353CD7" w:rsidRPr="00567437" w:rsidRDefault="0074309F" w:rsidP="008C28C5">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Os participantes terão de preencher uma Carta Rogatória para a audição de uma testemunha e/ou de um suspeito por AJM.</w:t>
      </w:r>
    </w:p>
    <w:p w14:paraId="2DD1242A" w14:textId="5797203D" w:rsidR="00BE2FBB" w:rsidRPr="00567437" w:rsidRDefault="0074309F" w:rsidP="008C28C5">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u w:val="single"/>
        </w:rPr>
        <w:t>Notas ao preencher as Cartas Rogatórias para a audição de testemunhas e suspeitos</w:t>
      </w:r>
      <w:r w:rsidRPr="00567437">
        <w:rPr>
          <w:rFonts w:ascii="Times New Roman" w:hAnsi="Times New Roman" w:cs="Times New Roman"/>
          <w:sz w:val="28"/>
          <w:szCs w:val="28"/>
        </w:rPr>
        <w:t xml:space="preserve">: </w:t>
      </w:r>
    </w:p>
    <w:p w14:paraId="5894C81B" w14:textId="6F860D06" w:rsidR="00353CD7" w:rsidRPr="00567437" w:rsidRDefault="0074309F" w:rsidP="0013415C">
      <w:pPr>
        <w:pStyle w:val="PargrafodaLista"/>
        <w:numPr>
          <w:ilvl w:val="0"/>
          <w:numId w:val="3"/>
        </w:numPr>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Ao preencher o pedido de auxílio judiciário mútuo, na secção – </w:t>
      </w:r>
      <w:proofErr w:type="spellStart"/>
      <w:r w:rsidRPr="00567437">
        <w:rPr>
          <w:rFonts w:ascii="Times New Roman" w:hAnsi="Times New Roman" w:cs="Times New Roman"/>
          <w:b/>
          <w:bCs/>
          <w:sz w:val="28"/>
          <w:szCs w:val="28"/>
        </w:rPr>
        <w:t>Requesting</w:t>
      </w:r>
      <w:proofErr w:type="spellEnd"/>
      <w:r w:rsidRPr="00567437">
        <w:rPr>
          <w:rFonts w:ascii="Times New Roman" w:hAnsi="Times New Roman" w:cs="Times New Roman"/>
          <w:b/>
          <w:bCs/>
          <w:sz w:val="28"/>
          <w:szCs w:val="28"/>
        </w:rPr>
        <w:t xml:space="preserve"> </w:t>
      </w:r>
      <w:proofErr w:type="spellStart"/>
      <w:r w:rsidRPr="00567437">
        <w:rPr>
          <w:rFonts w:ascii="Times New Roman" w:hAnsi="Times New Roman" w:cs="Times New Roman"/>
          <w:b/>
          <w:bCs/>
          <w:sz w:val="28"/>
          <w:szCs w:val="28"/>
        </w:rPr>
        <w:t>authority</w:t>
      </w:r>
      <w:proofErr w:type="spellEnd"/>
      <w:r w:rsidRPr="00567437">
        <w:rPr>
          <w:rFonts w:ascii="Times New Roman" w:hAnsi="Times New Roman" w:cs="Times New Roman"/>
          <w:b/>
          <w:bCs/>
          <w:sz w:val="28"/>
          <w:szCs w:val="28"/>
        </w:rPr>
        <w:t xml:space="preserve"> </w:t>
      </w:r>
      <w:r w:rsidRPr="00567437">
        <w:rPr>
          <w:rFonts w:ascii="Times New Roman" w:hAnsi="Times New Roman" w:cs="Times New Roman"/>
          <w:sz w:val="28"/>
          <w:szCs w:val="28"/>
        </w:rPr>
        <w:t>(</w:t>
      </w:r>
      <w:r w:rsidRPr="00567437">
        <w:rPr>
          <w:rFonts w:ascii="Times New Roman" w:hAnsi="Times New Roman" w:cs="Times New Roman"/>
          <w:i/>
          <w:iCs/>
          <w:sz w:val="28"/>
          <w:szCs w:val="28"/>
        </w:rPr>
        <w:t>autoridade requerente</w:t>
      </w:r>
      <w:r w:rsidRPr="00567437">
        <w:rPr>
          <w:rFonts w:ascii="Times New Roman" w:hAnsi="Times New Roman" w:cs="Times New Roman"/>
          <w:sz w:val="28"/>
          <w:szCs w:val="28"/>
        </w:rPr>
        <w:t xml:space="preserve">) – introduzir todos os detalhes de uma autoridade judiciária competente a nível nacional, para investigar as infrações previstas no cenário de caso do caso </w:t>
      </w:r>
      <w:r w:rsidRPr="00567437">
        <w:rPr>
          <w:rFonts w:ascii="Times New Roman" w:hAnsi="Times New Roman" w:cs="Times New Roman"/>
          <w:b/>
          <w:bCs/>
          <w:sz w:val="28"/>
          <w:szCs w:val="28"/>
          <w:u w:val="single"/>
        </w:rPr>
        <w:t>do país onde o seminário é realizado (!!! a autoridade requerente só permanecerá a mesma que no cenário de caso se o seminário for realizado na Roménia)</w:t>
      </w:r>
      <w:r w:rsidRPr="00567437">
        <w:rPr>
          <w:rFonts w:ascii="Times New Roman" w:hAnsi="Times New Roman" w:cs="Times New Roman"/>
          <w:b/>
          <w:bCs/>
          <w:sz w:val="28"/>
          <w:szCs w:val="28"/>
        </w:rPr>
        <w:t>.</w:t>
      </w:r>
    </w:p>
    <w:p w14:paraId="5ECD93DD" w14:textId="04AE8935" w:rsidR="00353CD7" w:rsidRPr="00567437" w:rsidRDefault="0074309F" w:rsidP="0013415C">
      <w:pPr>
        <w:pStyle w:val="PargrafodaLista"/>
        <w:numPr>
          <w:ilvl w:val="0"/>
          <w:numId w:val="3"/>
        </w:numPr>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A Secção – </w:t>
      </w:r>
      <w:proofErr w:type="spellStart"/>
      <w:r w:rsidRPr="00567437">
        <w:rPr>
          <w:rFonts w:ascii="Times New Roman" w:hAnsi="Times New Roman" w:cs="Times New Roman"/>
          <w:b/>
          <w:bCs/>
          <w:sz w:val="28"/>
          <w:szCs w:val="28"/>
        </w:rPr>
        <w:t>Requested</w:t>
      </w:r>
      <w:proofErr w:type="spellEnd"/>
      <w:r w:rsidRPr="00567437">
        <w:rPr>
          <w:rFonts w:ascii="Times New Roman" w:hAnsi="Times New Roman" w:cs="Times New Roman"/>
          <w:b/>
          <w:bCs/>
          <w:sz w:val="28"/>
          <w:szCs w:val="28"/>
        </w:rPr>
        <w:t xml:space="preserve"> </w:t>
      </w:r>
      <w:proofErr w:type="spellStart"/>
      <w:r w:rsidRPr="00567437">
        <w:rPr>
          <w:rFonts w:ascii="Times New Roman" w:hAnsi="Times New Roman" w:cs="Times New Roman"/>
          <w:b/>
          <w:bCs/>
          <w:sz w:val="28"/>
          <w:szCs w:val="28"/>
        </w:rPr>
        <w:t>authority</w:t>
      </w:r>
      <w:proofErr w:type="spellEnd"/>
      <w:r w:rsidRPr="00567437">
        <w:rPr>
          <w:rFonts w:ascii="Times New Roman" w:hAnsi="Times New Roman" w:cs="Times New Roman"/>
          <w:b/>
          <w:bCs/>
          <w:sz w:val="28"/>
          <w:szCs w:val="28"/>
        </w:rPr>
        <w:t xml:space="preserve"> </w:t>
      </w:r>
      <w:r w:rsidRPr="00567437">
        <w:rPr>
          <w:rFonts w:ascii="Times New Roman" w:hAnsi="Times New Roman" w:cs="Times New Roman"/>
          <w:sz w:val="28"/>
          <w:szCs w:val="28"/>
        </w:rPr>
        <w:t>(</w:t>
      </w:r>
      <w:r w:rsidRPr="00567437">
        <w:rPr>
          <w:rFonts w:ascii="Times New Roman" w:hAnsi="Times New Roman" w:cs="Times New Roman"/>
          <w:i/>
          <w:iCs/>
          <w:sz w:val="28"/>
          <w:szCs w:val="28"/>
        </w:rPr>
        <w:t>autoridade requerida</w:t>
      </w:r>
      <w:r w:rsidRPr="00567437">
        <w:rPr>
          <w:rFonts w:ascii="Times New Roman" w:hAnsi="Times New Roman" w:cs="Times New Roman"/>
          <w:sz w:val="28"/>
          <w:szCs w:val="28"/>
        </w:rPr>
        <w:t>) – será preenchida com a informação da questão c).</w:t>
      </w:r>
    </w:p>
    <w:p w14:paraId="0FAE803F" w14:textId="77777777" w:rsidR="00353CD7" w:rsidRPr="00567437" w:rsidRDefault="0074309F" w:rsidP="0013415C">
      <w:pPr>
        <w:pStyle w:val="PargrafodaLista"/>
        <w:numPr>
          <w:ilvl w:val="0"/>
          <w:numId w:val="3"/>
        </w:numPr>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A Secção – </w:t>
      </w:r>
      <w:proofErr w:type="spellStart"/>
      <w:r w:rsidRPr="00567437">
        <w:rPr>
          <w:rFonts w:ascii="Times New Roman" w:hAnsi="Times New Roman" w:cs="Times New Roman"/>
          <w:b/>
          <w:bCs/>
          <w:sz w:val="28"/>
          <w:szCs w:val="28"/>
        </w:rPr>
        <w:t>Requested</w:t>
      </w:r>
      <w:proofErr w:type="spellEnd"/>
      <w:r w:rsidRPr="00567437">
        <w:rPr>
          <w:rFonts w:ascii="Times New Roman" w:hAnsi="Times New Roman" w:cs="Times New Roman"/>
          <w:b/>
          <w:bCs/>
          <w:sz w:val="28"/>
          <w:szCs w:val="28"/>
        </w:rPr>
        <w:t xml:space="preserve"> </w:t>
      </w:r>
      <w:proofErr w:type="spellStart"/>
      <w:r w:rsidRPr="00567437">
        <w:rPr>
          <w:rFonts w:ascii="Times New Roman" w:hAnsi="Times New Roman" w:cs="Times New Roman"/>
          <w:b/>
          <w:bCs/>
          <w:sz w:val="28"/>
          <w:szCs w:val="28"/>
        </w:rPr>
        <w:t>measure</w:t>
      </w:r>
      <w:proofErr w:type="spellEnd"/>
      <w:r w:rsidRPr="00567437">
        <w:rPr>
          <w:rFonts w:ascii="Times New Roman" w:hAnsi="Times New Roman" w:cs="Times New Roman"/>
          <w:b/>
          <w:bCs/>
          <w:sz w:val="28"/>
          <w:szCs w:val="28"/>
        </w:rPr>
        <w:t xml:space="preserve"> </w:t>
      </w:r>
      <w:r w:rsidRPr="00567437">
        <w:rPr>
          <w:rFonts w:ascii="Times New Roman" w:hAnsi="Times New Roman" w:cs="Times New Roman"/>
          <w:sz w:val="28"/>
          <w:szCs w:val="28"/>
        </w:rPr>
        <w:t>(</w:t>
      </w:r>
      <w:r w:rsidRPr="00567437">
        <w:rPr>
          <w:rFonts w:ascii="Times New Roman" w:hAnsi="Times New Roman" w:cs="Times New Roman"/>
          <w:i/>
          <w:iCs/>
          <w:sz w:val="28"/>
          <w:szCs w:val="28"/>
        </w:rPr>
        <w:t>medida requerida</w:t>
      </w:r>
      <w:r w:rsidRPr="00567437">
        <w:rPr>
          <w:rFonts w:ascii="Times New Roman" w:hAnsi="Times New Roman" w:cs="Times New Roman"/>
          <w:sz w:val="28"/>
          <w:szCs w:val="28"/>
        </w:rPr>
        <w:t xml:space="preserve">) – 703. </w:t>
      </w:r>
      <w:proofErr w:type="spellStart"/>
      <w:r w:rsidRPr="00567437">
        <w:rPr>
          <w:rFonts w:ascii="Times New Roman" w:hAnsi="Times New Roman" w:cs="Times New Roman"/>
          <w:sz w:val="28"/>
          <w:szCs w:val="28"/>
        </w:rPr>
        <w:t>Hearing</w:t>
      </w:r>
      <w:proofErr w:type="spellEnd"/>
      <w:r w:rsidRPr="00567437">
        <w:rPr>
          <w:rFonts w:ascii="Times New Roman" w:hAnsi="Times New Roman" w:cs="Times New Roman"/>
          <w:sz w:val="28"/>
          <w:szCs w:val="28"/>
        </w:rPr>
        <w:t xml:space="preserve"> </w:t>
      </w:r>
      <w:proofErr w:type="spellStart"/>
      <w:r w:rsidRPr="00567437">
        <w:rPr>
          <w:rFonts w:ascii="Times New Roman" w:hAnsi="Times New Roman" w:cs="Times New Roman"/>
          <w:sz w:val="28"/>
          <w:szCs w:val="28"/>
        </w:rPr>
        <w:t>witnesses</w:t>
      </w:r>
      <w:proofErr w:type="spellEnd"/>
      <w:r w:rsidRPr="00567437">
        <w:rPr>
          <w:rFonts w:ascii="Times New Roman" w:hAnsi="Times New Roman" w:cs="Times New Roman"/>
          <w:sz w:val="28"/>
          <w:szCs w:val="28"/>
        </w:rPr>
        <w:t xml:space="preserve">: </w:t>
      </w:r>
      <w:proofErr w:type="spellStart"/>
      <w:r w:rsidRPr="00567437">
        <w:rPr>
          <w:rFonts w:ascii="Times New Roman" w:hAnsi="Times New Roman" w:cs="Times New Roman"/>
          <w:sz w:val="28"/>
          <w:szCs w:val="28"/>
        </w:rPr>
        <w:t>by</w:t>
      </w:r>
      <w:proofErr w:type="spellEnd"/>
      <w:r w:rsidRPr="00567437">
        <w:rPr>
          <w:rFonts w:ascii="Times New Roman" w:hAnsi="Times New Roman" w:cs="Times New Roman"/>
          <w:sz w:val="28"/>
          <w:szCs w:val="28"/>
        </w:rPr>
        <w:t xml:space="preserve"> </w:t>
      </w:r>
      <w:proofErr w:type="spellStart"/>
      <w:r w:rsidRPr="00567437">
        <w:rPr>
          <w:rFonts w:ascii="Times New Roman" w:hAnsi="Times New Roman" w:cs="Times New Roman"/>
          <w:sz w:val="28"/>
          <w:szCs w:val="28"/>
        </w:rPr>
        <w:t>video</w:t>
      </w:r>
      <w:proofErr w:type="spellEnd"/>
      <w:r w:rsidRPr="00567437">
        <w:rPr>
          <w:rFonts w:ascii="Times New Roman" w:hAnsi="Times New Roman" w:cs="Times New Roman"/>
          <w:sz w:val="28"/>
          <w:szCs w:val="28"/>
        </w:rPr>
        <w:t xml:space="preserve"> </w:t>
      </w:r>
      <w:proofErr w:type="spellStart"/>
      <w:r w:rsidRPr="00567437">
        <w:rPr>
          <w:rFonts w:ascii="Times New Roman" w:hAnsi="Times New Roman" w:cs="Times New Roman"/>
          <w:sz w:val="28"/>
          <w:szCs w:val="28"/>
        </w:rPr>
        <w:t>conference</w:t>
      </w:r>
      <w:proofErr w:type="spellEnd"/>
      <w:r w:rsidRPr="00567437">
        <w:rPr>
          <w:rFonts w:ascii="Times New Roman" w:hAnsi="Times New Roman" w:cs="Times New Roman"/>
          <w:sz w:val="28"/>
          <w:szCs w:val="28"/>
        </w:rPr>
        <w:t xml:space="preserve"> (</w:t>
      </w:r>
      <w:r w:rsidRPr="00567437">
        <w:rPr>
          <w:rFonts w:ascii="Times New Roman" w:hAnsi="Times New Roman" w:cs="Times New Roman"/>
          <w:i/>
          <w:iCs/>
          <w:sz w:val="28"/>
          <w:szCs w:val="28"/>
        </w:rPr>
        <w:t>audição de testemunhas: por videoconferência</w:t>
      </w:r>
      <w:r w:rsidRPr="00567437">
        <w:rPr>
          <w:rFonts w:ascii="Times New Roman" w:hAnsi="Times New Roman" w:cs="Times New Roman"/>
          <w:sz w:val="28"/>
          <w:szCs w:val="28"/>
        </w:rPr>
        <w:t xml:space="preserve">) ou 711. </w:t>
      </w:r>
      <w:proofErr w:type="spellStart"/>
      <w:r w:rsidRPr="00567437">
        <w:rPr>
          <w:rFonts w:ascii="Times New Roman" w:hAnsi="Times New Roman" w:cs="Times New Roman"/>
          <w:sz w:val="28"/>
          <w:szCs w:val="28"/>
        </w:rPr>
        <w:t>Hearing</w:t>
      </w:r>
      <w:proofErr w:type="spellEnd"/>
      <w:r w:rsidRPr="00567437">
        <w:rPr>
          <w:rFonts w:ascii="Times New Roman" w:hAnsi="Times New Roman" w:cs="Times New Roman"/>
          <w:sz w:val="28"/>
          <w:szCs w:val="28"/>
        </w:rPr>
        <w:t xml:space="preserve"> </w:t>
      </w:r>
      <w:proofErr w:type="spellStart"/>
      <w:r w:rsidRPr="00567437">
        <w:rPr>
          <w:rFonts w:ascii="Times New Roman" w:hAnsi="Times New Roman" w:cs="Times New Roman"/>
          <w:sz w:val="28"/>
          <w:szCs w:val="28"/>
        </w:rPr>
        <w:t>suspects</w:t>
      </w:r>
      <w:proofErr w:type="spellEnd"/>
      <w:r w:rsidRPr="00567437">
        <w:rPr>
          <w:rFonts w:ascii="Times New Roman" w:hAnsi="Times New Roman" w:cs="Times New Roman"/>
          <w:sz w:val="28"/>
          <w:szCs w:val="28"/>
        </w:rPr>
        <w:t>/</w:t>
      </w:r>
      <w:proofErr w:type="spellStart"/>
      <w:r w:rsidRPr="00567437">
        <w:rPr>
          <w:rFonts w:ascii="Times New Roman" w:hAnsi="Times New Roman" w:cs="Times New Roman"/>
          <w:sz w:val="28"/>
          <w:szCs w:val="28"/>
        </w:rPr>
        <w:t>persons</w:t>
      </w:r>
      <w:proofErr w:type="spellEnd"/>
      <w:r w:rsidRPr="00567437">
        <w:rPr>
          <w:rFonts w:ascii="Times New Roman" w:hAnsi="Times New Roman" w:cs="Times New Roman"/>
          <w:sz w:val="28"/>
          <w:szCs w:val="28"/>
        </w:rPr>
        <w:t xml:space="preserve"> </w:t>
      </w:r>
      <w:proofErr w:type="spellStart"/>
      <w:r w:rsidRPr="00567437">
        <w:rPr>
          <w:rFonts w:ascii="Times New Roman" w:hAnsi="Times New Roman" w:cs="Times New Roman"/>
          <w:sz w:val="28"/>
          <w:szCs w:val="28"/>
        </w:rPr>
        <w:t>accused</w:t>
      </w:r>
      <w:proofErr w:type="spellEnd"/>
      <w:r w:rsidRPr="00567437">
        <w:rPr>
          <w:rFonts w:ascii="Times New Roman" w:hAnsi="Times New Roman" w:cs="Times New Roman"/>
          <w:sz w:val="28"/>
          <w:szCs w:val="28"/>
        </w:rPr>
        <w:t xml:space="preserve">: </w:t>
      </w:r>
      <w:proofErr w:type="spellStart"/>
      <w:r w:rsidRPr="00567437">
        <w:rPr>
          <w:rFonts w:ascii="Times New Roman" w:hAnsi="Times New Roman" w:cs="Times New Roman"/>
          <w:sz w:val="28"/>
          <w:szCs w:val="28"/>
        </w:rPr>
        <w:t>by</w:t>
      </w:r>
      <w:proofErr w:type="spellEnd"/>
      <w:r w:rsidRPr="00567437">
        <w:rPr>
          <w:rFonts w:ascii="Times New Roman" w:hAnsi="Times New Roman" w:cs="Times New Roman"/>
          <w:sz w:val="28"/>
          <w:szCs w:val="28"/>
        </w:rPr>
        <w:t xml:space="preserve"> </w:t>
      </w:r>
      <w:proofErr w:type="spellStart"/>
      <w:r w:rsidRPr="00567437">
        <w:rPr>
          <w:rFonts w:ascii="Times New Roman" w:hAnsi="Times New Roman" w:cs="Times New Roman"/>
          <w:sz w:val="28"/>
          <w:szCs w:val="28"/>
        </w:rPr>
        <w:t>video</w:t>
      </w:r>
      <w:proofErr w:type="spellEnd"/>
      <w:r w:rsidRPr="00567437">
        <w:rPr>
          <w:rFonts w:ascii="Times New Roman" w:hAnsi="Times New Roman" w:cs="Times New Roman"/>
          <w:sz w:val="28"/>
          <w:szCs w:val="28"/>
        </w:rPr>
        <w:t xml:space="preserve"> </w:t>
      </w:r>
      <w:proofErr w:type="spellStart"/>
      <w:r w:rsidRPr="00567437">
        <w:rPr>
          <w:rFonts w:ascii="Times New Roman" w:hAnsi="Times New Roman" w:cs="Times New Roman"/>
          <w:sz w:val="28"/>
          <w:szCs w:val="28"/>
        </w:rPr>
        <w:t>conference</w:t>
      </w:r>
      <w:proofErr w:type="spellEnd"/>
      <w:r w:rsidRPr="00567437">
        <w:rPr>
          <w:rFonts w:ascii="Times New Roman" w:hAnsi="Times New Roman" w:cs="Times New Roman"/>
          <w:sz w:val="28"/>
          <w:szCs w:val="28"/>
        </w:rPr>
        <w:t xml:space="preserve"> (</w:t>
      </w:r>
      <w:r w:rsidRPr="00567437">
        <w:rPr>
          <w:rFonts w:ascii="Times New Roman" w:hAnsi="Times New Roman" w:cs="Times New Roman"/>
          <w:i/>
          <w:iCs/>
          <w:sz w:val="28"/>
          <w:szCs w:val="28"/>
        </w:rPr>
        <w:t>audição de suspeitos/arguidos: por videoconferência</w:t>
      </w:r>
      <w:r w:rsidRPr="00567437">
        <w:rPr>
          <w:rFonts w:ascii="Times New Roman" w:hAnsi="Times New Roman" w:cs="Times New Roman"/>
          <w:sz w:val="28"/>
          <w:szCs w:val="28"/>
        </w:rPr>
        <w:t>), dependendo da Carta Rogatória.</w:t>
      </w:r>
    </w:p>
    <w:p w14:paraId="347AA723" w14:textId="7E5A4BCA" w:rsidR="00353CD7" w:rsidRPr="00567437" w:rsidRDefault="0074309F" w:rsidP="0013415C">
      <w:pPr>
        <w:pStyle w:val="PargrafodaLista"/>
        <w:numPr>
          <w:ilvl w:val="0"/>
          <w:numId w:val="3"/>
        </w:numPr>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Na Secção – </w:t>
      </w:r>
      <w:proofErr w:type="spellStart"/>
      <w:r w:rsidRPr="00567437">
        <w:rPr>
          <w:rFonts w:ascii="Times New Roman" w:hAnsi="Times New Roman" w:cs="Times New Roman"/>
          <w:b/>
          <w:bCs/>
          <w:sz w:val="28"/>
          <w:szCs w:val="28"/>
        </w:rPr>
        <w:t>Persons</w:t>
      </w:r>
      <w:proofErr w:type="spellEnd"/>
      <w:r w:rsidRPr="00567437">
        <w:rPr>
          <w:rFonts w:ascii="Times New Roman" w:hAnsi="Times New Roman" w:cs="Times New Roman"/>
          <w:b/>
          <w:bCs/>
          <w:sz w:val="28"/>
          <w:szCs w:val="28"/>
        </w:rPr>
        <w:t xml:space="preserve"> </w:t>
      </w:r>
      <w:proofErr w:type="spellStart"/>
      <w:r w:rsidRPr="00567437">
        <w:rPr>
          <w:rFonts w:ascii="Times New Roman" w:hAnsi="Times New Roman" w:cs="Times New Roman"/>
          <w:b/>
          <w:bCs/>
          <w:sz w:val="28"/>
          <w:szCs w:val="28"/>
        </w:rPr>
        <w:t>concerned</w:t>
      </w:r>
      <w:proofErr w:type="spellEnd"/>
      <w:r w:rsidRPr="00567437">
        <w:rPr>
          <w:rFonts w:ascii="Times New Roman" w:hAnsi="Times New Roman" w:cs="Times New Roman"/>
          <w:b/>
          <w:bCs/>
          <w:sz w:val="28"/>
          <w:szCs w:val="28"/>
        </w:rPr>
        <w:t xml:space="preserve"> </w:t>
      </w:r>
      <w:r w:rsidRPr="00567437">
        <w:rPr>
          <w:rFonts w:ascii="Times New Roman" w:hAnsi="Times New Roman" w:cs="Times New Roman"/>
          <w:sz w:val="28"/>
          <w:szCs w:val="28"/>
        </w:rPr>
        <w:t>(</w:t>
      </w:r>
      <w:r w:rsidRPr="00567437">
        <w:rPr>
          <w:rFonts w:ascii="Times New Roman" w:hAnsi="Times New Roman" w:cs="Times New Roman"/>
          <w:i/>
          <w:iCs/>
          <w:sz w:val="28"/>
          <w:szCs w:val="28"/>
        </w:rPr>
        <w:t>pessoas envolvidas</w:t>
      </w:r>
      <w:r w:rsidRPr="00567437">
        <w:rPr>
          <w:rFonts w:ascii="Times New Roman" w:hAnsi="Times New Roman" w:cs="Times New Roman"/>
          <w:sz w:val="28"/>
          <w:szCs w:val="28"/>
        </w:rPr>
        <w:t>) – inserir os dados dos dois suspeitos e da testemunha (pessoa 1, 2 e 3). Acrescentar dados aleatórios na eventualidade de estes faltarem aos fornecidos no cenário de caso.</w:t>
      </w:r>
    </w:p>
    <w:p w14:paraId="606AB0AC" w14:textId="36D26AA1" w:rsidR="00353CD7" w:rsidRPr="00567437" w:rsidRDefault="0074309F" w:rsidP="0013415C">
      <w:pPr>
        <w:pStyle w:val="PargrafodaLista"/>
        <w:numPr>
          <w:ilvl w:val="0"/>
          <w:numId w:val="3"/>
        </w:numPr>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Na Secção – </w:t>
      </w:r>
      <w:proofErr w:type="spellStart"/>
      <w:r w:rsidRPr="00567437">
        <w:rPr>
          <w:rFonts w:ascii="Times New Roman" w:hAnsi="Times New Roman" w:cs="Times New Roman"/>
          <w:b/>
          <w:bCs/>
          <w:sz w:val="28"/>
          <w:szCs w:val="28"/>
        </w:rPr>
        <w:t>Urgency</w:t>
      </w:r>
      <w:proofErr w:type="spellEnd"/>
      <w:r w:rsidRPr="00567437">
        <w:rPr>
          <w:rFonts w:ascii="Times New Roman" w:hAnsi="Times New Roman" w:cs="Times New Roman"/>
          <w:b/>
          <w:bCs/>
          <w:sz w:val="28"/>
          <w:szCs w:val="28"/>
        </w:rPr>
        <w:t xml:space="preserve"> / </w:t>
      </w:r>
      <w:proofErr w:type="spellStart"/>
      <w:r w:rsidRPr="00567437">
        <w:rPr>
          <w:rFonts w:ascii="Times New Roman" w:hAnsi="Times New Roman" w:cs="Times New Roman"/>
          <w:b/>
          <w:bCs/>
          <w:sz w:val="28"/>
          <w:szCs w:val="28"/>
        </w:rPr>
        <w:t>Confidentiality</w:t>
      </w:r>
      <w:proofErr w:type="spellEnd"/>
      <w:r w:rsidRPr="00567437">
        <w:rPr>
          <w:rFonts w:ascii="Times New Roman" w:hAnsi="Times New Roman" w:cs="Times New Roman"/>
          <w:b/>
          <w:bCs/>
          <w:sz w:val="28"/>
          <w:szCs w:val="28"/>
        </w:rPr>
        <w:t xml:space="preserve"> (</w:t>
      </w:r>
      <w:r w:rsidRPr="00567437">
        <w:rPr>
          <w:rFonts w:ascii="Times New Roman" w:hAnsi="Times New Roman" w:cs="Times New Roman"/>
          <w:i/>
          <w:iCs/>
          <w:sz w:val="28"/>
          <w:szCs w:val="28"/>
        </w:rPr>
        <w:t>Urgência / Confidencialidade</w:t>
      </w:r>
      <w:r w:rsidRPr="00567437">
        <w:rPr>
          <w:rFonts w:ascii="Times New Roman" w:hAnsi="Times New Roman" w:cs="Times New Roman"/>
          <w:sz w:val="28"/>
          <w:szCs w:val="28"/>
        </w:rPr>
        <w:t xml:space="preserve">) – preencher com Sim ou Não dependendo da sua disposição nacional. No caso de </w:t>
      </w:r>
      <w:proofErr w:type="gramStart"/>
      <w:r w:rsidRPr="00567437">
        <w:rPr>
          <w:rFonts w:ascii="Times New Roman" w:hAnsi="Times New Roman" w:cs="Times New Roman"/>
          <w:sz w:val="28"/>
          <w:szCs w:val="28"/>
        </w:rPr>
        <w:t>colocar Sim</w:t>
      </w:r>
      <w:proofErr w:type="gramEnd"/>
      <w:r w:rsidRPr="00567437">
        <w:rPr>
          <w:rFonts w:ascii="Times New Roman" w:hAnsi="Times New Roman" w:cs="Times New Roman"/>
          <w:sz w:val="28"/>
          <w:szCs w:val="28"/>
        </w:rPr>
        <w:t xml:space="preserve"> em qualquer das duas caixas, os participantes indicarão se existe um prazo processual e as razões para a urgência ou confidencialidade.</w:t>
      </w:r>
    </w:p>
    <w:p w14:paraId="33BDCD31" w14:textId="1DE9CAA3" w:rsidR="0085718C" w:rsidRPr="00567437" w:rsidRDefault="0074309F" w:rsidP="0013415C">
      <w:pPr>
        <w:pStyle w:val="PargrafodaLista"/>
        <w:numPr>
          <w:ilvl w:val="0"/>
          <w:numId w:val="3"/>
        </w:numPr>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Secção – </w:t>
      </w:r>
      <w:r w:rsidRPr="00567437">
        <w:rPr>
          <w:rFonts w:ascii="Times New Roman" w:hAnsi="Times New Roman" w:cs="Times New Roman"/>
          <w:b/>
          <w:bCs/>
          <w:sz w:val="28"/>
          <w:szCs w:val="28"/>
        </w:rPr>
        <w:t xml:space="preserve">Legal </w:t>
      </w:r>
      <w:proofErr w:type="spellStart"/>
      <w:r w:rsidRPr="00567437">
        <w:rPr>
          <w:rFonts w:ascii="Times New Roman" w:hAnsi="Times New Roman" w:cs="Times New Roman"/>
          <w:b/>
          <w:bCs/>
          <w:sz w:val="28"/>
          <w:szCs w:val="28"/>
        </w:rPr>
        <w:t>basis</w:t>
      </w:r>
      <w:proofErr w:type="spellEnd"/>
      <w:r w:rsidRPr="00567437">
        <w:rPr>
          <w:rFonts w:ascii="Times New Roman" w:hAnsi="Times New Roman" w:cs="Times New Roman"/>
          <w:b/>
          <w:bCs/>
          <w:sz w:val="28"/>
          <w:szCs w:val="28"/>
        </w:rPr>
        <w:t xml:space="preserve"> </w:t>
      </w:r>
      <w:proofErr w:type="spellStart"/>
      <w:r w:rsidRPr="00567437">
        <w:rPr>
          <w:rFonts w:ascii="Times New Roman" w:hAnsi="Times New Roman" w:cs="Times New Roman"/>
          <w:b/>
          <w:bCs/>
          <w:sz w:val="28"/>
          <w:szCs w:val="28"/>
        </w:rPr>
        <w:t>of</w:t>
      </w:r>
      <w:proofErr w:type="spellEnd"/>
      <w:r w:rsidRPr="00567437">
        <w:rPr>
          <w:rFonts w:ascii="Times New Roman" w:hAnsi="Times New Roman" w:cs="Times New Roman"/>
          <w:b/>
          <w:bCs/>
          <w:sz w:val="28"/>
          <w:szCs w:val="28"/>
        </w:rPr>
        <w:t xml:space="preserve"> </w:t>
      </w:r>
      <w:proofErr w:type="spellStart"/>
      <w:r w:rsidRPr="00567437">
        <w:rPr>
          <w:rFonts w:ascii="Times New Roman" w:hAnsi="Times New Roman" w:cs="Times New Roman"/>
          <w:b/>
          <w:bCs/>
          <w:sz w:val="28"/>
          <w:szCs w:val="28"/>
        </w:rPr>
        <w:t>the</w:t>
      </w:r>
      <w:proofErr w:type="spellEnd"/>
      <w:r w:rsidRPr="00567437">
        <w:rPr>
          <w:rFonts w:ascii="Times New Roman" w:hAnsi="Times New Roman" w:cs="Times New Roman"/>
          <w:b/>
          <w:bCs/>
          <w:sz w:val="28"/>
          <w:szCs w:val="28"/>
        </w:rPr>
        <w:t xml:space="preserve"> </w:t>
      </w:r>
      <w:proofErr w:type="spellStart"/>
      <w:r w:rsidRPr="00567437">
        <w:rPr>
          <w:rFonts w:ascii="Times New Roman" w:hAnsi="Times New Roman" w:cs="Times New Roman"/>
          <w:b/>
          <w:bCs/>
          <w:sz w:val="28"/>
          <w:szCs w:val="28"/>
        </w:rPr>
        <w:t>request</w:t>
      </w:r>
      <w:proofErr w:type="spellEnd"/>
      <w:r w:rsidRPr="00567437">
        <w:rPr>
          <w:rFonts w:ascii="Times New Roman" w:hAnsi="Times New Roman" w:cs="Times New Roman"/>
          <w:b/>
          <w:bCs/>
          <w:sz w:val="28"/>
          <w:szCs w:val="28"/>
        </w:rPr>
        <w:t xml:space="preserve"> </w:t>
      </w:r>
      <w:r w:rsidRPr="00567437">
        <w:rPr>
          <w:rFonts w:ascii="Times New Roman" w:hAnsi="Times New Roman" w:cs="Times New Roman"/>
          <w:sz w:val="28"/>
          <w:szCs w:val="28"/>
        </w:rPr>
        <w:t>(</w:t>
      </w:r>
      <w:r w:rsidRPr="00567437">
        <w:rPr>
          <w:rFonts w:ascii="Times New Roman" w:hAnsi="Times New Roman" w:cs="Times New Roman"/>
          <w:i/>
          <w:iCs/>
          <w:sz w:val="28"/>
          <w:szCs w:val="28"/>
        </w:rPr>
        <w:t>base jurídica do pedido</w:t>
      </w:r>
      <w:r w:rsidRPr="00567437">
        <w:rPr>
          <w:rFonts w:ascii="Times New Roman" w:hAnsi="Times New Roman" w:cs="Times New Roman"/>
          <w:sz w:val="28"/>
          <w:szCs w:val="28"/>
        </w:rPr>
        <w:t>) – dependendo da Carta Rogatória:</w:t>
      </w:r>
    </w:p>
    <w:p w14:paraId="58F1650A" w14:textId="77777777" w:rsidR="0085718C" w:rsidRPr="00567437" w:rsidRDefault="0074309F" w:rsidP="0013415C">
      <w:pPr>
        <w:pStyle w:val="PargrafodaLista"/>
        <w:numPr>
          <w:ilvl w:val="0"/>
          <w:numId w:val="13"/>
        </w:numPr>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para a Carta Rogatória – audição da testemunha por videoconferência é a Convenção de 2000 (com exceção da Croácia onde a base jurídica é o Segundo Protocolo Adicional à Convenção Europeia de Auxílio Judiciário Mútuo em Matéria Penal, Estrasburgo, 08 de novembro de 2001), </w:t>
      </w:r>
    </w:p>
    <w:p w14:paraId="780890D8" w14:textId="3D48FD8C" w:rsidR="00353CD7" w:rsidRPr="00567437" w:rsidRDefault="0074309F" w:rsidP="0013415C">
      <w:pPr>
        <w:pStyle w:val="PargrafodaLista"/>
        <w:numPr>
          <w:ilvl w:val="0"/>
          <w:numId w:val="13"/>
        </w:numPr>
        <w:contextualSpacing w:val="0"/>
        <w:jc w:val="both"/>
        <w:rPr>
          <w:rFonts w:ascii="Times New Roman" w:hAnsi="Times New Roman" w:cs="Times New Roman"/>
          <w:sz w:val="28"/>
          <w:szCs w:val="28"/>
        </w:rPr>
      </w:pPr>
      <w:r w:rsidRPr="00567437">
        <w:rPr>
          <w:rFonts w:ascii="Times New Roman" w:hAnsi="Times New Roman" w:cs="Times New Roman"/>
          <w:sz w:val="28"/>
          <w:szCs w:val="28"/>
        </w:rPr>
        <w:lastRenderedPageBreak/>
        <w:t>para a Carta Rogatória – audição do suspeito por videoconferência é a Convenção de 2000.</w:t>
      </w:r>
    </w:p>
    <w:p w14:paraId="7BA9B0EA" w14:textId="597FA462" w:rsidR="00353CD7" w:rsidRPr="00567437" w:rsidRDefault="0074309F" w:rsidP="0074607F">
      <w:pPr>
        <w:pStyle w:val="PargrafodaLista"/>
        <w:ind w:left="1080"/>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Se existir um tratado bilateral/multilateral entre o seu país e o país requerido do cenário de caso, </w:t>
      </w:r>
      <w:r w:rsidRPr="00567437">
        <w:rPr>
          <w:rFonts w:ascii="Times New Roman" w:hAnsi="Times New Roman" w:cs="Times New Roman"/>
          <w:sz w:val="28"/>
          <w:szCs w:val="28"/>
          <w:u w:val="single"/>
        </w:rPr>
        <w:t>os participantes indicarão o tratado/convenção/acordo ou qualquer outro instrumento internacional existente entre os dois países.</w:t>
      </w:r>
    </w:p>
    <w:p w14:paraId="37F50A5A" w14:textId="7DB97090" w:rsidR="00353CD7" w:rsidRPr="00567437" w:rsidRDefault="0074309F" w:rsidP="0013415C">
      <w:pPr>
        <w:pStyle w:val="PargrafodaLista"/>
        <w:numPr>
          <w:ilvl w:val="0"/>
          <w:numId w:val="3"/>
        </w:numPr>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Ao preencherem a secção – </w:t>
      </w:r>
      <w:proofErr w:type="spellStart"/>
      <w:r w:rsidRPr="00567437">
        <w:rPr>
          <w:rFonts w:ascii="Times New Roman" w:hAnsi="Times New Roman" w:cs="Times New Roman"/>
          <w:b/>
          <w:bCs/>
          <w:sz w:val="28"/>
          <w:szCs w:val="28"/>
        </w:rPr>
        <w:t>Facts</w:t>
      </w:r>
      <w:proofErr w:type="spellEnd"/>
      <w:r w:rsidRPr="00567437">
        <w:rPr>
          <w:rFonts w:ascii="Times New Roman" w:hAnsi="Times New Roman" w:cs="Times New Roman"/>
          <w:b/>
          <w:bCs/>
          <w:sz w:val="28"/>
          <w:szCs w:val="28"/>
        </w:rPr>
        <w:t xml:space="preserve"> </w:t>
      </w:r>
      <w:proofErr w:type="spellStart"/>
      <w:r w:rsidRPr="00567437">
        <w:rPr>
          <w:rFonts w:ascii="Times New Roman" w:hAnsi="Times New Roman" w:cs="Times New Roman"/>
          <w:b/>
          <w:bCs/>
          <w:sz w:val="28"/>
          <w:szCs w:val="28"/>
        </w:rPr>
        <w:t>and</w:t>
      </w:r>
      <w:proofErr w:type="spellEnd"/>
      <w:r w:rsidRPr="00567437">
        <w:rPr>
          <w:rFonts w:ascii="Times New Roman" w:hAnsi="Times New Roman" w:cs="Times New Roman"/>
          <w:b/>
          <w:bCs/>
          <w:sz w:val="28"/>
          <w:szCs w:val="28"/>
        </w:rPr>
        <w:t xml:space="preserve"> </w:t>
      </w:r>
      <w:proofErr w:type="spellStart"/>
      <w:r w:rsidRPr="00567437">
        <w:rPr>
          <w:rFonts w:ascii="Times New Roman" w:hAnsi="Times New Roman" w:cs="Times New Roman"/>
          <w:b/>
          <w:bCs/>
          <w:sz w:val="28"/>
          <w:szCs w:val="28"/>
        </w:rPr>
        <w:t>qualification</w:t>
      </w:r>
      <w:proofErr w:type="spellEnd"/>
      <w:r w:rsidRPr="00567437">
        <w:rPr>
          <w:rFonts w:ascii="Times New Roman" w:hAnsi="Times New Roman" w:cs="Times New Roman"/>
          <w:sz w:val="28"/>
          <w:szCs w:val="28"/>
        </w:rPr>
        <w:t xml:space="preserve"> (</w:t>
      </w:r>
      <w:r w:rsidRPr="00567437">
        <w:rPr>
          <w:rFonts w:ascii="Times New Roman" w:hAnsi="Times New Roman" w:cs="Times New Roman"/>
          <w:i/>
          <w:iCs/>
          <w:sz w:val="28"/>
          <w:szCs w:val="28"/>
        </w:rPr>
        <w:t>Factos e qualificações</w:t>
      </w:r>
      <w:r w:rsidRPr="00567437">
        <w:rPr>
          <w:rFonts w:ascii="Times New Roman" w:hAnsi="Times New Roman" w:cs="Times New Roman"/>
          <w:sz w:val="28"/>
          <w:szCs w:val="28"/>
        </w:rPr>
        <w:t>) – os participantes introduzirão as disposições nacionais aplicáveis aos factos descritos no cenário de caso.</w:t>
      </w:r>
    </w:p>
    <w:p w14:paraId="4E9AF696" w14:textId="6C6F12E8" w:rsidR="00353CD7" w:rsidRPr="00567437" w:rsidRDefault="0074309F" w:rsidP="0013415C">
      <w:pPr>
        <w:pStyle w:val="PargrafodaLista"/>
        <w:numPr>
          <w:ilvl w:val="0"/>
          <w:numId w:val="3"/>
        </w:numPr>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Ao preencherem a secção – </w:t>
      </w:r>
      <w:proofErr w:type="spellStart"/>
      <w:r w:rsidRPr="00567437">
        <w:rPr>
          <w:rFonts w:ascii="Times New Roman" w:hAnsi="Times New Roman" w:cs="Times New Roman"/>
          <w:b/>
          <w:bCs/>
          <w:sz w:val="28"/>
          <w:szCs w:val="28"/>
        </w:rPr>
        <w:t>Special</w:t>
      </w:r>
      <w:proofErr w:type="spellEnd"/>
      <w:r w:rsidRPr="00567437">
        <w:rPr>
          <w:rFonts w:ascii="Times New Roman" w:hAnsi="Times New Roman" w:cs="Times New Roman"/>
          <w:b/>
          <w:bCs/>
          <w:sz w:val="28"/>
          <w:szCs w:val="28"/>
        </w:rPr>
        <w:t xml:space="preserve"> </w:t>
      </w:r>
      <w:proofErr w:type="spellStart"/>
      <w:r w:rsidRPr="00567437">
        <w:rPr>
          <w:rFonts w:ascii="Times New Roman" w:hAnsi="Times New Roman" w:cs="Times New Roman"/>
          <w:b/>
          <w:bCs/>
          <w:sz w:val="28"/>
          <w:szCs w:val="28"/>
        </w:rPr>
        <w:t>formalities</w:t>
      </w:r>
      <w:proofErr w:type="spellEnd"/>
      <w:r w:rsidRPr="00567437">
        <w:rPr>
          <w:rFonts w:ascii="Times New Roman" w:hAnsi="Times New Roman" w:cs="Times New Roman"/>
          <w:b/>
          <w:bCs/>
          <w:sz w:val="28"/>
          <w:szCs w:val="28"/>
        </w:rPr>
        <w:t xml:space="preserve"> </w:t>
      </w:r>
      <w:proofErr w:type="spellStart"/>
      <w:r w:rsidRPr="00567437">
        <w:rPr>
          <w:rFonts w:ascii="Times New Roman" w:hAnsi="Times New Roman" w:cs="Times New Roman"/>
          <w:b/>
          <w:bCs/>
          <w:sz w:val="28"/>
          <w:szCs w:val="28"/>
        </w:rPr>
        <w:t>required</w:t>
      </w:r>
      <w:proofErr w:type="spellEnd"/>
      <w:r w:rsidRPr="00567437">
        <w:rPr>
          <w:rFonts w:ascii="Times New Roman" w:hAnsi="Times New Roman" w:cs="Times New Roman"/>
          <w:b/>
          <w:bCs/>
          <w:sz w:val="28"/>
          <w:szCs w:val="28"/>
        </w:rPr>
        <w:t xml:space="preserve"> </w:t>
      </w:r>
      <w:proofErr w:type="spellStart"/>
      <w:r w:rsidRPr="00567437">
        <w:rPr>
          <w:rFonts w:ascii="Times New Roman" w:hAnsi="Times New Roman" w:cs="Times New Roman"/>
          <w:b/>
          <w:bCs/>
          <w:sz w:val="28"/>
          <w:szCs w:val="28"/>
        </w:rPr>
        <w:t>under</w:t>
      </w:r>
      <w:proofErr w:type="spellEnd"/>
      <w:r w:rsidRPr="00567437">
        <w:rPr>
          <w:rFonts w:ascii="Times New Roman" w:hAnsi="Times New Roman" w:cs="Times New Roman"/>
          <w:b/>
          <w:bCs/>
          <w:sz w:val="28"/>
          <w:szCs w:val="28"/>
        </w:rPr>
        <w:t xml:space="preserve"> </w:t>
      </w:r>
      <w:proofErr w:type="spellStart"/>
      <w:r w:rsidRPr="00567437">
        <w:rPr>
          <w:rFonts w:ascii="Times New Roman" w:hAnsi="Times New Roman" w:cs="Times New Roman"/>
          <w:b/>
          <w:bCs/>
          <w:sz w:val="28"/>
          <w:szCs w:val="28"/>
        </w:rPr>
        <w:t>the</w:t>
      </w:r>
      <w:proofErr w:type="spellEnd"/>
      <w:r w:rsidRPr="00567437">
        <w:rPr>
          <w:rFonts w:ascii="Times New Roman" w:hAnsi="Times New Roman" w:cs="Times New Roman"/>
          <w:b/>
          <w:bCs/>
          <w:sz w:val="28"/>
          <w:szCs w:val="28"/>
        </w:rPr>
        <w:t xml:space="preserve"> </w:t>
      </w:r>
      <w:proofErr w:type="spellStart"/>
      <w:r w:rsidRPr="00567437">
        <w:rPr>
          <w:rFonts w:ascii="Times New Roman" w:hAnsi="Times New Roman" w:cs="Times New Roman"/>
          <w:b/>
          <w:bCs/>
          <w:sz w:val="28"/>
          <w:szCs w:val="28"/>
        </w:rPr>
        <w:t>law</w:t>
      </w:r>
      <w:proofErr w:type="spellEnd"/>
      <w:r w:rsidRPr="00567437">
        <w:rPr>
          <w:rFonts w:ascii="Times New Roman" w:hAnsi="Times New Roman" w:cs="Times New Roman"/>
          <w:b/>
          <w:bCs/>
          <w:sz w:val="28"/>
          <w:szCs w:val="28"/>
        </w:rPr>
        <w:t xml:space="preserve"> </w:t>
      </w:r>
      <w:proofErr w:type="spellStart"/>
      <w:r w:rsidRPr="00567437">
        <w:rPr>
          <w:rFonts w:ascii="Times New Roman" w:hAnsi="Times New Roman" w:cs="Times New Roman"/>
          <w:b/>
          <w:bCs/>
          <w:sz w:val="28"/>
          <w:szCs w:val="28"/>
        </w:rPr>
        <w:t>of</w:t>
      </w:r>
      <w:proofErr w:type="spellEnd"/>
      <w:r w:rsidRPr="00567437">
        <w:rPr>
          <w:rFonts w:ascii="Times New Roman" w:hAnsi="Times New Roman" w:cs="Times New Roman"/>
          <w:b/>
          <w:bCs/>
          <w:sz w:val="28"/>
          <w:szCs w:val="28"/>
        </w:rPr>
        <w:t xml:space="preserve"> </w:t>
      </w:r>
      <w:proofErr w:type="spellStart"/>
      <w:r w:rsidRPr="00567437">
        <w:rPr>
          <w:rFonts w:ascii="Times New Roman" w:hAnsi="Times New Roman" w:cs="Times New Roman"/>
          <w:b/>
          <w:bCs/>
          <w:sz w:val="28"/>
          <w:szCs w:val="28"/>
        </w:rPr>
        <w:t>the</w:t>
      </w:r>
      <w:proofErr w:type="spellEnd"/>
      <w:r w:rsidRPr="00567437">
        <w:rPr>
          <w:rFonts w:ascii="Times New Roman" w:hAnsi="Times New Roman" w:cs="Times New Roman"/>
          <w:b/>
          <w:bCs/>
          <w:sz w:val="28"/>
          <w:szCs w:val="28"/>
        </w:rPr>
        <w:t xml:space="preserve"> </w:t>
      </w:r>
      <w:proofErr w:type="spellStart"/>
      <w:r w:rsidRPr="00567437">
        <w:rPr>
          <w:rFonts w:ascii="Times New Roman" w:hAnsi="Times New Roman" w:cs="Times New Roman"/>
          <w:b/>
          <w:bCs/>
          <w:sz w:val="28"/>
          <w:szCs w:val="28"/>
        </w:rPr>
        <w:t>requesting</w:t>
      </w:r>
      <w:proofErr w:type="spellEnd"/>
      <w:r w:rsidRPr="00567437">
        <w:rPr>
          <w:rFonts w:ascii="Times New Roman" w:hAnsi="Times New Roman" w:cs="Times New Roman"/>
          <w:b/>
          <w:bCs/>
          <w:sz w:val="28"/>
          <w:szCs w:val="28"/>
        </w:rPr>
        <w:t xml:space="preserve"> </w:t>
      </w:r>
      <w:proofErr w:type="spellStart"/>
      <w:r w:rsidRPr="00567437">
        <w:rPr>
          <w:rFonts w:ascii="Times New Roman" w:hAnsi="Times New Roman" w:cs="Times New Roman"/>
          <w:b/>
          <w:bCs/>
          <w:sz w:val="28"/>
          <w:szCs w:val="28"/>
        </w:rPr>
        <w:t>state</w:t>
      </w:r>
      <w:proofErr w:type="spellEnd"/>
      <w:r w:rsidRPr="00567437">
        <w:rPr>
          <w:rFonts w:ascii="Times New Roman" w:hAnsi="Times New Roman" w:cs="Times New Roman"/>
          <w:sz w:val="28"/>
          <w:szCs w:val="28"/>
        </w:rPr>
        <w:t xml:space="preserve"> (</w:t>
      </w:r>
      <w:r w:rsidRPr="00567437">
        <w:rPr>
          <w:rFonts w:ascii="Times New Roman" w:hAnsi="Times New Roman" w:cs="Times New Roman"/>
          <w:i/>
          <w:iCs/>
          <w:sz w:val="28"/>
          <w:szCs w:val="28"/>
        </w:rPr>
        <w:t>Formalidades especiais exigidas pela lei do Estado requerente</w:t>
      </w:r>
      <w:r w:rsidRPr="00567437">
        <w:rPr>
          <w:rFonts w:ascii="Times New Roman" w:hAnsi="Times New Roman" w:cs="Times New Roman"/>
          <w:sz w:val="28"/>
          <w:szCs w:val="28"/>
        </w:rPr>
        <w:t>) – os participantes introduzirão as formalidades previstas pela legislação nacional em relação à audição das testemunhas ou dos suspeitos (se aplicável).</w:t>
      </w:r>
    </w:p>
    <w:p w14:paraId="29F2B4CE" w14:textId="3B4DD9F7" w:rsidR="00353CD7" w:rsidRPr="00567437" w:rsidRDefault="0074309F" w:rsidP="0013415C">
      <w:pPr>
        <w:pStyle w:val="PargrafodaLista"/>
        <w:numPr>
          <w:ilvl w:val="0"/>
          <w:numId w:val="3"/>
        </w:numPr>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Na secção – </w:t>
      </w:r>
      <w:proofErr w:type="spellStart"/>
      <w:r w:rsidRPr="00567437">
        <w:rPr>
          <w:rFonts w:ascii="Times New Roman" w:hAnsi="Times New Roman" w:cs="Times New Roman"/>
          <w:b/>
          <w:bCs/>
          <w:sz w:val="28"/>
          <w:szCs w:val="28"/>
        </w:rPr>
        <w:t>Other</w:t>
      </w:r>
      <w:proofErr w:type="spellEnd"/>
      <w:r w:rsidRPr="00567437">
        <w:rPr>
          <w:rFonts w:ascii="Times New Roman" w:hAnsi="Times New Roman" w:cs="Times New Roman"/>
          <w:b/>
          <w:bCs/>
          <w:sz w:val="28"/>
          <w:szCs w:val="28"/>
        </w:rPr>
        <w:t xml:space="preserve"> </w:t>
      </w:r>
      <w:proofErr w:type="spellStart"/>
      <w:r w:rsidRPr="00567437">
        <w:rPr>
          <w:rFonts w:ascii="Times New Roman" w:hAnsi="Times New Roman" w:cs="Times New Roman"/>
          <w:b/>
          <w:bCs/>
          <w:sz w:val="28"/>
          <w:szCs w:val="28"/>
        </w:rPr>
        <w:t>authorities</w:t>
      </w:r>
      <w:proofErr w:type="spellEnd"/>
      <w:r w:rsidRPr="00567437">
        <w:rPr>
          <w:rFonts w:ascii="Times New Roman" w:hAnsi="Times New Roman" w:cs="Times New Roman"/>
          <w:b/>
          <w:bCs/>
          <w:sz w:val="28"/>
          <w:szCs w:val="28"/>
        </w:rPr>
        <w:t xml:space="preserve"> </w:t>
      </w:r>
      <w:proofErr w:type="spellStart"/>
      <w:r w:rsidRPr="00567437">
        <w:rPr>
          <w:rFonts w:ascii="Times New Roman" w:hAnsi="Times New Roman" w:cs="Times New Roman"/>
          <w:b/>
          <w:bCs/>
          <w:sz w:val="28"/>
          <w:szCs w:val="28"/>
        </w:rPr>
        <w:t>involved</w:t>
      </w:r>
      <w:proofErr w:type="spellEnd"/>
      <w:r w:rsidRPr="00567437">
        <w:rPr>
          <w:rFonts w:ascii="Times New Roman" w:hAnsi="Times New Roman" w:cs="Times New Roman"/>
          <w:b/>
          <w:bCs/>
          <w:sz w:val="28"/>
          <w:szCs w:val="28"/>
        </w:rPr>
        <w:t xml:space="preserve"> </w:t>
      </w:r>
      <w:r w:rsidRPr="00567437">
        <w:rPr>
          <w:rFonts w:ascii="Times New Roman" w:hAnsi="Times New Roman" w:cs="Times New Roman"/>
          <w:sz w:val="28"/>
          <w:szCs w:val="28"/>
        </w:rPr>
        <w:t>(</w:t>
      </w:r>
      <w:r w:rsidRPr="00567437">
        <w:rPr>
          <w:rFonts w:ascii="Times New Roman" w:hAnsi="Times New Roman" w:cs="Times New Roman"/>
          <w:i/>
          <w:iCs/>
          <w:sz w:val="28"/>
          <w:szCs w:val="28"/>
        </w:rPr>
        <w:t>Outras autoridades envolvidas</w:t>
      </w:r>
      <w:r w:rsidRPr="00567437">
        <w:rPr>
          <w:rFonts w:ascii="Times New Roman" w:hAnsi="Times New Roman" w:cs="Times New Roman"/>
          <w:sz w:val="28"/>
          <w:szCs w:val="28"/>
        </w:rPr>
        <w:t>) – os participantes preencherão a autoridade/autoridades previstas pela legislação nacional (se aplicável). Os participantes especificarão o papel destas autoridades ou se solicitam auxílio para a execução do pedido.</w:t>
      </w:r>
    </w:p>
    <w:p w14:paraId="5F0F1448" w14:textId="539D41B9" w:rsidR="00353CD7" w:rsidRPr="00567437" w:rsidRDefault="0074309F" w:rsidP="0013415C">
      <w:pPr>
        <w:pStyle w:val="PargrafodaLista"/>
        <w:numPr>
          <w:ilvl w:val="0"/>
          <w:numId w:val="3"/>
        </w:numPr>
        <w:contextualSpacing w:val="0"/>
        <w:jc w:val="both"/>
        <w:rPr>
          <w:rFonts w:ascii="Times New Roman" w:hAnsi="Times New Roman" w:cs="Times New Roman"/>
          <w:b/>
          <w:bCs/>
          <w:sz w:val="28"/>
          <w:szCs w:val="28"/>
        </w:rPr>
      </w:pPr>
      <w:r w:rsidRPr="00567437">
        <w:rPr>
          <w:rFonts w:ascii="Times New Roman" w:hAnsi="Times New Roman" w:cs="Times New Roman"/>
          <w:sz w:val="28"/>
          <w:szCs w:val="28"/>
        </w:rPr>
        <w:t xml:space="preserve">Na secção – </w:t>
      </w:r>
      <w:proofErr w:type="spellStart"/>
      <w:r w:rsidRPr="00567437">
        <w:rPr>
          <w:rFonts w:ascii="Times New Roman" w:hAnsi="Times New Roman" w:cs="Times New Roman"/>
          <w:b/>
          <w:bCs/>
          <w:sz w:val="28"/>
          <w:szCs w:val="28"/>
        </w:rPr>
        <w:t>Specific</w:t>
      </w:r>
      <w:proofErr w:type="spellEnd"/>
      <w:r w:rsidRPr="00567437">
        <w:rPr>
          <w:rFonts w:ascii="Times New Roman" w:hAnsi="Times New Roman" w:cs="Times New Roman"/>
          <w:b/>
          <w:bCs/>
          <w:sz w:val="28"/>
          <w:szCs w:val="28"/>
        </w:rPr>
        <w:t xml:space="preserve"> </w:t>
      </w:r>
      <w:proofErr w:type="spellStart"/>
      <w:r w:rsidRPr="00567437">
        <w:rPr>
          <w:rFonts w:ascii="Times New Roman" w:hAnsi="Times New Roman" w:cs="Times New Roman"/>
          <w:b/>
          <w:bCs/>
          <w:sz w:val="28"/>
          <w:szCs w:val="28"/>
        </w:rPr>
        <w:t>information</w:t>
      </w:r>
      <w:proofErr w:type="spellEnd"/>
      <w:r w:rsidRPr="00567437">
        <w:rPr>
          <w:rFonts w:ascii="Times New Roman" w:hAnsi="Times New Roman" w:cs="Times New Roman"/>
          <w:b/>
          <w:bCs/>
          <w:sz w:val="28"/>
          <w:szCs w:val="28"/>
        </w:rPr>
        <w:t xml:space="preserve"> </w:t>
      </w:r>
      <w:proofErr w:type="spellStart"/>
      <w:r w:rsidRPr="00567437">
        <w:rPr>
          <w:rFonts w:ascii="Times New Roman" w:hAnsi="Times New Roman" w:cs="Times New Roman"/>
          <w:b/>
          <w:bCs/>
          <w:sz w:val="28"/>
          <w:szCs w:val="28"/>
        </w:rPr>
        <w:t>needed</w:t>
      </w:r>
      <w:proofErr w:type="spellEnd"/>
      <w:r w:rsidRPr="00567437">
        <w:rPr>
          <w:rFonts w:ascii="Times New Roman" w:hAnsi="Times New Roman" w:cs="Times New Roman"/>
          <w:b/>
          <w:bCs/>
          <w:sz w:val="28"/>
          <w:szCs w:val="28"/>
        </w:rPr>
        <w:t xml:space="preserve"> in case </w:t>
      </w:r>
      <w:proofErr w:type="spellStart"/>
      <w:r w:rsidRPr="00567437">
        <w:rPr>
          <w:rFonts w:ascii="Times New Roman" w:hAnsi="Times New Roman" w:cs="Times New Roman"/>
          <w:b/>
          <w:bCs/>
          <w:sz w:val="28"/>
          <w:szCs w:val="28"/>
        </w:rPr>
        <w:t>of</w:t>
      </w:r>
      <w:proofErr w:type="spellEnd"/>
      <w:r w:rsidRPr="00567437">
        <w:rPr>
          <w:rFonts w:ascii="Times New Roman" w:hAnsi="Times New Roman" w:cs="Times New Roman"/>
          <w:b/>
          <w:bCs/>
          <w:sz w:val="28"/>
          <w:szCs w:val="28"/>
        </w:rPr>
        <w:t xml:space="preserve"> </w:t>
      </w:r>
      <w:proofErr w:type="spellStart"/>
      <w:r w:rsidRPr="00567437">
        <w:rPr>
          <w:rFonts w:ascii="Times New Roman" w:hAnsi="Times New Roman" w:cs="Times New Roman"/>
          <w:b/>
          <w:bCs/>
          <w:sz w:val="28"/>
          <w:szCs w:val="28"/>
        </w:rPr>
        <w:t>request</w:t>
      </w:r>
      <w:proofErr w:type="spellEnd"/>
      <w:r w:rsidRPr="00567437">
        <w:rPr>
          <w:rFonts w:ascii="Times New Roman" w:hAnsi="Times New Roman" w:cs="Times New Roman"/>
          <w:b/>
          <w:bCs/>
          <w:sz w:val="28"/>
          <w:szCs w:val="28"/>
        </w:rPr>
        <w:t xml:space="preserve"> for </w:t>
      </w:r>
      <w:proofErr w:type="spellStart"/>
      <w:r w:rsidRPr="00567437">
        <w:rPr>
          <w:rFonts w:ascii="Times New Roman" w:hAnsi="Times New Roman" w:cs="Times New Roman"/>
          <w:b/>
          <w:bCs/>
          <w:sz w:val="28"/>
          <w:szCs w:val="28"/>
        </w:rPr>
        <w:t>hearings</w:t>
      </w:r>
      <w:proofErr w:type="spellEnd"/>
      <w:r w:rsidRPr="00567437">
        <w:rPr>
          <w:rFonts w:ascii="Times New Roman" w:hAnsi="Times New Roman" w:cs="Times New Roman"/>
          <w:b/>
          <w:bCs/>
          <w:sz w:val="28"/>
          <w:szCs w:val="28"/>
        </w:rPr>
        <w:t xml:space="preserve"> </w:t>
      </w:r>
      <w:proofErr w:type="spellStart"/>
      <w:r w:rsidRPr="00567437">
        <w:rPr>
          <w:rFonts w:ascii="Times New Roman" w:hAnsi="Times New Roman" w:cs="Times New Roman"/>
          <w:b/>
          <w:bCs/>
          <w:sz w:val="28"/>
          <w:szCs w:val="28"/>
        </w:rPr>
        <w:t>by</w:t>
      </w:r>
      <w:proofErr w:type="spellEnd"/>
      <w:r w:rsidRPr="00567437">
        <w:rPr>
          <w:rFonts w:ascii="Times New Roman" w:hAnsi="Times New Roman" w:cs="Times New Roman"/>
          <w:b/>
          <w:bCs/>
          <w:sz w:val="28"/>
          <w:szCs w:val="28"/>
        </w:rPr>
        <w:t xml:space="preserve"> </w:t>
      </w:r>
      <w:proofErr w:type="spellStart"/>
      <w:r w:rsidRPr="00567437">
        <w:rPr>
          <w:rFonts w:ascii="Times New Roman" w:hAnsi="Times New Roman" w:cs="Times New Roman"/>
          <w:b/>
          <w:bCs/>
          <w:sz w:val="28"/>
          <w:szCs w:val="28"/>
        </w:rPr>
        <w:t>videoconference</w:t>
      </w:r>
      <w:proofErr w:type="spellEnd"/>
      <w:r w:rsidRPr="00567437">
        <w:rPr>
          <w:rFonts w:ascii="Times New Roman" w:hAnsi="Times New Roman" w:cs="Times New Roman"/>
          <w:sz w:val="28"/>
          <w:szCs w:val="28"/>
        </w:rPr>
        <w:t xml:space="preserve"> (</w:t>
      </w:r>
      <w:r w:rsidRPr="00567437">
        <w:rPr>
          <w:rFonts w:ascii="Times New Roman" w:hAnsi="Times New Roman" w:cs="Times New Roman"/>
          <w:i/>
          <w:iCs/>
          <w:sz w:val="28"/>
          <w:szCs w:val="28"/>
        </w:rPr>
        <w:t>Informações específicas necessárias em caso de pedido de audiências por videoconferência</w:t>
      </w:r>
      <w:r w:rsidRPr="00567437">
        <w:rPr>
          <w:rFonts w:ascii="Times New Roman" w:hAnsi="Times New Roman" w:cs="Times New Roman"/>
          <w:sz w:val="28"/>
          <w:szCs w:val="28"/>
        </w:rPr>
        <w:t>) – os participantes preencherão qualquer informação relativa à respetiva autoridade judiciária ou qualquer informação fictícia (se não for conhecida) para a autoridade requerente e informações aleatórias para a autoridade requerida e informações prévias à reunião não conhecidas do caso fornecido.</w:t>
      </w:r>
    </w:p>
    <w:p w14:paraId="6089F901" w14:textId="77777777" w:rsidR="00353CD7" w:rsidRPr="00567437" w:rsidRDefault="0074309F" w:rsidP="0013415C">
      <w:pPr>
        <w:pStyle w:val="PargrafodaLista"/>
        <w:numPr>
          <w:ilvl w:val="0"/>
          <w:numId w:val="3"/>
        </w:numPr>
        <w:contextualSpacing w:val="0"/>
        <w:jc w:val="both"/>
        <w:rPr>
          <w:rFonts w:ascii="Times New Roman" w:hAnsi="Times New Roman" w:cs="Times New Roman"/>
          <w:b/>
          <w:bCs/>
          <w:sz w:val="28"/>
          <w:szCs w:val="28"/>
        </w:rPr>
      </w:pPr>
      <w:r w:rsidRPr="00567437">
        <w:rPr>
          <w:rFonts w:ascii="Times New Roman" w:hAnsi="Times New Roman" w:cs="Times New Roman"/>
          <w:sz w:val="28"/>
          <w:szCs w:val="28"/>
        </w:rPr>
        <w:t xml:space="preserve">Na secção </w:t>
      </w:r>
      <w:proofErr w:type="spellStart"/>
      <w:r w:rsidRPr="00567437">
        <w:rPr>
          <w:rFonts w:ascii="Times New Roman" w:hAnsi="Times New Roman" w:cs="Times New Roman"/>
          <w:b/>
          <w:bCs/>
          <w:sz w:val="28"/>
          <w:szCs w:val="28"/>
        </w:rPr>
        <w:t>Annexes</w:t>
      </w:r>
      <w:proofErr w:type="spellEnd"/>
      <w:r w:rsidRPr="00567437">
        <w:rPr>
          <w:rFonts w:ascii="Times New Roman" w:hAnsi="Times New Roman" w:cs="Times New Roman"/>
          <w:b/>
          <w:bCs/>
          <w:sz w:val="28"/>
          <w:szCs w:val="28"/>
        </w:rPr>
        <w:t xml:space="preserve"> </w:t>
      </w:r>
      <w:r w:rsidRPr="00567437">
        <w:rPr>
          <w:rFonts w:ascii="Times New Roman" w:hAnsi="Times New Roman" w:cs="Times New Roman"/>
          <w:sz w:val="28"/>
          <w:szCs w:val="28"/>
        </w:rPr>
        <w:t>(</w:t>
      </w:r>
      <w:r w:rsidRPr="00567437">
        <w:rPr>
          <w:rFonts w:ascii="Times New Roman" w:hAnsi="Times New Roman" w:cs="Times New Roman"/>
          <w:i/>
          <w:iCs/>
          <w:sz w:val="28"/>
          <w:szCs w:val="28"/>
        </w:rPr>
        <w:t>Anexos</w:t>
      </w:r>
      <w:r w:rsidRPr="00567437">
        <w:rPr>
          <w:rFonts w:ascii="Times New Roman" w:hAnsi="Times New Roman" w:cs="Times New Roman"/>
          <w:sz w:val="28"/>
          <w:szCs w:val="28"/>
        </w:rPr>
        <w:t>) – se preenchida, por favor mencionar o nome do anexo.</w:t>
      </w:r>
    </w:p>
    <w:p w14:paraId="301E0BE4" w14:textId="14F01C72" w:rsidR="00A241FB" w:rsidRPr="00567437" w:rsidRDefault="0074309F" w:rsidP="0074607F">
      <w:pPr>
        <w:pStyle w:val="PargrafodaLista"/>
        <w:numPr>
          <w:ilvl w:val="0"/>
          <w:numId w:val="3"/>
        </w:numPr>
        <w:contextualSpacing w:val="0"/>
        <w:jc w:val="both"/>
        <w:rPr>
          <w:rFonts w:ascii="Times New Roman" w:hAnsi="Times New Roman" w:cs="Times New Roman"/>
          <w:b/>
          <w:bCs/>
          <w:sz w:val="28"/>
          <w:szCs w:val="28"/>
        </w:rPr>
      </w:pPr>
      <w:r w:rsidRPr="00567437">
        <w:rPr>
          <w:rFonts w:ascii="Times New Roman" w:hAnsi="Times New Roman" w:cs="Times New Roman"/>
          <w:sz w:val="28"/>
          <w:szCs w:val="28"/>
        </w:rPr>
        <w:t xml:space="preserve">Para a secção – </w:t>
      </w:r>
      <w:proofErr w:type="spellStart"/>
      <w:r w:rsidRPr="00567437">
        <w:rPr>
          <w:rFonts w:ascii="Times New Roman" w:hAnsi="Times New Roman" w:cs="Times New Roman"/>
          <w:b/>
          <w:bCs/>
          <w:sz w:val="28"/>
          <w:szCs w:val="28"/>
        </w:rPr>
        <w:t>Signature</w:t>
      </w:r>
      <w:proofErr w:type="spellEnd"/>
      <w:r w:rsidRPr="00567437">
        <w:rPr>
          <w:rFonts w:ascii="Times New Roman" w:hAnsi="Times New Roman" w:cs="Times New Roman"/>
          <w:b/>
          <w:bCs/>
          <w:sz w:val="28"/>
          <w:szCs w:val="28"/>
        </w:rPr>
        <w:t xml:space="preserve"> / </w:t>
      </w:r>
      <w:proofErr w:type="spellStart"/>
      <w:r w:rsidRPr="00567437">
        <w:rPr>
          <w:rFonts w:ascii="Times New Roman" w:hAnsi="Times New Roman" w:cs="Times New Roman"/>
          <w:b/>
          <w:bCs/>
          <w:sz w:val="28"/>
          <w:szCs w:val="28"/>
        </w:rPr>
        <w:t>Official</w:t>
      </w:r>
      <w:proofErr w:type="spellEnd"/>
      <w:r w:rsidRPr="00567437">
        <w:rPr>
          <w:rFonts w:ascii="Times New Roman" w:hAnsi="Times New Roman" w:cs="Times New Roman"/>
          <w:b/>
          <w:bCs/>
          <w:sz w:val="28"/>
          <w:szCs w:val="28"/>
        </w:rPr>
        <w:t xml:space="preserve"> </w:t>
      </w:r>
      <w:proofErr w:type="spellStart"/>
      <w:r w:rsidRPr="00567437">
        <w:rPr>
          <w:rFonts w:ascii="Times New Roman" w:hAnsi="Times New Roman" w:cs="Times New Roman"/>
          <w:b/>
          <w:bCs/>
          <w:sz w:val="28"/>
          <w:szCs w:val="28"/>
        </w:rPr>
        <w:t>stamp</w:t>
      </w:r>
      <w:proofErr w:type="spellEnd"/>
      <w:r w:rsidRPr="00567437">
        <w:rPr>
          <w:rFonts w:ascii="Times New Roman" w:hAnsi="Times New Roman" w:cs="Times New Roman"/>
          <w:b/>
          <w:bCs/>
          <w:sz w:val="28"/>
          <w:szCs w:val="28"/>
        </w:rPr>
        <w:t xml:space="preserve"> </w:t>
      </w:r>
      <w:r w:rsidRPr="00567437">
        <w:rPr>
          <w:rFonts w:ascii="Times New Roman" w:hAnsi="Times New Roman" w:cs="Times New Roman"/>
          <w:sz w:val="28"/>
          <w:szCs w:val="28"/>
        </w:rPr>
        <w:t>(</w:t>
      </w:r>
      <w:r w:rsidRPr="00567437">
        <w:rPr>
          <w:rFonts w:ascii="Times New Roman" w:hAnsi="Times New Roman" w:cs="Times New Roman"/>
          <w:i/>
          <w:iCs/>
          <w:sz w:val="28"/>
          <w:szCs w:val="28"/>
        </w:rPr>
        <w:t>Assinatura / Carimbo oficial</w:t>
      </w:r>
      <w:r w:rsidRPr="00567437">
        <w:rPr>
          <w:rFonts w:ascii="Times New Roman" w:hAnsi="Times New Roman" w:cs="Times New Roman"/>
          <w:sz w:val="28"/>
          <w:szCs w:val="28"/>
        </w:rPr>
        <w:t>) – os participantes preencherão um nome e cargo aleatórios.</w:t>
      </w:r>
    </w:p>
    <w:p w14:paraId="4C96E5F1" w14:textId="25F4CC2C" w:rsidR="004D0EA9" w:rsidRPr="00567437" w:rsidRDefault="0074309F" w:rsidP="004D0EA9">
      <w:pPr>
        <w:jc w:val="both"/>
        <w:rPr>
          <w:rFonts w:ascii="Times New Roman" w:hAnsi="Times New Roman" w:cs="Times New Roman"/>
          <w:i/>
          <w:color w:val="2F5496" w:themeColor="accent1" w:themeShade="BF"/>
          <w:sz w:val="28"/>
          <w:szCs w:val="28"/>
        </w:rPr>
      </w:pPr>
      <w:r w:rsidRPr="00567437">
        <w:rPr>
          <w:rFonts w:ascii="Times New Roman" w:hAnsi="Times New Roman" w:cs="Times New Roman"/>
          <w:b/>
          <w:bCs/>
          <w:i/>
          <w:iCs/>
          <w:color w:val="2F5496" w:themeColor="accent1" w:themeShade="BF"/>
          <w:sz w:val="28"/>
          <w:szCs w:val="28"/>
        </w:rPr>
        <w:t>Q6.</w:t>
      </w:r>
      <w:r w:rsidRPr="00567437">
        <w:rPr>
          <w:rFonts w:ascii="Times New Roman" w:hAnsi="Times New Roman" w:cs="Times New Roman"/>
          <w:i/>
          <w:iCs/>
          <w:color w:val="2F5496" w:themeColor="accent1" w:themeShade="BF"/>
          <w:sz w:val="28"/>
          <w:szCs w:val="28"/>
        </w:rPr>
        <w:t xml:space="preserve"> Existem limites de tempo para a execução dos AJM pelas autoridades competentes solicitadas?</w:t>
      </w:r>
    </w:p>
    <w:p w14:paraId="6EB90849" w14:textId="5456A1FF" w:rsidR="000B7964" w:rsidRPr="00567437" w:rsidRDefault="0074309F" w:rsidP="004D0EA9">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Ao contrário da Diretiva 2014/41/UE relativa à Decisão Europeia de Investigação em Matéria Penal em que foram introduzidos prazos expressos para o reconhecimento ou execução (consultar Artigo 12.º), nem a Convenção de 2000 </w:t>
      </w:r>
      <w:r w:rsidRPr="00567437">
        <w:rPr>
          <w:rFonts w:ascii="Times New Roman" w:hAnsi="Times New Roman" w:cs="Times New Roman"/>
          <w:sz w:val="28"/>
          <w:szCs w:val="28"/>
        </w:rPr>
        <w:lastRenderedPageBreak/>
        <w:t>nem o</w:t>
      </w:r>
      <w:r w:rsidRPr="00567437">
        <w:rPr>
          <w:rFonts w:ascii="Times New Roman" w:hAnsi="Times New Roman" w:cs="Times New Roman"/>
          <w:color w:val="333333"/>
          <w:sz w:val="17"/>
          <w:szCs w:val="17"/>
        </w:rPr>
        <w:t xml:space="preserve"> </w:t>
      </w:r>
      <w:r w:rsidRPr="00567437">
        <w:rPr>
          <w:rFonts w:ascii="Times New Roman" w:hAnsi="Times New Roman" w:cs="Times New Roman"/>
          <w:sz w:val="28"/>
          <w:szCs w:val="28"/>
        </w:rPr>
        <w:t>Segundo Protocolo Adicional à Convenção Europeia de Auxílio Judiciário Mútuo em Matéria Penal preveem tais prazos para a execução de uma Carta Rogatória.</w:t>
      </w:r>
    </w:p>
    <w:p w14:paraId="19493B4C" w14:textId="71F85F9E" w:rsidR="0074607F"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u w:val="single"/>
        </w:rPr>
        <w:t>Como regra geral, os pedidos devem ser executados o mais cedo possível e, se possível, dentro dos prazos indicados pela autoridade emissora.</w:t>
      </w:r>
      <w:r w:rsidRPr="00567437">
        <w:rPr>
          <w:rFonts w:ascii="Times New Roman" w:hAnsi="Times New Roman" w:cs="Times New Roman"/>
          <w:sz w:val="28"/>
          <w:szCs w:val="28"/>
        </w:rPr>
        <w:t xml:space="preserve"> </w:t>
      </w:r>
    </w:p>
    <w:p w14:paraId="0ECFF4F8" w14:textId="5AF57461" w:rsidR="008F3D5D" w:rsidRPr="00567437" w:rsidRDefault="0074309F" w:rsidP="0074607F">
      <w:pPr>
        <w:rPr>
          <w:rFonts w:ascii="Times New Roman" w:hAnsi="Times New Roman" w:cs="Times New Roman"/>
          <w:sz w:val="28"/>
          <w:szCs w:val="28"/>
        </w:rPr>
      </w:pPr>
      <w:r w:rsidRPr="00567437">
        <w:rPr>
          <w:rFonts w:ascii="Times New Roman" w:hAnsi="Times New Roman" w:cs="Times New Roman"/>
          <w:sz w:val="28"/>
          <w:szCs w:val="28"/>
        </w:rPr>
        <w:br w:type="page"/>
      </w:r>
    </w:p>
    <w:p w14:paraId="30DFB322" w14:textId="2B4B81C0" w:rsidR="00BE2FBB" w:rsidRPr="00567437" w:rsidRDefault="0074309F" w:rsidP="0013415C">
      <w:pPr>
        <w:pStyle w:val="PargrafodaLista"/>
        <w:numPr>
          <w:ilvl w:val="0"/>
          <w:numId w:val="4"/>
        </w:numPr>
        <w:spacing w:line="240" w:lineRule="auto"/>
        <w:contextualSpacing w:val="0"/>
        <w:jc w:val="both"/>
        <w:rPr>
          <w:rFonts w:ascii="Times New Roman" w:hAnsi="Times New Roman" w:cs="Times New Roman"/>
          <w:b/>
          <w:bCs/>
          <w:sz w:val="28"/>
          <w:szCs w:val="28"/>
        </w:rPr>
      </w:pPr>
      <w:r w:rsidRPr="00567437">
        <w:rPr>
          <w:rFonts w:ascii="Times New Roman" w:hAnsi="Times New Roman" w:cs="Times New Roman"/>
          <w:b/>
          <w:bCs/>
          <w:sz w:val="28"/>
          <w:szCs w:val="28"/>
        </w:rPr>
        <w:lastRenderedPageBreak/>
        <w:t>Convenção de</w:t>
      </w:r>
      <w:r w:rsidRPr="00567437">
        <w:rPr>
          <w:rFonts w:ascii="Times New Roman" w:hAnsi="Times New Roman" w:cs="Times New Roman"/>
          <w:b/>
          <w:bCs/>
        </w:rPr>
        <w:t xml:space="preserve"> </w:t>
      </w:r>
      <w:r w:rsidRPr="00567437">
        <w:rPr>
          <w:rFonts w:ascii="Times New Roman" w:hAnsi="Times New Roman" w:cs="Times New Roman"/>
          <w:b/>
          <w:bCs/>
          <w:sz w:val="28"/>
          <w:szCs w:val="28"/>
        </w:rPr>
        <w:t>Auxílio Judiciário Mútuo em Matéria Penal entre os Estados-Membros da União Europeia (Convenção de 2000)</w:t>
      </w:r>
    </w:p>
    <w:p w14:paraId="23546213" w14:textId="58FE4553" w:rsidR="000B7964"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O n.º 2 do Artigo 4.º prevê que o Estado-Membro requerido </w:t>
      </w:r>
      <w:r w:rsidRPr="00567437">
        <w:rPr>
          <w:rFonts w:ascii="Times New Roman" w:hAnsi="Times New Roman" w:cs="Times New Roman"/>
          <w:sz w:val="28"/>
          <w:szCs w:val="28"/>
          <w:u w:val="single"/>
        </w:rPr>
        <w:t>deve executar</w:t>
      </w:r>
      <w:r w:rsidRPr="00567437">
        <w:rPr>
          <w:rFonts w:ascii="Times New Roman" w:hAnsi="Times New Roman" w:cs="Times New Roman"/>
          <w:sz w:val="28"/>
          <w:szCs w:val="28"/>
        </w:rPr>
        <w:t xml:space="preserve"> o pedido de auxílio </w:t>
      </w:r>
      <w:r w:rsidRPr="00567437">
        <w:rPr>
          <w:rFonts w:ascii="Times New Roman" w:hAnsi="Times New Roman" w:cs="Times New Roman"/>
          <w:sz w:val="28"/>
          <w:szCs w:val="28"/>
          <w:u w:val="single"/>
        </w:rPr>
        <w:t>o mais rapidamente possível</w:t>
      </w:r>
      <w:r w:rsidRPr="00567437">
        <w:rPr>
          <w:rFonts w:ascii="Times New Roman" w:hAnsi="Times New Roman" w:cs="Times New Roman"/>
          <w:sz w:val="28"/>
          <w:szCs w:val="28"/>
        </w:rPr>
        <w:t xml:space="preserve">, tendo em conta, tanto quanto possível, os prazos processuais e outros prazos indicados pelo Estado-Membro requerente. </w:t>
      </w:r>
    </w:p>
    <w:p w14:paraId="6DD7F5DF" w14:textId="47FB91E0" w:rsidR="00353CD7"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Se for previsível que o prazo fixado pelo Estado-Membro requerente para a execução do seu pedido não possa ser cumprido, as autoridades do Estado-Membro requerido devem indicar prontamente o tempo estimado necessário para a execução do pedido. As autoridades do Estado-Membro requerente devem indicar prontamente se o pedido deve ou não ser deferido. As autoridades dos Estados-Membros requerentes e requeridos podem posteriormente acordar sobre as medidas a tomar relativamente ao pedido (Artigo 4.º, n.º 4).</w:t>
      </w:r>
    </w:p>
    <w:p w14:paraId="222ACC4E" w14:textId="4C4F4D9F" w:rsidR="00B44C05" w:rsidRPr="00567437" w:rsidRDefault="0074309F" w:rsidP="0013415C">
      <w:pPr>
        <w:pStyle w:val="PargrafodaLista"/>
        <w:numPr>
          <w:ilvl w:val="0"/>
          <w:numId w:val="5"/>
        </w:numPr>
        <w:spacing w:line="240" w:lineRule="auto"/>
        <w:contextualSpacing w:val="0"/>
        <w:jc w:val="both"/>
        <w:rPr>
          <w:rFonts w:ascii="Times New Roman" w:hAnsi="Times New Roman" w:cs="Times New Roman"/>
          <w:b/>
          <w:bCs/>
          <w:sz w:val="28"/>
          <w:szCs w:val="28"/>
        </w:rPr>
      </w:pPr>
      <w:bookmarkStart w:id="6" w:name="_Hlk37168166"/>
      <w:r w:rsidRPr="00567437">
        <w:rPr>
          <w:rFonts w:ascii="Times New Roman" w:hAnsi="Times New Roman" w:cs="Times New Roman"/>
          <w:b/>
          <w:bCs/>
          <w:sz w:val="28"/>
          <w:szCs w:val="28"/>
        </w:rPr>
        <w:t xml:space="preserve">Segundo Protocolo Adicional à Convenção Europeia de Auxílio Judiciário Mútuo em Matéria Penal </w:t>
      </w:r>
      <w:bookmarkEnd w:id="6"/>
    </w:p>
    <w:p w14:paraId="51C254B1" w14:textId="4DF275CE" w:rsidR="00A241FB"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Não há prazos previstos na Convenção para a execução de uma Carta Rogatória, o que significa que os pedidos devem ser executados o mais rapidamente possível e, se possível, dentro dos prazos indicados pela autoridade emissora.</w:t>
      </w:r>
    </w:p>
    <w:p w14:paraId="2348F9EB" w14:textId="77777777" w:rsidR="004D0EA9" w:rsidRPr="00567437" w:rsidRDefault="0074309F" w:rsidP="004D0EA9">
      <w:pPr>
        <w:jc w:val="both"/>
        <w:rPr>
          <w:rFonts w:ascii="Times New Roman" w:hAnsi="Times New Roman" w:cs="Times New Roman"/>
          <w:i/>
          <w:color w:val="2F5496" w:themeColor="accent1" w:themeShade="BF"/>
          <w:sz w:val="28"/>
          <w:szCs w:val="28"/>
        </w:rPr>
      </w:pPr>
      <w:r w:rsidRPr="00567437">
        <w:rPr>
          <w:rFonts w:ascii="Times New Roman" w:hAnsi="Times New Roman" w:cs="Times New Roman"/>
          <w:i/>
          <w:iCs/>
          <w:color w:val="2F5496" w:themeColor="accent1" w:themeShade="BF"/>
          <w:sz w:val="28"/>
          <w:szCs w:val="28"/>
        </w:rPr>
        <w:t>Q7. Que regras e requisitos se aplicarão à audição da testemunha ou do suspeito?</w:t>
      </w:r>
    </w:p>
    <w:p w14:paraId="3C49F181" w14:textId="17D19AFB" w:rsidR="005E435A" w:rsidRPr="00567437" w:rsidRDefault="0074309F" w:rsidP="0074607F">
      <w:pPr>
        <w:spacing w:line="240" w:lineRule="auto"/>
        <w:jc w:val="both"/>
        <w:rPr>
          <w:rFonts w:ascii="Times New Roman" w:hAnsi="Times New Roman" w:cs="Times New Roman"/>
          <w:i/>
          <w:iCs/>
          <w:sz w:val="28"/>
          <w:szCs w:val="28"/>
        </w:rPr>
      </w:pPr>
      <w:r w:rsidRPr="00567437">
        <w:rPr>
          <w:rFonts w:ascii="Times New Roman" w:hAnsi="Times New Roman" w:cs="Times New Roman"/>
          <w:sz w:val="28"/>
          <w:szCs w:val="28"/>
        </w:rPr>
        <w:t>A fim de garantir a admissibilidade d</w:t>
      </w:r>
      <w:r w:rsidR="0009286A" w:rsidRPr="00567437">
        <w:rPr>
          <w:rFonts w:ascii="Times New Roman" w:hAnsi="Times New Roman" w:cs="Times New Roman"/>
          <w:sz w:val="28"/>
          <w:szCs w:val="28"/>
        </w:rPr>
        <w:t>o</w:t>
      </w:r>
      <w:r w:rsidRPr="00567437">
        <w:rPr>
          <w:rFonts w:ascii="Times New Roman" w:hAnsi="Times New Roman" w:cs="Times New Roman"/>
          <w:sz w:val="28"/>
          <w:szCs w:val="28"/>
        </w:rPr>
        <w:t xml:space="preserve">s elementos de prova obtidas, as autoridades do Estado requerido </w:t>
      </w:r>
      <w:r w:rsidRPr="00567437">
        <w:rPr>
          <w:rFonts w:ascii="Times New Roman" w:hAnsi="Times New Roman" w:cs="Times New Roman"/>
          <w:sz w:val="28"/>
          <w:szCs w:val="28"/>
          <w:u w:val="single"/>
        </w:rPr>
        <w:t>devem cumprir as formalidades e os procedimentos indicados pelas autoridades do Estado requerente</w:t>
      </w:r>
      <w:r w:rsidRPr="00567437">
        <w:rPr>
          <w:rFonts w:ascii="Times New Roman" w:hAnsi="Times New Roman" w:cs="Times New Roman"/>
          <w:sz w:val="28"/>
          <w:szCs w:val="28"/>
        </w:rPr>
        <w:t>, desde que não sejam contrários aos princípios fundamentais do direito no Estado requerido.</w:t>
      </w:r>
    </w:p>
    <w:p w14:paraId="41AA7944" w14:textId="699E3FF7" w:rsidR="005E435A" w:rsidRPr="00567437" w:rsidRDefault="0074309F" w:rsidP="0074607F">
      <w:pPr>
        <w:pStyle w:val="PargrafodaLista"/>
        <w:numPr>
          <w:ilvl w:val="0"/>
          <w:numId w:val="6"/>
        </w:numPr>
        <w:spacing w:line="240" w:lineRule="auto"/>
        <w:contextualSpacing w:val="0"/>
        <w:jc w:val="both"/>
        <w:rPr>
          <w:rFonts w:ascii="Times New Roman" w:hAnsi="Times New Roman" w:cs="Times New Roman"/>
          <w:b/>
          <w:bCs/>
          <w:i/>
          <w:iCs/>
          <w:sz w:val="28"/>
          <w:szCs w:val="28"/>
        </w:rPr>
      </w:pPr>
      <w:r w:rsidRPr="00567437">
        <w:rPr>
          <w:rFonts w:ascii="Times New Roman" w:hAnsi="Times New Roman" w:cs="Times New Roman"/>
          <w:b/>
          <w:bCs/>
          <w:i/>
          <w:iCs/>
          <w:sz w:val="28"/>
          <w:szCs w:val="28"/>
        </w:rPr>
        <w:t xml:space="preserve">Audiência por videoconferência da testemunha =&gt; Artigo 10.º da Convenção de 2000 </w:t>
      </w:r>
    </w:p>
    <w:p w14:paraId="002E7B4D" w14:textId="0AC43E51" w:rsidR="00397546" w:rsidRPr="00567437" w:rsidRDefault="0074309F" w:rsidP="0074607F">
      <w:pPr>
        <w:spacing w:line="240" w:lineRule="auto"/>
        <w:jc w:val="both"/>
        <w:rPr>
          <w:rFonts w:ascii="Times New Roman" w:hAnsi="Times New Roman" w:cs="Times New Roman"/>
          <w:b/>
          <w:bCs/>
          <w:sz w:val="28"/>
          <w:szCs w:val="28"/>
        </w:rPr>
      </w:pPr>
      <w:r w:rsidRPr="00567437">
        <w:rPr>
          <w:rFonts w:ascii="Times New Roman" w:hAnsi="Times New Roman" w:cs="Times New Roman"/>
          <w:b/>
          <w:bCs/>
          <w:sz w:val="28"/>
          <w:szCs w:val="28"/>
        </w:rPr>
        <w:t>Condições, regras e requisitos aplicáveis:</w:t>
      </w:r>
    </w:p>
    <w:p w14:paraId="59997165" w14:textId="4005DE34" w:rsidR="00397546" w:rsidRPr="00567437" w:rsidRDefault="0074309F" w:rsidP="0013415C">
      <w:pPr>
        <w:pStyle w:val="PargrafodaLista"/>
        <w:numPr>
          <w:ilvl w:val="0"/>
          <w:numId w:val="7"/>
        </w:numPr>
        <w:spacing w:line="240" w:lineRule="auto"/>
        <w:contextualSpacing w:val="0"/>
        <w:jc w:val="both"/>
        <w:rPr>
          <w:rFonts w:ascii="Times New Roman" w:hAnsi="Times New Roman" w:cs="Times New Roman"/>
          <w:sz w:val="28"/>
          <w:szCs w:val="28"/>
        </w:rPr>
      </w:pPr>
      <w:bookmarkStart w:id="7" w:name="_Hlk37168951"/>
      <w:r w:rsidRPr="00567437">
        <w:rPr>
          <w:rFonts w:ascii="Times New Roman" w:hAnsi="Times New Roman" w:cs="Times New Roman"/>
          <w:sz w:val="28"/>
          <w:szCs w:val="28"/>
        </w:rPr>
        <w:t xml:space="preserve">A testemunha encontra-se no território de um Estado-Membro e tem de ser ouvida pelas autoridades judiciárias de outro Estado-Membro. </w:t>
      </w:r>
    </w:p>
    <w:p w14:paraId="4EF50DC5" w14:textId="3C2A3CB8" w:rsidR="00397546" w:rsidRPr="00567437" w:rsidRDefault="0074309F" w:rsidP="0013415C">
      <w:pPr>
        <w:pStyle w:val="PargrafodaLista"/>
        <w:numPr>
          <w:ilvl w:val="0"/>
          <w:numId w:val="7"/>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Não é desejável ou possível que a pessoa a ser ouvida compareça pessoalmente no território do EM requerente</w:t>
      </w:r>
      <w:bookmarkEnd w:id="7"/>
      <w:r w:rsidRPr="00567437">
        <w:rPr>
          <w:rFonts w:ascii="Times New Roman" w:hAnsi="Times New Roman" w:cs="Times New Roman"/>
          <w:sz w:val="28"/>
          <w:szCs w:val="28"/>
        </w:rPr>
        <w:t>.</w:t>
      </w:r>
    </w:p>
    <w:p w14:paraId="39C37E3E" w14:textId="450BAFE3" w:rsidR="005E435A" w:rsidRPr="00567437" w:rsidRDefault="0074309F" w:rsidP="0013415C">
      <w:pPr>
        <w:pStyle w:val="PargrafodaLista"/>
        <w:numPr>
          <w:ilvl w:val="0"/>
          <w:numId w:val="7"/>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O Estado-Membro requerido deve concordar com a audiência por videoconferência, desde que a utilização da videoconferência não seja contrária aos princípios fundamentais do seu direito.</w:t>
      </w:r>
    </w:p>
    <w:p w14:paraId="6CC54B7B" w14:textId="6AD7C8CB" w:rsidR="00321261" w:rsidRPr="00567437" w:rsidRDefault="0074309F" w:rsidP="0013415C">
      <w:pPr>
        <w:pStyle w:val="PargrafodaLista"/>
        <w:numPr>
          <w:ilvl w:val="0"/>
          <w:numId w:val="7"/>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A autoridade judiciária do Estado-Membro requerido notificará a pessoa em causa para comparecer em conformidade com as formas previstas na sua lei.</w:t>
      </w:r>
    </w:p>
    <w:p w14:paraId="733F148C" w14:textId="5F335E15" w:rsidR="00C162BB" w:rsidRPr="00567437" w:rsidRDefault="0074309F" w:rsidP="0013415C">
      <w:pPr>
        <w:pStyle w:val="PargrafodaLista"/>
        <w:numPr>
          <w:ilvl w:val="0"/>
          <w:numId w:val="7"/>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lastRenderedPageBreak/>
        <w:t>Uma autoridade judiciária do Estado-Membro requerido estará presente durante a audiência, se necessário</w:t>
      </w:r>
      <w:r w:rsidR="0009286A" w:rsidRPr="00567437">
        <w:rPr>
          <w:rFonts w:ascii="Times New Roman" w:hAnsi="Times New Roman" w:cs="Times New Roman"/>
          <w:sz w:val="28"/>
          <w:szCs w:val="28"/>
        </w:rPr>
        <w:t>,</w:t>
      </w:r>
      <w:r w:rsidRPr="00567437">
        <w:rPr>
          <w:rFonts w:ascii="Times New Roman" w:hAnsi="Times New Roman" w:cs="Times New Roman"/>
          <w:sz w:val="28"/>
          <w:szCs w:val="28"/>
        </w:rPr>
        <w:t xml:space="preserve"> assistida por um intérprete, sendo igualmente responsável por assegurar tanto a identificação da pessoa a ouvir como o respeito pelos princípios fundamentais do direito do Estado-Membro requerido.</w:t>
      </w:r>
    </w:p>
    <w:p w14:paraId="716FB35D" w14:textId="4F0DC3B0" w:rsidR="00C162BB" w:rsidRPr="00567437" w:rsidRDefault="0074309F" w:rsidP="0013415C">
      <w:pPr>
        <w:pStyle w:val="PargrafodaLista"/>
        <w:numPr>
          <w:ilvl w:val="0"/>
          <w:numId w:val="7"/>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Se a autoridade judiciária do Estado-Membro requerido considerar que, durante a audiência, os princípios fundamentais do direito do Estado-Membro requerido estão a ser infringidos, tomará imediatamente as medidas necessárias para assegurar que a audiência prossiga em conformidade com os referidos princípios.</w:t>
      </w:r>
    </w:p>
    <w:p w14:paraId="5E190D54" w14:textId="0861F264" w:rsidR="00C162BB" w:rsidRPr="00567437" w:rsidRDefault="0074309F" w:rsidP="0013415C">
      <w:pPr>
        <w:pStyle w:val="PargrafodaLista"/>
        <w:numPr>
          <w:ilvl w:val="0"/>
          <w:numId w:val="7"/>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As medidas de proteção da pessoa a ouvir devem ser acordadas, se necessário, entre as autoridades competentes do Estado-Membro requerente e do Estado-Membro requerido.</w:t>
      </w:r>
    </w:p>
    <w:p w14:paraId="309C9F0D" w14:textId="03CF0FD2" w:rsidR="00C162BB" w:rsidRPr="00567437" w:rsidRDefault="0074309F" w:rsidP="0013415C">
      <w:pPr>
        <w:pStyle w:val="PargrafodaLista"/>
        <w:numPr>
          <w:ilvl w:val="0"/>
          <w:numId w:val="7"/>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A audiência será conduzida diretamente pela autoridade judiciária do Estado-Membro requerente ou sob a sua direção, em conformidade com a sua própria legislação.</w:t>
      </w:r>
    </w:p>
    <w:p w14:paraId="399E8C09" w14:textId="039C8B9B" w:rsidR="00C162BB" w:rsidRPr="00567437" w:rsidRDefault="0074309F" w:rsidP="0013415C">
      <w:pPr>
        <w:pStyle w:val="PargrafodaLista"/>
        <w:numPr>
          <w:ilvl w:val="0"/>
          <w:numId w:val="7"/>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A pedido do Estado-Membro requerente ou da pessoa a ouvir, o Estado-Membro requerido assegurará que a pessoa a ouvir seja assistida por um intérprete, se necessário.</w:t>
      </w:r>
    </w:p>
    <w:p w14:paraId="27A46990" w14:textId="37AAC885" w:rsidR="00C162BB" w:rsidRPr="00567437" w:rsidRDefault="0074309F" w:rsidP="0013415C">
      <w:pPr>
        <w:pStyle w:val="PargrafodaLista"/>
        <w:numPr>
          <w:ilvl w:val="0"/>
          <w:numId w:val="7"/>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A pessoa a ser ouvida pode reivindicar o direito de não testemunhar, o que lhe caberia ao abrigo da legislação quer do Estado-Membro requerido quer do Estado-Membro requerente.</w:t>
      </w:r>
    </w:p>
    <w:p w14:paraId="7D7B7258" w14:textId="77777777" w:rsidR="000F1055" w:rsidRPr="00567437" w:rsidRDefault="0074309F" w:rsidP="0013415C">
      <w:pPr>
        <w:pStyle w:val="PargrafodaLista"/>
        <w:numPr>
          <w:ilvl w:val="0"/>
          <w:numId w:val="7"/>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No termo da audiência, a autoridade judiciária do Estado-Membro requerido lavra uma ata indicando a data e o local da audiência, a identidade da pessoa ouvida, as identidades e funções de todas as outras pessoas no Estado-Membro requerido que participem na audiência, os juramentos eventualmente feitos e as condições técnicas em que a audiência teve lugar. </w:t>
      </w:r>
    </w:p>
    <w:p w14:paraId="2DDB7122" w14:textId="0FF2631C" w:rsidR="000F1055" w:rsidRPr="00567437" w:rsidRDefault="0074309F" w:rsidP="0013415C">
      <w:pPr>
        <w:pStyle w:val="PargrafodaLista"/>
        <w:numPr>
          <w:ilvl w:val="0"/>
          <w:numId w:val="7"/>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O documento será transmitido pela autoridade competente do Estado-Membro requerido à autoridade competente do Estado-Membro requerente.</w:t>
      </w:r>
    </w:p>
    <w:p w14:paraId="0707FB57" w14:textId="22FF09BC" w:rsidR="000C00A6" w:rsidRPr="00567437" w:rsidRDefault="0074309F" w:rsidP="0074607F">
      <w:pPr>
        <w:pStyle w:val="PargrafodaLista"/>
        <w:numPr>
          <w:ilvl w:val="0"/>
          <w:numId w:val="7"/>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O custo do estabelecimento da ligação vídeo, os custos relacionados com a manutenção da ligação vídeo no Estado-Membro requerido, a remuneração dos intérpretes por ele prestados e os subsídios a testemunhas e peritos, bem como as respetivas despesas de viagem no Estado-Membro requerido, serão reembolsados pelo Estado-Membro requerente ao Estado-Membro requerido, salvo se este renunciar ao reembolso da totalidade ou de parte dessas despesas.</w:t>
      </w:r>
    </w:p>
    <w:p w14:paraId="0A60DFBD" w14:textId="2BD24D86" w:rsidR="000C00A6" w:rsidRPr="00567437" w:rsidRDefault="0074309F" w:rsidP="0074607F">
      <w:pPr>
        <w:pStyle w:val="PargrafodaLista"/>
        <w:numPr>
          <w:ilvl w:val="0"/>
          <w:numId w:val="6"/>
        </w:numPr>
        <w:spacing w:line="240" w:lineRule="auto"/>
        <w:contextualSpacing w:val="0"/>
        <w:jc w:val="both"/>
        <w:rPr>
          <w:rFonts w:ascii="Times New Roman" w:hAnsi="Times New Roman" w:cs="Times New Roman"/>
          <w:b/>
          <w:bCs/>
          <w:i/>
          <w:iCs/>
          <w:sz w:val="28"/>
          <w:szCs w:val="28"/>
        </w:rPr>
      </w:pPr>
      <w:r w:rsidRPr="00567437">
        <w:rPr>
          <w:rFonts w:ascii="Times New Roman" w:hAnsi="Times New Roman" w:cs="Times New Roman"/>
          <w:b/>
          <w:bCs/>
          <w:i/>
          <w:iCs/>
          <w:sz w:val="28"/>
          <w:szCs w:val="28"/>
        </w:rPr>
        <w:lastRenderedPageBreak/>
        <w:t>Audiência por videoconferência da testemunha =&gt; Artigo 9.º, n.º 1-7 do Segundo Protocolo Adicional à Convenção Europeia de Auxílio Judiciário Mútuo em Matéria Penal</w:t>
      </w:r>
    </w:p>
    <w:p w14:paraId="4173FC19" w14:textId="0F91BCA1" w:rsidR="000C00A6" w:rsidRPr="00567437" w:rsidRDefault="0074309F" w:rsidP="0074607F">
      <w:pPr>
        <w:spacing w:line="240" w:lineRule="auto"/>
        <w:jc w:val="both"/>
        <w:rPr>
          <w:rFonts w:ascii="Times New Roman" w:hAnsi="Times New Roman" w:cs="Times New Roman"/>
          <w:b/>
          <w:bCs/>
          <w:sz w:val="28"/>
          <w:szCs w:val="28"/>
        </w:rPr>
      </w:pPr>
      <w:r w:rsidRPr="00567437">
        <w:rPr>
          <w:rFonts w:ascii="Times New Roman" w:hAnsi="Times New Roman" w:cs="Times New Roman"/>
          <w:b/>
          <w:bCs/>
          <w:sz w:val="28"/>
          <w:szCs w:val="28"/>
        </w:rPr>
        <w:t>Condições, regras e requisitos aplicáveis:</w:t>
      </w:r>
    </w:p>
    <w:p w14:paraId="07B22627" w14:textId="77777777" w:rsidR="000C00A6" w:rsidRPr="00567437" w:rsidRDefault="0074309F" w:rsidP="0013415C">
      <w:pPr>
        <w:pStyle w:val="PargrafodaLista"/>
        <w:numPr>
          <w:ilvl w:val="0"/>
          <w:numId w:val="7"/>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A testemunha encontra-se no território de um Estado-Membro e tem de ser ouvida pelas autoridades judiciárias de outro Estado-Membro. </w:t>
      </w:r>
    </w:p>
    <w:p w14:paraId="586E6C3A" w14:textId="2BF95550" w:rsidR="000C00A6" w:rsidRPr="00567437" w:rsidRDefault="0074309F" w:rsidP="0013415C">
      <w:pPr>
        <w:pStyle w:val="PargrafodaLista"/>
        <w:numPr>
          <w:ilvl w:val="0"/>
          <w:numId w:val="7"/>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Não é desejável ou possível que a pessoa a ser ouvida compareça pessoalmente no território do EM requerente.</w:t>
      </w:r>
    </w:p>
    <w:p w14:paraId="4242FFAA" w14:textId="77777777" w:rsidR="000C00A6" w:rsidRPr="00567437" w:rsidRDefault="0074309F" w:rsidP="0013415C">
      <w:pPr>
        <w:pStyle w:val="PargrafodaLista"/>
        <w:numPr>
          <w:ilvl w:val="0"/>
          <w:numId w:val="7"/>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O Estado-Membro requerido deve concordar com a audiência por videoconferência, desde que a utilização da videoconferência não seja contrária aos princípios fundamentais do seu direito.</w:t>
      </w:r>
    </w:p>
    <w:p w14:paraId="5294E6A7" w14:textId="1FFD772E" w:rsidR="000C00A6" w:rsidRPr="00567437" w:rsidRDefault="0074309F" w:rsidP="0013415C">
      <w:pPr>
        <w:pStyle w:val="PargrafodaLista"/>
        <w:numPr>
          <w:ilvl w:val="0"/>
          <w:numId w:val="7"/>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Os pedidos de audiência por videoconferência devem conter a razão pela qual não é desejável ou possível que a testemunha ou perito compareça pessoalmente, o nome da autoridade judiciária e das pessoas que irão conduzir a audiência. </w:t>
      </w:r>
    </w:p>
    <w:p w14:paraId="4333C543" w14:textId="77777777" w:rsidR="000C00A6" w:rsidRPr="00567437" w:rsidRDefault="0074309F" w:rsidP="0013415C">
      <w:pPr>
        <w:pStyle w:val="PargrafodaLista"/>
        <w:numPr>
          <w:ilvl w:val="0"/>
          <w:numId w:val="7"/>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A autoridade judiciária da Parte requerida notificará a pessoa em causa para comparecer em conformidade com as formas previstas na sua lei.</w:t>
      </w:r>
    </w:p>
    <w:p w14:paraId="78E3B7DD" w14:textId="50AD2FBB" w:rsidR="000C00A6" w:rsidRPr="00567437" w:rsidRDefault="0074309F" w:rsidP="0013415C">
      <w:pPr>
        <w:pStyle w:val="PargrafodaLista"/>
        <w:numPr>
          <w:ilvl w:val="0"/>
          <w:numId w:val="7"/>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 Uma autoridade judiciária da Parte requerida estará presente durante a audiência, se necessário</w:t>
      </w:r>
      <w:r w:rsidR="0009286A" w:rsidRPr="00567437">
        <w:rPr>
          <w:rFonts w:ascii="Times New Roman" w:hAnsi="Times New Roman" w:cs="Times New Roman"/>
          <w:sz w:val="28"/>
          <w:szCs w:val="28"/>
        </w:rPr>
        <w:t>,</w:t>
      </w:r>
      <w:r w:rsidRPr="00567437">
        <w:rPr>
          <w:rFonts w:ascii="Times New Roman" w:hAnsi="Times New Roman" w:cs="Times New Roman"/>
          <w:sz w:val="28"/>
          <w:szCs w:val="28"/>
        </w:rPr>
        <w:t xml:space="preserve"> assistida por um intérprete, sendo igualmente responsável por assegurar tanto a identificação da pessoa a ouvir como o respeito pelos princípios fundamentais do direito da Parte requerida. </w:t>
      </w:r>
    </w:p>
    <w:p w14:paraId="3D28DEE7" w14:textId="77777777" w:rsidR="000C00A6" w:rsidRPr="00567437" w:rsidRDefault="0074309F" w:rsidP="0013415C">
      <w:pPr>
        <w:pStyle w:val="PargrafodaLista"/>
        <w:numPr>
          <w:ilvl w:val="0"/>
          <w:numId w:val="7"/>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Se a autoridade judiciária da Parte requerida considerar que, durante a audiência, os princípios fundamentais do direito da Parte requerida estão a ser infringidos, tomará imediatamente as medidas necessárias para assegurar que a audiência prossiga em conformidade com os referidos princípios. </w:t>
      </w:r>
    </w:p>
    <w:p w14:paraId="5550E5F3" w14:textId="17796F8F" w:rsidR="000C00A6" w:rsidRPr="00567437" w:rsidRDefault="0074309F" w:rsidP="0013415C">
      <w:pPr>
        <w:pStyle w:val="PargrafodaLista"/>
        <w:numPr>
          <w:ilvl w:val="0"/>
          <w:numId w:val="7"/>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As medidas de proteção da pessoa a ouvir devem ser acordadas, se necessário, entre as autoridades competentes da Parte requerente e da Parte requerida. </w:t>
      </w:r>
    </w:p>
    <w:p w14:paraId="435F76F6" w14:textId="441F9764" w:rsidR="000C00A6" w:rsidRPr="00567437" w:rsidRDefault="0074309F" w:rsidP="0013415C">
      <w:pPr>
        <w:pStyle w:val="PargrafodaLista"/>
        <w:numPr>
          <w:ilvl w:val="0"/>
          <w:numId w:val="7"/>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A audiência será conduzida diretamente pela autoridade judiciária da Parte requerente ou sob a sua direção, em conformidade com a sua própria legislação.</w:t>
      </w:r>
    </w:p>
    <w:p w14:paraId="077F3E4D" w14:textId="77777777" w:rsidR="000C00A6" w:rsidRPr="00567437" w:rsidRDefault="0074309F" w:rsidP="0013415C">
      <w:pPr>
        <w:pStyle w:val="PargrafodaLista"/>
        <w:numPr>
          <w:ilvl w:val="0"/>
          <w:numId w:val="7"/>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No termo da audiência, a autoridade judiciária da Parte requerida lavra uma ata indicando a data e o local da audiência, a identidade da pessoa ouvida, as identidades e funções de todas as outras pessoas na Parte requerida que participem na audiência, os juramentos eventualmente feitos e as condições técnicas em que a audiência teve lugar. </w:t>
      </w:r>
    </w:p>
    <w:p w14:paraId="659BB0BC" w14:textId="5562C60C" w:rsidR="00397546" w:rsidRPr="00567437" w:rsidRDefault="0074309F" w:rsidP="0074607F">
      <w:pPr>
        <w:pStyle w:val="PargrafodaLista"/>
        <w:numPr>
          <w:ilvl w:val="0"/>
          <w:numId w:val="7"/>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lastRenderedPageBreak/>
        <w:t xml:space="preserve">O documento será transmitido pela autoridade competente da Parte requerida à autoridade competente da Parte requerente. </w:t>
      </w:r>
    </w:p>
    <w:p w14:paraId="51AD5687" w14:textId="117F9BF9" w:rsidR="001A00C5" w:rsidRPr="00567437" w:rsidRDefault="0074309F" w:rsidP="00845A78">
      <w:pPr>
        <w:pStyle w:val="PargrafodaLista"/>
        <w:numPr>
          <w:ilvl w:val="0"/>
          <w:numId w:val="6"/>
        </w:numPr>
        <w:spacing w:line="240" w:lineRule="auto"/>
        <w:contextualSpacing w:val="0"/>
        <w:jc w:val="both"/>
        <w:rPr>
          <w:rFonts w:ascii="Times New Roman" w:hAnsi="Times New Roman" w:cs="Times New Roman"/>
          <w:b/>
          <w:bCs/>
          <w:i/>
          <w:iCs/>
          <w:sz w:val="28"/>
          <w:szCs w:val="28"/>
        </w:rPr>
      </w:pPr>
      <w:r w:rsidRPr="00567437">
        <w:rPr>
          <w:rFonts w:ascii="Times New Roman" w:hAnsi="Times New Roman" w:cs="Times New Roman"/>
          <w:b/>
          <w:bCs/>
          <w:i/>
          <w:iCs/>
          <w:sz w:val="28"/>
          <w:szCs w:val="28"/>
        </w:rPr>
        <w:t>Audiência por videoconferência do suspeito =&gt; n.º 9 do Artigo 10.º da Convenção de 2000</w:t>
      </w:r>
    </w:p>
    <w:p w14:paraId="0587DD0D" w14:textId="38FC08F7" w:rsidR="00F2717C"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Os Estados-Membros podem ainda, </w:t>
      </w:r>
      <w:r w:rsidRPr="00567437">
        <w:rPr>
          <w:rFonts w:ascii="Times New Roman" w:hAnsi="Times New Roman" w:cs="Times New Roman"/>
          <w:sz w:val="28"/>
          <w:szCs w:val="28"/>
          <w:u w:val="single"/>
        </w:rPr>
        <w:t>se necessário</w:t>
      </w:r>
      <w:r w:rsidRPr="00567437">
        <w:rPr>
          <w:rFonts w:ascii="Times New Roman" w:hAnsi="Times New Roman" w:cs="Times New Roman"/>
          <w:sz w:val="28"/>
          <w:szCs w:val="28"/>
        </w:rPr>
        <w:t xml:space="preserve"> e c</w:t>
      </w:r>
      <w:r w:rsidRPr="00567437">
        <w:rPr>
          <w:rFonts w:ascii="Times New Roman" w:hAnsi="Times New Roman" w:cs="Times New Roman"/>
          <w:sz w:val="28"/>
          <w:szCs w:val="28"/>
          <w:u w:val="single"/>
        </w:rPr>
        <w:t>om o acordo das respetivas autoridades judiciárias competentes</w:t>
      </w:r>
      <w:r w:rsidRPr="00567437">
        <w:rPr>
          <w:rFonts w:ascii="Times New Roman" w:hAnsi="Times New Roman" w:cs="Times New Roman"/>
          <w:sz w:val="28"/>
          <w:szCs w:val="28"/>
        </w:rPr>
        <w:t xml:space="preserve">, aplicar as disposições do Artigo 10.º da Convenção de 2000 </w:t>
      </w:r>
      <w:r w:rsidRPr="00567437">
        <w:rPr>
          <w:rFonts w:ascii="Times New Roman" w:hAnsi="Times New Roman" w:cs="Times New Roman"/>
          <w:b/>
          <w:bCs/>
          <w:sz w:val="28"/>
          <w:szCs w:val="28"/>
        </w:rPr>
        <w:t>às audiências por videoconferência que envolvam um arguido.</w:t>
      </w:r>
      <w:r w:rsidRPr="00567437">
        <w:rPr>
          <w:rFonts w:ascii="Times New Roman" w:hAnsi="Times New Roman" w:cs="Times New Roman"/>
          <w:sz w:val="28"/>
          <w:szCs w:val="28"/>
        </w:rPr>
        <w:t xml:space="preserve"> Neste caso, a decisão de realizar a videoconferência, e a forma como a videoconferência será realizada, </w:t>
      </w:r>
      <w:r w:rsidRPr="00567437">
        <w:rPr>
          <w:rFonts w:ascii="Times New Roman" w:hAnsi="Times New Roman" w:cs="Times New Roman"/>
          <w:b/>
          <w:bCs/>
          <w:sz w:val="28"/>
          <w:szCs w:val="28"/>
          <w:u w:val="single"/>
        </w:rPr>
        <w:t>serão objeto de acordo</w:t>
      </w:r>
      <w:r w:rsidRPr="00567437">
        <w:rPr>
          <w:rFonts w:ascii="Times New Roman" w:hAnsi="Times New Roman" w:cs="Times New Roman"/>
          <w:sz w:val="28"/>
          <w:szCs w:val="28"/>
        </w:rPr>
        <w:t xml:space="preserve"> entre os Estados-Membros interessados, em conformidade com a respetiva legislação nacional e os instrumentos internacionais pertinentes, incluindo a Convenção Europeia para a Proteção dos Direitos do Homem e das Liberdades Fundamentais de 1950.</w:t>
      </w:r>
    </w:p>
    <w:p w14:paraId="424A2A76" w14:textId="678F649D" w:rsidR="00D74806" w:rsidRPr="00567437" w:rsidRDefault="0074309F" w:rsidP="0074607F">
      <w:pPr>
        <w:spacing w:line="240" w:lineRule="auto"/>
        <w:jc w:val="both"/>
        <w:rPr>
          <w:rFonts w:ascii="Times New Roman" w:hAnsi="Times New Roman" w:cs="Times New Roman"/>
          <w:sz w:val="28"/>
          <w:szCs w:val="28"/>
        </w:rPr>
      </w:pPr>
      <w:r w:rsidRPr="00567437">
        <w:rPr>
          <w:rFonts w:ascii="Times New Roman" w:hAnsi="Times New Roman" w:cs="Times New Roman"/>
          <w:sz w:val="28"/>
          <w:szCs w:val="28"/>
        </w:rPr>
        <w:t xml:space="preserve">Qualquer Estado-Membro pode, ao efetuar a sua notificação nos termos do n.º 2 do Artigo 27.º, declarar que não aplicará o disposto no primeiro parágrafo. Tal declaração pode ser retirada a qualquer momento. As audiências só serão realizadas </w:t>
      </w:r>
      <w:r w:rsidRPr="00567437">
        <w:rPr>
          <w:rFonts w:ascii="Times New Roman" w:hAnsi="Times New Roman" w:cs="Times New Roman"/>
          <w:b/>
          <w:bCs/>
          <w:sz w:val="28"/>
          <w:szCs w:val="28"/>
          <w:u w:val="single"/>
        </w:rPr>
        <w:t>com o consentimento do arguido</w:t>
      </w:r>
      <w:r w:rsidRPr="00567437">
        <w:rPr>
          <w:rFonts w:ascii="Times New Roman" w:hAnsi="Times New Roman" w:cs="Times New Roman"/>
          <w:sz w:val="28"/>
          <w:szCs w:val="28"/>
        </w:rPr>
        <w:t>. As regras que se revelarem necessárias, tendo em vista a proteção dos direitos dos arguidos, serão adotadas pelo Conselho através de um instrumento juridicamente vinculativo.</w:t>
      </w:r>
    </w:p>
    <w:p w14:paraId="03395050" w14:textId="259750FD" w:rsidR="002C1778" w:rsidRPr="00567437" w:rsidRDefault="0074309F" w:rsidP="0074607F">
      <w:pPr>
        <w:spacing w:line="240" w:lineRule="auto"/>
        <w:jc w:val="both"/>
        <w:rPr>
          <w:rFonts w:ascii="Times New Roman" w:hAnsi="Times New Roman" w:cs="Times New Roman"/>
          <w:b/>
          <w:bCs/>
          <w:sz w:val="28"/>
          <w:szCs w:val="28"/>
        </w:rPr>
      </w:pPr>
      <w:r w:rsidRPr="00567437">
        <w:rPr>
          <w:rFonts w:ascii="Times New Roman" w:hAnsi="Times New Roman" w:cs="Times New Roman"/>
          <w:b/>
          <w:bCs/>
          <w:sz w:val="28"/>
          <w:szCs w:val="28"/>
        </w:rPr>
        <w:t>Condições, regras e requisitos:</w:t>
      </w:r>
    </w:p>
    <w:p w14:paraId="19305905" w14:textId="3F0D77DC" w:rsidR="00FF2A5E" w:rsidRPr="00567437" w:rsidRDefault="0074309F" w:rsidP="0013415C">
      <w:pPr>
        <w:pStyle w:val="PargrafodaLista"/>
        <w:numPr>
          <w:ilvl w:val="0"/>
          <w:numId w:val="8"/>
        </w:numPr>
        <w:contextualSpacing w:val="0"/>
        <w:jc w:val="both"/>
        <w:rPr>
          <w:rFonts w:ascii="Times New Roman" w:hAnsi="Times New Roman" w:cs="Times New Roman"/>
          <w:sz w:val="28"/>
          <w:szCs w:val="28"/>
        </w:rPr>
      </w:pPr>
      <w:r w:rsidRPr="00567437">
        <w:rPr>
          <w:rFonts w:ascii="Times New Roman" w:hAnsi="Times New Roman" w:cs="Times New Roman"/>
          <w:sz w:val="28"/>
          <w:szCs w:val="28"/>
        </w:rPr>
        <w:t xml:space="preserve">O suspeito encontra-se no território de um Estado-Membro e tem de ser ouvido pelas autoridades judiciárias de outro Estado-Membro. </w:t>
      </w:r>
    </w:p>
    <w:p w14:paraId="02CB98A0" w14:textId="02BC10BC" w:rsidR="00FF2A5E" w:rsidRPr="00567437" w:rsidRDefault="0074309F" w:rsidP="0013415C">
      <w:pPr>
        <w:pStyle w:val="PargrafodaLista"/>
        <w:numPr>
          <w:ilvl w:val="0"/>
          <w:numId w:val="8"/>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Não é desejável ou possível que a pessoa a ser ouvida compareça pessoalmente no território do EM requerente.</w:t>
      </w:r>
    </w:p>
    <w:p w14:paraId="14BEA0F7" w14:textId="53721257" w:rsidR="002C1778" w:rsidRPr="00567437" w:rsidRDefault="0074309F" w:rsidP="0013415C">
      <w:pPr>
        <w:pStyle w:val="PargrafodaLista"/>
        <w:numPr>
          <w:ilvl w:val="0"/>
          <w:numId w:val="8"/>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O EM requerido considera a audiência apropriada e tem o acordo das respetivas autoridades judiciárias competentes para a audiência.</w:t>
      </w:r>
    </w:p>
    <w:p w14:paraId="24DEF23F" w14:textId="11C3033A" w:rsidR="002C1778" w:rsidRPr="00567437" w:rsidRDefault="0074309F" w:rsidP="0013415C">
      <w:pPr>
        <w:pStyle w:val="PargrafodaLista"/>
        <w:numPr>
          <w:ilvl w:val="0"/>
          <w:numId w:val="8"/>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Deve existir um acordo entre as autoridades judiciárias competentes envolvidas no que diz respeito à realização da videoconferência.</w:t>
      </w:r>
    </w:p>
    <w:p w14:paraId="69460105" w14:textId="12768FC6" w:rsidR="002C1778" w:rsidRPr="00567437" w:rsidRDefault="0074309F" w:rsidP="0013415C">
      <w:pPr>
        <w:pStyle w:val="PargrafodaLista"/>
        <w:numPr>
          <w:ilvl w:val="0"/>
          <w:numId w:val="8"/>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u w:val="single"/>
        </w:rPr>
        <w:t>As Partes interessadas deverão chegar a um acordo</w:t>
      </w:r>
      <w:r w:rsidRPr="00567437">
        <w:rPr>
          <w:rFonts w:ascii="Times New Roman" w:hAnsi="Times New Roman" w:cs="Times New Roman"/>
          <w:sz w:val="28"/>
          <w:szCs w:val="28"/>
        </w:rPr>
        <w:t xml:space="preserve"> sobre a forma como a videoconferência deverá ser realizada.</w:t>
      </w:r>
    </w:p>
    <w:p w14:paraId="3B60BFB3" w14:textId="61B006DA" w:rsidR="00713D99" w:rsidRPr="00567437" w:rsidRDefault="0074309F" w:rsidP="00845A78">
      <w:pPr>
        <w:pStyle w:val="PargrafodaLista"/>
        <w:numPr>
          <w:ilvl w:val="0"/>
          <w:numId w:val="8"/>
        </w:numPr>
        <w:spacing w:line="240" w:lineRule="auto"/>
        <w:contextualSpacing w:val="0"/>
        <w:jc w:val="both"/>
        <w:rPr>
          <w:rFonts w:ascii="Times New Roman" w:hAnsi="Times New Roman" w:cs="Times New Roman"/>
          <w:sz w:val="28"/>
          <w:szCs w:val="28"/>
        </w:rPr>
      </w:pPr>
      <w:r w:rsidRPr="00567437">
        <w:rPr>
          <w:rFonts w:ascii="Times New Roman" w:hAnsi="Times New Roman" w:cs="Times New Roman"/>
          <w:sz w:val="28"/>
          <w:szCs w:val="28"/>
        </w:rPr>
        <w:t>O consentimento do suspeito.</w:t>
      </w:r>
    </w:p>
    <w:sectPr w:rsidR="00713D99" w:rsidRPr="00567437" w:rsidSect="002A7CAA">
      <w:footerReference w:type="default" r:id="rId6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63C84" w14:textId="77777777" w:rsidR="00F71519" w:rsidRDefault="00F71519">
      <w:pPr>
        <w:spacing w:after="0" w:line="240" w:lineRule="auto"/>
      </w:pPr>
      <w:r>
        <w:separator/>
      </w:r>
    </w:p>
  </w:endnote>
  <w:endnote w:type="continuationSeparator" w:id="0">
    <w:p w14:paraId="1FDF5B05" w14:textId="77777777" w:rsidR="00F71519" w:rsidRDefault="00F71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1105969"/>
      <w:docPartObj>
        <w:docPartGallery w:val="Page Numbers (Bottom of Page)"/>
        <w:docPartUnique/>
      </w:docPartObj>
    </w:sdtPr>
    <w:sdtEndPr>
      <w:rPr>
        <w:rFonts w:ascii="Times New Roman" w:hAnsi="Times New Roman" w:cs="Times New Roman"/>
        <w:b/>
        <w:noProof/>
        <w:sz w:val="24"/>
        <w:szCs w:val="24"/>
      </w:rPr>
    </w:sdtEndPr>
    <w:sdtContent>
      <w:p w14:paraId="475BF83E" w14:textId="2E926711" w:rsidR="0072481B" w:rsidRPr="002A7CAA" w:rsidRDefault="0074309F">
        <w:pPr>
          <w:pStyle w:val="Rodap"/>
          <w:jc w:val="right"/>
          <w:rPr>
            <w:rFonts w:ascii="Times New Roman" w:hAnsi="Times New Roman" w:cs="Times New Roman"/>
            <w:b/>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b/>
            <w:bCs/>
            <w:noProof/>
            <w:sz w:val="24"/>
            <w:szCs w:val="24"/>
          </w:rPr>
          <w:t>2</w:t>
        </w:r>
        <w:r>
          <w:rPr>
            <w:rFonts w:ascii="Times New Roman" w:hAnsi="Times New Roman" w:cs="Times New Roman"/>
            <w:noProof/>
            <w:sz w:val="24"/>
            <w:szCs w:val="24"/>
          </w:rPr>
          <w:fldChar w:fldCharType="end"/>
        </w:r>
      </w:p>
    </w:sdtContent>
  </w:sdt>
  <w:p w14:paraId="2BAB6B0F" w14:textId="77777777" w:rsidR="0072481B" w:rsidRDefault="00F7151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D551E" w14:textId="77777777" w:rsidR="00F71519" w:rsidRDefault="00F71519" w:rsidP="00012C6A">
      <w:pPr>
        <w:spacing w:after="0" w:line="240" w:lineRule="auto"/>
      </w:pPr>
      <w:r>
        <w:separator/>
      </w:r>
    </w:p>
  </w:footnote>
  <w:footnote w:type="continuationSeparator" w:id="0">
    <w:p w14:paraId="7C0E8876" w14:textId="77777777" w:rsidR="00F71519" w:rsidRDefault="00F71519" w:rsidP="00012C6A">
      <w:pPr>
        <w:spacing w:after="0" w:line="240" w:lineRule="auto"/>
      </w:pPr>
      <w:r>
        <w:continuationSeparator/>
      </w:r>
    </w:p>
  </w:footnote>
  <w:footnote w:id="1">
    <w:p w14:paraId="3B053266" w14:textId="77777777" w:rsidR="0072481B" w:rsidRPr="000F2DCF" w:rsidRDefault="0074309F" w:rsidP="00B05503">
      <w:pPr>
        <w:pStyle w:val="Textodenotaderodap"/>
        <w:rPr>
          <w:rFonts w:ascii="Times New Roman" w:hAnsi="Times New Roman" w:cs="Times New Roman"/>
          <w:sz w:val="18"/>
          <w:szCs w:val="18"/>
        </w:rPr>
      </w:pPr>
      <w:r>
        <w:rPr>
          <w:rStyle w:val="Refdenotaderodap"/>
          <w:sz w:val="18"/>
          <w:szCs w:val="18"/>
        </w:rPr>
        <w:footnoteRef/>
      </w:r>
      <w:r>
        <w:rPr>
          <w:sz w:val="18"/>
          <w:szCs w:val="18"/>
        </w:rPr>
        <w:t xml:space="preserve"> </w:t>
      </w:r>
      <w:r>
        <w:rPr>
          <w:rFonts w:ascii="Times New Roman" w:hAnsi="Times New Roman"/>
          <w:sz w:val="18"/>
          <w:szCs w:val="18"/>
        </w:rPr>
        <w:t>Estrasburgo, 8.XI.2001</w:t>
      </w:r>
    </w:p>
  </w:footnote>
  <w:footnote w:id="2">
    <w:p w14:paraId="2A108274" w14:textId="0F957393" w:rsidR="0072481B" w:rsidRPr="000F2DCF" w:rsidRDefault="0074309F">
      <w:pPr>
        <w:pStyle w:val="Textodenotaderodap"/>
        <w:rPr>
          <w:rFonts w:ascii="Times New Roman" w:hAnsi="Times New Roman" w:cs="Times New Roman"/>
          <w:sz w:val="18"/>
          <w:szCs w:val="18"/>
        </w:rPr>
      </w:pPr>
      <w:r>
        <w:rPr>
          <w:rStyle w:val="Refdenotaderodap"/>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18"/>
          <w:szCs w:val="18"/>
        </w:rPr>
        <w:t>JO L 130, 1.5.2014, p. 1–36</w:t>
      </w:r>
    </w:p>
  </w:footnote>
  <w:footnote w:id="3">
    <w:p w14:paraId="40D7C517" w14:textId="7A5A70FF" w:rsidR="0072481B" w:rsidRPr="006733FC" w:rsidRDefault="0074309F">
      <w:pPr>
        <w:pStyle w:val="Textodenotaderodap"/>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2000/C 197/01</w:t>
      </w:r>
    </w:p>
  </w:footnote>
  <w:footnote w:id="4">
    <w:p w14:paraId="400143F4" w14:textId="4AC282F7" w:rsidR="0072481B" w:rsidRPr="006733FC" w:rsidRDefault="0074309F">
      <w:pPr>
        <w:pStyle w:val="Textodenotaderodap"/>
        <w:rPr>
          <w:rFonts w:ascii="Times New Roman" w:hAnsi="Times New Roman" w:cs="Times New Roman"/>
          <w:sz w:val="18"/>
          <w:szCs w:val="18"/>
        </w:rPr>
      </w:pPr>
      <w:r>
        <w:rPr>
          <w:rFonts w:ascii="Times New Roman" w:hAnsi="Times New Roman" w:cs="Times New Roman"/>
          <w:sz w:val="18"/>
          <w:szCs w:val="18"/>
        </w:rPr>
        <w:footnoteRef/>
      </w:r>
      <w:r>
        <w:rPr>
          <w:rFonts w:ascii="Times New Roman" w:hAnsi="Times New Roman" w:cs="Times New Roman"/>
          <w:sz w:val="18"/>
          <w:szCs w:val="18"/>
        </w:rPr>
        <w:t xml:space="preserve"> Estrasburgo, 20.IV.1959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750C"/>
    <w:multiLevelType w:val="hybridMultilevel"/>
    <w:tmpl w:val="92C28476"/>
    <w:lvl w:ilvl="0" w:tplc="2EEA0E6A">
      <w:start w:val="1"/>
      <w:numFmt w:val="upperRoman"/>
      <w:lvlText w:val="%1."/>
      <w:lvlJc w:val="left"/>
      <w:pPr>
        <w:ind w:left="1080" w:hanging="720"/>
      </w:pPr>
      <w:rPr>
        <w:rFonts w:hint="default"/>
      </w:rPr>
    </w:lvl>
    <w:lvl w:ilvl="1" w:tplc="74488188" w:tentative="1">
      <w:start w:val="1"/>
      <w:numFmt w:val="lowerLetter"/>
      <w:lvlText w:val="%2."/>
      <w:lvlJc w:val="left"/>
      <w:pPr>
        <w:ind w:left="1440" w:hanging="360"/>
      </w:pPr>
    </w:lvl>
    <w:lvl w:ilvl="2" w:tplc="BE683506" w:tentative="1">
      <w:start w:val="1"/>
      <w:numFmt w:val="lowerRoman"/>
      <w:lvlText w:val="%3."/>
      <w:lvlJc w:val="right"/>
      <w:pPr>
        <w:ind w:left="2160" w:hanging="180"/>
      </w:pPr>
    </w:lvl>
    <w:lvl w:ilvl="3" w:tplc="9C061A6E" w:tentative="1">
      <w:start w:val="1"/>
      <w:numFmt w:val="decimal"/>
      <w:lvlText w:val="%4."/>
      <w:lvlJc w:val="left"/>
      <w:pPr>
        <w:ind w:left="2880" w:hanging="360"/>
      </w:pPr>
    </w:lvl>
    <w:lvl w:ilvl="4" w:tplc="5792078E" w:tentative="1">
      <w:start w:val="1"/>
      <w:numFmt w:val="lowerLetter"/>
      <w:lvlText w:val="%5."/>
      <w:lvlJc w:val="left"/>
      <w:pPr>
        <w:ind w:left="3600" w:hanging="360"/>
      </w:pPr>
    </w:lvl>
    <w:lvl w:ilvl="5" w:tplc="21F2C2CA" w:tentative="1">
      <w:start w:val="1"/>
      <w:numFmt w:val="lowerRoman"/>
      <w:lvlText w:val="%6."/>
      <w:lvlJc w:val="right"/>
      <w:pPr>
        <w:ind w:left="4320" w:hanging="180"/>
      </w:pPr>
    </w:lvl>
    <w:lvl w:ilvl="6" w:tplc="7352AEB8" w:tentative="1">
      <w:start w:val="1"/>
      <w:numFmt w:val="decimal"/>
      <w:lvlText w:val="%7."/>
      <w:lvlJc w:val="left"/>
      <w:pPr>
        <w:ind w:left="5040" w:hanging="360"/>
      </w:pPr>
    </w:lvl>
    <w:lvl w:ilvl="7" w:tplc="6256E524" w:tentative="1">
      <w:start w:val="1"/>
      <w:numFmt w:val="lowerLetter"/>
      <w:lvlText w:val="%8."/>
      <w:lvlJc w:val="left"/>
      <w:pPr>
        <w:ind w:left="5760" w:hanging="360"/>
      </w:pPr>
    </w:lvl>
    <w:lvl w:ilvl="8" w:tplc="52D4F25A" w:tentative="1">
      <w:start w:val="1"/>
      <w:numFmt w:val="lowerRoman"/>
      <w:lvlText w:val="%9."/>
      <w:lvlJc w:val="right"/>
      <w:pPr>
        <w:ind w:left="6480" w:hanging="180"/>
      </w:pPr>
    </w:lvl>
  </w:abstractNum>
  <w:abstractNum w:abstractNumId="1" w15:restartNumberingAfterBreak="0">
    <w:nsid w:val="19421BBD"/>
    <w:multiLevelType w:val="hybridMultilevel"/>
    <w:tmpl w:val="5B3ED7A8"/>
    <w:lvl w:ilvl="0" w:tplc="D75091EC">
      <w:start w:val="1"/>
      <w:numFmt w:val="lowerLetter"/>
      <w:lvlText w:val="%1."/>
      <w:lvlJc w:val="left"/>
      <w:pPr>
        <w:ind w:left="720" w:hanging="360"/>
      </w:pPr>
      <w:rPr>
        <w:rFonts w:hint="default"/>
      </w:rPr>
    </w:lvl>
    <w:lvl w:ilvl="1" w:tplc="73782246" w:tentative="1">
      <w:start w:val="1"/>
      <w:numFmt w:val="lowerLetter"/>
      <w:lvlText w:val="%2."/>
      <w:lvlJc w:val="left"/>
      <w:pPr>
        <w:ind w:left="1440" w:hanging="360"/>
      </w:pPr>
    </w:lvl>
    <w:lvl w:ilvl="2" w:tplc="5A62F882" w:tentative="1">
      <w:start w:val="1"/>
      <w:numFmt w:val="lowerRoman"/>
      <w:lvlText w:val="%3."/>
      <w:lvlJc w:val="right"/>
      <w:pPr>
        <w:ind w:left="2160" w:hanging="180"/>
      </w:pPr>
    </w:lvl>
    <w:lvl w:ilvl="3" w:tplc="1B5AC1D4" w:tentative="1">
      <w:start w:val="1"/>
      <w:numFmt w:val="decimal"/>
      <w:lvlText w:val="%4."/>
      <w:lvlJc w:val="left"/>
      <w:pPr>
        <w:ind w:left="2880" w:hanging="360"/>
      </w:pPr>
    </w:lvl>
    <w:lvl w:ilvl="4" w:tplc="60D438AC" w:tentative="1">
      <w:start w:val="1"/>
      <w:numFmt w:val="lowerLetter"/>
      <w:lvlText w:val="%5."/>
      <w:lvlJc w:val="left"/>
      <w:pPr>
        <w:ind w:left="3600" w:hanging="360"/>
      </w:pPr>
    </w:lvl>
    <w:lvl w:ilvl="5" w:tplc="9190ACE6" w:tentative="1">
      <w:start w:val="1"/>
      <w:numFmt w:val="lowerRoman"/>
      <w:lvlText w:val="%6."/>
      <w:lvlJc w:val="right"/>
      <w:pPr>
        <w:ind w:left="4320" w:hanging="180"/>
      </w:pPr>
    </w:lvl>
    <w:lvl w:ilvl="6" w:tplc="6E06582A" w:tentative="1">
      <w:start w:val="1"/>
      <w:numFmt w:val="decimal"/>
      <w:lvlText w:val="%7."/>
      <w:lvlJc w:val="left"/>
      <w:pPr>
        <w:ind w:left="5040" w:hanging="360"/>
      </w:pPr>
    </w:lvl>
    <w:lvl w:ilvl="7" w:tplc="9E3C0D5E" w:tentative="1">
      <w:start w:val="1"/>
      <w:numFmt w:val="lowerLetter"/>
      <w:lvlText w:val="%8."/>
      <w:lvlJc w:val="left"/>
      <w:pPr>
        <w:ind w:left="5760" w:hanging="360"/>
      </w:pPr>
    </w:lvl>
    <w:lvl w:ilvl="8" w:tplc="3A5E947E" w:tentative="1">
      <w:start w:val="1"/>
      <w:numFmt w:val="lowerRoman"/>
      <w:lvlText w:val="%9."/>
      <w:lvlJc w:val="right"/>
      <w:pPr>
        <w:ind w:left="6480" w:hanging="180"/>
      </w:pPr>
    </w:lvl>
  </w:abstractNum>
  <w:abstractNum w:abstractNumId="2" w15:restartNumberingAfterBreak="0">
    <w:nsid w:val="1FEB324E"/>
    <w:multiLevelType w:val="hybridMultilevel"/>
    <w:tmpl w:val="F0B4DDC4"/>
    <w:lvl w:ilvl="0" w:tplc="FC4488E6">
      <w:start w:val="1"/>
      <w:numFmt w:val="decimal"/>
      <w:lvlText w:val="%1."/>
      <w:lvlJc w:val="left"/>
      <w:pPr>
        <w:ind w:left="720" w:hanging="360"/>
      </w:pPr>
      <w:rPr>
        <w:rFonts w:hint="default"/>
      </w:rPr>
    </w:lvl>
    <w:lvl w:ilvl="1" w:tplc="7226753A" w:tentative="1">
      <w:start w:val="1"/>
      <w:numFmt w:val="lowerLetter"/>
      <w:lvlText w:val="%2."/>
      <w:lvlJc w:val="left"/>
      <w:pPr>
        <w:ind w:left="1440" w:hanging="360"/>
      </w:pPr>
    </w:lvl>
    <w:lvl w:ilvl="2" w:tplc="B5A065E2" w:tentative="1">
      <w:start w:val="1"/>
      <w:numFmt w:val="lowerRoman"/>
      <w:lvlText w:val="%3."/>
      <w:lvlJc w:val="right"/>
      <w:pPr>
        <w:ind w:left="2160" w:hanging="180"/>
      </w:pPr>
    </w:lvl>
    <w:lvl w:ilvl="3" w:tplc="E954008C" w:tentative="1">
      <w:start w:val="1"/>
      <w:numFmt w:val="decimal"/>
      <w:lvlText w:val="%4."/>
      <w:lvlJc w:val="left"/>
      <w:pPr>
        <w:ind w:left="2880" w:hanging="360"/>
      </w:pPr>
    </w:lvl>
    <w:lvl w:ilvl="4" w:tplc="3C1A19A2" w:tentative="1">
      <w:start w:val="1"/>
      <w:numFmt w:val="lowerLetter"/>
      <w:lvlText w:val="%5."/>
      <w:lvlJc w:val="left"/>
      <w:pPr>
        <w:ind w:left="3600" w:hanging="360"/>
      </w:pPr>
    </w:lvl>
    <w:lvl w:ilvl="5" w:tplc="C8F03170" w:tentative="1">
      <w:start w:val="1"/>
      <w:numFmt w:val="lowerRoman"/>
      <w:lvlText w:val="%6."/>
      <w:lvlJc w:val="right"/>
      <w:pPr>
        <w:ind w:left="4320" w:hanging="180"/>
      </w:pPr>
    </w:lvl>
    <w:lvl w:ilvl="6" w:tplc="DDCEA82E" w:tentative="1">
      <w:start w:val="1"/>
      <w:numFmt w:val="decimal"/>
      <w:lvlText w:val="%7."/>
      <w:lvlJc w:val="left"/>
      <w:pPr>
        <w:ind w:left="5040" w:hanging="360"/>
      </w:pPr>
    </w:lvl>
    <w:lvl w:ilvl="7" w:tplc="5FFE0146" w:tentative="1">
      <w:start w:val="1"/>
      <w:numFmt w:val="lowerLetter"/>
      <w:lvlText w:val="%8."/>
      <w:lvlJc w:val="left"/>
      <w:pPr>
        <w:ind w:left="5760" w:hanging="360"/>
      </w:pPr>
    </w:lvl>
    <w:lvl w:ilvl="8" w:tplc="3D7C5284" w:tentative="1">
      <w:start w:val="1"/>
      <w:numFmt w:val="lowerRoman"/>
      <w:lvlText w:val="%9."/>
      <w:lvlJc w:val="right"/>
      <w:pPr>
        <w:ind w:left="6480" w:hanging="180"/>
      </w:pPr>
    </w:lvl>
  </w:abstractNum>
  <w:abstractNum w:abstractNumId="3" w15:restartNumberingAfterBreak="0">
    <w:nsid w:val="2BFE7040"/>
    <w:multiLevelType w:val="hybridMultilevel"/>
    <w:tmpl w:val="6E48206C"/>
    <w:lvl w:ilvl="0" w:tplc="E0BC17AC">
      <w:start w:val="1"/>
      <w:numFmt w:val="lowerLetter"/>
      <w:lvlText w:val="%1)"/>
      <w:lvlJc w:val="left"/>
      <w:pPr>
        <w:ind w:left="720" w:hanging="360"/>
      </w:pPr>
      <w:rPr>
        <w:b w:val="0"/>
      </w:rPr>
    </w:lvl>
    <w:lvl w:ilvl="1" w:tplc="85521B5C">
      <w:start w:val="1"/>
      <w:numFmt w:val="lowerLetter"/>
      <w:lvlText w:val="%2."/>
      <w:lvlJc w:val="left"/>
      <w:pPr>
        <w:ind w:left="1440" w:hanging="360"/>
      </w:pPr>
    </w:lvl>
    <w:lvl w:ilvl="2" w:tplc="F1E227D6" w:tentative="1">
      <w:start w:val="1"/>
      <w:numFmt w:val="lowerRoman"/>
      <w:lvlText w:val="%3."/>
      <w:lvlJc w:val="right"/>
      <w:pPr>
        <w:ind w:left="2160" w:hanging="180"/>
      </w:pPr>
    </w:lvl>
    <w:lvl w:ilvl="3" w:tplc="BDF88D2E" w:tentative="1">
      <w:start w:val="1"/>
      <w:numFmt w:val="decimal"/>
      <w:lvlText w:val="%4."/>
      <w:lvlJc w:val="left"/>
      <w:pPr>
        <w:ind w:left="2880" w:hanging="360"/>
      </w:pPr>
    </w:lvl>
    <w:lvl w:ilvl="4" w:tplc="C4CA3450" w:tentative="1">
      <w:start w:val="1"/>
      <w:numFmt w:val="lowerLetter"/>
      <w:lvlText w:val="%5."/>
      <w:lvlJc w:val="left"/>
      <w:pPr>
        <w:ind w:left="3600" w:hanging="360"/>
      </w:pPr>
    </w:lvl>
    <w:lvl w:ilvl="5" w:tplc="513285C2" w:tentative="1">
      <w:start w:val="1"/>
      <w:numFmt w:val="lowerRoman"/>
      <w:lvlText w:val="%6."/>
      <w:lvlJc w:val="right"/>
      <w:pPr>
        <w:ind w:left="4320" w:hanging="180"/>
      </w:pPr>
    </w:lvl>
    <w:lvl w:ilvl="6" w:tplc="F27C15D0" w:tentative="1">
      <w:start w:val="1"/>
      <w:numFmt w:val="decimal"/>
      <w:lvlText w:val="%7."/>
      <w:lvlJc w:val="left"/>
      <w:pPr>
        <w:ind w:left="5040" w:hanging="360"/>
      </w:pPr>
    </w:lvl>
    <w:lvl w:ilvl="7" w:tplc="44C25D50" w:tentative="1">
      <w:start w:val="1"/>
      <w:numFmt w:val="lowerLetter"/>
      <w:lvlText w:val="%8."/>
      <w:lvlJc w:val="left"/>
      <w:pPr>
        <w:ind w:left="5760" w:hanging="360"/>
      </w:pPr>
    </w:lvl>
    <w:lvl w:ilvl="8" w:tplc="23C6EB52" w:tentative="1">
      <w:start w:val="1"/>
      <w:numFmt w:val="lowerRoman"/>
      <w:lvlText w:val="%9."/>
      <w:lvlJc w:val="right"/>
      <w:pPr>
        <w:ind w:left="6480" w:hanging="180"/>
      </w:pPr>
    </w:lvl>
  </w:abstractNum>
  <w:abstractNum w:abstractNumId="4" w15:restartNumberingAfterBreak="0">
    <w:nsid w:val="30143293"/>
    <w:multiLevelType w:val="hybridMultilevel"/>
    <w:tmpl w:val="DBE68938"/>
    <w:lvl w:ilvl="0" w:tplc="B35096FC">
      <w:start w:val="1"/>
      <w:numFmt w:val="bullet"/>
      <w:lvlText w:val=""/>
      <w:lvlJc w:val="left"/>
      <w:pPr>
        <w:ind w:left="792" w:hanging="360"/>
      </w:pPr>
      <w:rPr>
        <w:rFonts w:ascii="Wingdings" w:hAnsi="Wingdings" w:hint="default"/>
      </w:rPr>
    </w:lvl>
    <w:lvl w:ilvl="1" w:tplc="D930B8AE" w:tentative="1">
      <w:start w:val="1"/>
      <w:numFmt w:val="bullet"/>
      <w:lvlText w:val="o"/>
      <w:lvlJc w:val="left"/>
      <w:pPr>
        <w:ind w:left="1512" w:hanging="360"/>
      </w:pPr>
      <w:rPr>
        <w:rFonts w:ascii="Courier New" w:hAnsi="Courier New" w:cs="Courier New" w:hint="default"/>
      </w:rPr>
    </w:lvl>
    <w:lvl w:ilvl="2" w:tplc="790C49D8" w:tentative="1">
      <w:start w:val="1"/>
      <w:numFmt w:val="bullet"/>
      <w:lvlText w:val=""/>
      <w:lvlJc w:val="left"/>
      <w:pPr>
        <w:ind w:left="2232" w:hanging="360"/>
      </w:pPr>
      <w:rPr>
        <w:rFonts w:ascii="Wingdings" w:hAnsi="Wingdings" w:cs="Wingdings" w:hint="default"/>
      </w:rPr>
    </w:lvl>
    <w:lvl w:ilvl="3" w:tplc="59687B7E" w:tentative="1">
      <w:start w:val="1"/>
      <w:numFmt w:val="bullet"/>
      <w:lvlText w:val=""/>
      <w:lvlJc w:val="left"/>
      <w:pPr>
        <w:ind w:left="2952" w:hanging="360"/>
      </w:pPr>
      <w:rPr>
        <w:rFonts w:ascii="Symbol" w:hAnsi="Symbol" w:cs="Symbol" w:hint="default"/>
      </w:rPr>
    </w:lvl>
    <w:lvl w:ilvl="4" w:tplc="2438EB60" w:tentative="1">
      <w:start w:val="1"/>
      <w:numFmt w:val="bullet"/>
      <w:lvlText w:val="o"/>
      <w:lvlJc w:val="left"/>
      <w:pPr>
        <w:ind w:left="3672" w:hanging="360"/>
      </w:pPr>
      <w:rPr>
        <w:rFonts w:ascii="Courier New" w:hAnsi="Courier New" w:cs="Courier New" w:hint="default"/>
      </w:rPr>
    </w:lvl>
    <w:lvl w:ilvl="5" w:tplc="6EE4A596" w:tentative="1">
      <w:start w:val="1"/>
      <w:numFmt w:val="bullet"/>
      <w:lvlText w:val=""/>
      <w:lvlJc w:val="left"/>
      <w:pPr>
        <w:ind w:left="4392" w:hanging="360"/>
      </w:pPr>
      <w:rPr>
        <w:rFonts w:ascii="Wingdings" w:hAnsi="Wingdings" w:cs="Wingdings" w:hint="default"/>
      </w:rPr>
    </w:lvl>
    <w:lvl w:ilvl="6" w:tplc="D8BEB150" w:tentative="1">
      <w:start w:val="1"/>
      <w:numFmt w:val="bullet"/>
      <w:lvlText w:val=""/>
      <w:lvlJc w:val="left"/>
      <w:pPr>
        <w:ind w:left="5112" w:hanging="360"/>
      </w:pPr>
      <w:rPr>
        <w:rFonts w:ascii="Symbol" w:hAnsi="Symbol" w:cs="Symbol" w:hint="default"/>
      </w:rPr>
    </w:lvl>
    <w:lvl w:ilvl="7" w:tplc="D2E29F30" w:tentative="1">
      <w:start w:val="1"/>
      <w:numFmt w:val="bullet"/>
      <w:lvlText w:val="o"/>
      <w:lvlJc w:val="left"/>
      <w:pPr>
        <w:ind w:left="5832" w:hanging="360"/>
      </w:pPr>
      <w:rPr>
        <w:rFonts w:ascii="Courier New" w:hAnsi="Courier New" w:cs="Courier New" w:hint="default"/>
      </w:rPr>
    </w:lvl>
    <w:lvl w:ilvl="8" w:tplc="8F3A31EA" w:tentative="1">
      <w:start w:val="1"/>
      <w:numFmt w:val="bullet"/>
      <w:lvlText w:val=""/>
      <w:lvlJc w:val="left"/>
      <w:pPr>
        <w:ind w:left="6552" w:hanging="360"/>
      </w:pPr>
      <w:rPr>
        <w:rFonts w:ascii="Wingdings" w:hAnsi="Wingdings" w:cs="Wingdings" w:hint="default"/>
      </w:rPr>
    </w:lvl>
  </w:abstractNum>
  <w:abstractNum w:abstractNumId="5" w15:restartNumberingAfterBreak="0">
    <w:nsid w:val="363D72ED"/>
    <w:multiLevelType w:val="hybridMultilevel"/>
    <w:tmpl w:val="51602934"/>
    <w:lvl w:ilvl="0" w:tplc="7E423784">
      <w:start w:val="1"/>
      <w:numFmt w:val="lowerLetter"/>
      <w:lvlText w:val="%1."/>
      <w:lvlJc w:val="left"/>
      <w:pPr>
        <w:ind w:left="720" w:hanging="360"/>
      </w:pPr>
    </w:lvl>
    <w:lvl w:ilvl="1" w:tplc="43B6F72E">
      <w:start w:val="1"/>
      <w:numFmt w:val="lowerLetter"/>
      <w:lvlText w:val="%2."/>
      <w:lvlJc w:val="left"/>
      <w:pPr>
        <w:ind w:left="1440" w:hanging="360"/>
      </w:pPr>
    </w:lvl>
    <w:lvl w:ilvl="2" w:tplc="314ED3E6">
      <w:start w:val="1"/>
      <w:numFmt w:val="lowerRoman"/>
      <w:lvlText w:val="%3."/>
      <w:lvlJc w:val="right"/>
      <w:pPr>
        <w:ind w:left="2160" w:hanging="180"/>
      </w:pPr>
    </w:lvl>
    <w:lvl w:ilvl="3" w:tplc="C7DAB360">
      <w:start w:val="1"/>
      <w:numFmt w:val="decimal"/>
      <w:lvlText w:val="%4."/>
      <w:lvlJc w:val="left"/>
      <w:pPr>
        <w:ind w:left="2880" w:hanging="360"/>
      </w:pPr>
    </w:lvl>
    <w:lvl w:ilvl="4" w:tplc="1E6C6312">
      <w:start w:val="1"/>
      <w:numFmt w:val="lowerLetter"/>
      <w:lvlText w:val="%5."/>
      <w:lvlJc w:val="left"/>
      <w:pPr>
        <w:ind w:left="3600" w:hanging="360"/>
      </w:pPr>
    </w:lvl>
    <w:lvl w:ilvl="5" w:tplc="03AC5EA6">
      <w:start w:val="1"/>
      <w:numFmt w:val="lowerRoman"/>
      <w:lvlText w:val="%6."/>
      <w:lvlJc w:val="right"/>
      <w:pPr>
        <w:ind w:left="4320" w:hanging="180"/>
      </w:pPr>
    </w:lvl>
    <w:lvl w:ilvl="6" w:tplc="89CCDA9A">
      <w:start w:val="1"/>
      <w:numFmt w:val="decimal"/>
      <w:lvlText w:val="%7."/>
      <w:lvlJc w:val="left"/>
      <w:pPr>
        <w:ind w:left="5040" w:hanging="360"/>
      </w:pPr>
    </w:lvl>
    <w:lvl w:ilvl="7" w:tplc="E5B03294">
      <w:start w:val="1"/>
      <w:numFmt w:val="lowerLetter"/>
      <w:lvlText w:val="%8."/>
      <w:lvlJc w:val="left"/>
      <w:pPr>
        <w:ind w:left="5760" w:hanging="360"/>
      </w:pPr>
    </w:lvl>
    <w:lvl w:ilvl="8" w:tplc="A3C09638">
      <w:start w:val="1"/>
      <w:numFmt w:val="lowerRoman"/>
      <w:lvlText w:val="%9."/>
      <w:lvlJc w:val="right"/>
      <w:pPr>
        <w:ind w:left="6480" w:hanging="180"/>
      </w:pPr>
    </w:lvl>
  </w:abstractNum>
  <w:abstractNum w:abstractNumId="6" w15:restartNumberingAfterBreak="0">
    <w:nsid w:val="3A9E0EF4"/>
    <w:multiLevelType w:val="hybridMultilevel"/>
    <w:tmpl w:val="E7A673A0"/>
    <w:lvl w:ilvl="0" w:tplc="11AA058A">
      <w:start w:val="2"/>
      <w:numFmt w:val="bullet"/>
      <w:lvlText w:val="-"/>
      <w:lvlJc w:val="left"/>
      <w:pPr>
        <w:ind w:left="1080" w:hanging="360"/>
      </w:pPr>
      <w:rPr>
        <w:rFonts w:ascii="Times New Roman" w:eastAsiaTheme="minorHAnsi" w:hAnsi="Times New Roman" w:cs="Times New Roman" w:hint="default"/>
      </w:rPr>
    </w:lvl>
    <w:lvl w:ilvl="1" w:tplc="CCD8F960" w:tentative="1">
      <w:start w:val="1"/>
      <w:numFmt w:val="bullet"/>
      <w:lvlText w:val="o"/>
      <w:lvlJc w:val="left"/>
      <w:pPr>
        <w:ind w:left="1800" w:hanging="360"/>
      </w:pPr>
      <w:rPr>
        <w:rFonts w:ascii="Courier New" w:hAnsi="Courier New" w:cs="Courier New" w:hint="default"/>
      </w:rPr>
    </w:lvl>
    <w:lvl w:ilvl="2" w:tplc="6F30FB04" w:tentative="1">
      <w:start w:val="1"/>
      <w:numFmt w:val="bullet"/>
      <w:lvlText w:val=""/>
      <w:lvlJc w:val="left"/>
      <w:pPr>
        <w:ind w:left="2520" w:hanging="360"/>
      </w:pPr>
      <w:rPr>
        <w:rFonts w:ascii="Wingdings" w:hAnsi="Wingdings" w:cs="Wingdings" w:hint="default"/>
      </w:rPr>
    </w:lvl>
    <w:lvl w:ilvl="3" w:tplc="5CC6B5E6" w:tentative="1">
      <w:start w:val="1"/>
      <w:numFmt w:val="bullet"/>
      <w:lvlText w:val=""/>
      <w:lvlJc w:val="left"/>
      <w:pPr>
        <w:ind w:left="3240" w:hanging="360"/>
      </w:pPr>
      <w:rPr>
        <w:rFonts w:ascii="Symbol" w:hAnsi="Symbol" w:cs="Symbol" w:hint="default"/>
      </w:rPr>
    </w:lvl>
    <w:lvl w:ilvl="4" w:tplc="B3926764" w:tentative="1">
      <w:start w:val="1"/>
      <w:numFmt w:val="bullet"/>
      <w:lvlText w:val="o"/>
      <w:lvlJc w:val="left"/>
      <w:pPr>
        <w:ind w:left="3960" w:hanging="360"/>
      </w:pPr>
      <w:rPr>
        <w:rFonts w:ascii="Courier New" w:hAnsi="Courier New" w:cs="Courier New" w:hint="default"/>
      </w:rPr>
    </w:lvl>
    <w:lvl w:ilvl="5" w:tplc="CA549B9A" w:tentative="1">
      <w:start w:val="1"/>
      <w:numFmt w:val="bullet"/>
      <w:lvlText w:val=""/>
      <w:lvlJc w:val="left"/>
      <w:pPr>
        <w:ind w:left="4680" w:hanging="360"/>
      </w:pPr>
      <w:rPr>
        <w:rFonts w:ascii="Wingdings" w:hAnsi="Wingdings" w:cs="Wingdings" w:hint="default"/>
      </w:rPr>
    </w:lvl>
    <w:lvl w:ilvl="6" w:tplc="F8404BE2" w:tentative="1">
      <w:start w:val="1"/>
      <w:numFmt w:val="bullet"/>
      <w:lvlText w:val=""/>
      <w:lvlJc w:val="left"/>
      <w:pPr>
        <w:ind w:left="5400" w:hanging="360"/>
      </w:pPr>
      <w:rPr>
        <w:rFonts w:ascii="Symbol" w:hAnsi="Symbol" w:cs="Symbol" w:hint="default"/>
      </w:rPr>
    </w:lvl>
    <w:lvl w:ilvl="7" w:tplc="75E8D14A" w:tentative="1">
      <w:start w:val="1"/>
      <w:numFmt w:val="bullet"/>
      <w:lvlText w:val="o"/>
      <w:lvlJc w:val="left"/>
      <w:pPr>
        <w:ind w:left="6120" w:hanging="360"/>
      </w:pPr>
      <w:rPr>
        <w:rFonts w:ascii="Courier New" w:hAnsi="Courier New" w:cs="Courier New" w:hint="default"/>
      </w:rPr>
    </w:lvl>
    <w:lvl w:ilvl="8" w:tplc="B1965DB4" w:tentative="1">
      <w:start w:val="1"/>
      <w:numFmt w:val="bullet"/>
      <w:lvlText w:val=""/>
      <w:lvlJc w:val="left"/>
      <w:pPr>
        <w:ind w:left="6840" w:hanging="360"/>
      </w:pPr>
      <w:rPr>
        <w:rFonts w:ascii="Wingdings" w:hAnsi="Wingdings" w:cs="Wingdings" w:hint="default"/>
      </w:rPr>
    </w:lvl>
  </w:abstractNum>
  <w:abstractNum w:abstractNumId="7" w15:restartNumberingAfterBreak="0">
    <w:nsid w:val="3B403528"/>
    <w:multiLevelType w:val="hybridMultilevel"/>
    <w:tmpl w:val="1832A7C8"/>
    <w:lvl w:ilvl="0" w:tplc="00A2BDA6">
      <w:start w:val="1"/>
      <w:numFmt w:val="bullet"/>
      <w:lvlText w:val=""/>
      <w:lvlJc w:val="left"/>
      <w:pPr>
        <w:ind w:left="1080" w:hanging="360"/>
      </w:pPr>
      <w:rPr>
        <w:rFonts w:ascii="Wingdings" w:hAnsi="Wingdings" w:hint="default"/>
      </w:rPr>
    </w:lvl>
    <w:lvl w:ilvl="1" w:tplc="2B6C44D6" w:tentative="1">
      <w:start w:val="1"/>
      <w:numFmt w:val="bullet"/>
      <w:lvlText w:val="o"/>
      <w:lvlJc w:val="left"/>
      <w:pPr>
        <w:ind w:left="1800" w:hanging="360"/>
      </w:pPr>
      <w:rPr>
        <w:rFonts w:ascii="Courier New" w:hAnsi="Courier New" w:cs="Courier New" w:hint="default"/>
      </w:rPr>
    </w:lvl>
    <w:lvl w:ilvl="2" w:tplc="17382000" w:tentative="1">
      <w:start w:val="1"/>
      <w:numFmt w:val="bullet"/>
      <w:lvlText w:val=""/>
      <w:lvlJc w:val="left"/>
      <w:pPr>
        <w:ind w:left="2520" w:hanging="360"/>
      </w:pPr>
      <w:rPr>
        <w:rFonts w:ascii="Wingdings" w:hAnsi="Wingdings" w:cs="Wingdings" w:hint="default"/>
      </w:rPr>
    </w:lvl>
    <w:lvl w:ilvl="3" w:tplc="EAA6A0E2" w:tentative="1">
      <w:start w:val="1"/>
      <w:numFmt w:val="bullet"/>
      <w:lvlText w:val=""/>
      <w:lvlJc w:val="left"/>
      <w:pPr>
        <w:ind w:left="3240" w:hanging="360"/>
      </w:pPr>
      <w:rPr>
        <w:rFonts w:ascii="Symbol" w:hAnsi="Symbol" w:cs="Symbol" w:hint="default"/>
      </w:rPr>
    </w:lvl>
    <w:lvl w:ilvl="4" w:tplc="A184F710" w:tentative="1">
      <w:start w:val="1"/>
      <w:numFmt w:val="bullet"/>
      <w:lvlText w:val="o"/>
      <w:lvlJc w:val="left"/>
      <w:pPr>
        <w:ind w:left="3960" w:hanging="360"/>
      </w:pPr>
      <w:rPr>
        <w:rFonts w:ascii="Courier New" w:hAnsi="Courier New" w:cs="Courier New" w:hint="default"/>
      </w:rPr>
    </w:lvl>
    <w:lvl w:ilvl="5" w:tplc="D9123754" w:tentative="1">
      <w:start w:val="1"/>
      <w:numFmt w:val="bullet"/>
      <w:lvlText w:val=""/>
      <w:lvlJc w:val="left"/>
      <w:pPr>
        <w:ind w:left="4680" w:hanging="360"/>
      </w:pPr>
      <w:rPr>
        <w:rFonts w:ascii="Wingdings" w:hAnsi="Wingdings" w:cs="Wingdings" w:hint="default"/>
      </w:rPr>
    </w:lvl>
    <w:lvl w:ilvl="6" w:tplc="F15298A8" w:tentative="1">
      <w:start w:val="1"/>
      <w:numFmt w:val="bullet"/>
      <w:lvlText w:val=""/>
      <w:lvlJc w:val="left"/>
      <w:pPr>
        <w:ind w:left="5400" w:hanging="360"/>
      </w:pPr>
      <w:rPr>
        <w:rFonts w:ascii="Symbol" w:hAnsi="Symbol" w:cs="Symbol" w:hint="default"/>
      </w:rPr>
    </w:lvl>
    <w:lvl w:ilvl="7" w:tplc="DCC63DA6" w:tentative="1">
      <w:start w:val="1"/>
      <w:numFmt w:val="bullet"/>
      <w:lvlText w:val="o"/>
      <w:lvlJc w:val="left"/>
      <w:pPr>
        <w:ind w:left="6120" w:hanging="360"/>
      </w:pPr>
      <w:rPr>
        <w:rFonts w:ascii="Courier New" w:hAnsi="Courier New" w:cs="Courier New" w:hint="default"/>
      </w:rPr>
    </w:lvl>
    <w:lvl w:ilvl="8" w:tplc="7BF4C8B0" w:tentative="1">
      <w:start w:val="1"/>
      <w:numFmt w:val="bullet"/>
      <w:lvlText w:val=""/>
      <w:lvlJc w:val="left"/>
      <w:pPr>
        <w:ind w:left="6840" w:hanging="360"/>
      </w:pPr>
      <w:rPr>
        <w:rFonts w:ascii="Wingdings" w:hAnsi="Wingdings" w:cs="Wingdings" w:hint="default"/>
      </w:rPr>
    </w:lvl>
  </w:abstractNum>
  <w:abstractNum w:abstractNumId="8" w15:restartNumberingAfterBreak="0">
    <w:nsid w:val="45384888"/>
    <w:multiLevelType w:val="hybridMultilevel"/>
    <w:tmpl w:val="9A924056"/>
    <w:lvl w:ilvl="0" w:tplc="F7FC431A">
      <w:start w:val="1"/>
      <w:numFmt w:val="decimal"/>
      <w:lvlText w:val="%1."/>
      <w:lvlJc w:val="left"/>
      <w:pPr>
        <w:ind w:left="720" w:hanging="360"/>
      </w:pPr>
      <w:rPr>
        <w:rFonts w:hint="default"/>
      </w:rPr>
    </w:lvl>
    <w:lvl w:ilvl="1" w:tplc="B83EB842" w:tentative="1">
      <w:start w:val="1"/>
      <w:numFmt w:val="lowerLetter"/>
      <w:lvlText w:val="%2."/>
      <w:lvlJc w:val="left"/>
      <w:pPr>
        <w:ind w:left="1440" w:hanging="360"/>
      </w:pPr>
    </w:lvl>
    <w:lvl w:ilvl="2" w:tplc="5A34D856" w:tentative="1">
      <w:start w:val="1"/>
      <w:numFmt w:val="lowerRoman"/>
      <w:lvlText w:val="%3."/>
      <w:lvlJc w:val="right"/>
      <w:pPr>
        <w:ind w:left="2160" w:hanging="180"/>
      </w:pPr>
    </w:lvl>
    <w:lvl w:ilvl="3" w:tplc="DAC44066" w:tentative="1">
      <w:start w:val="1"/>
      <w:numFmt w:val="decimal"/>
      <w:lvlText w:val="%4."/>
      <w:lvlJc w:val="left"/>
      <w:pPr>
        <w:ind w:left="2880" w:hanging="360"/>
      </w:pPr>
    </w:lvl>
    <w:lvl w:ilvl="4" w:tplc="0ABADCEE" w:tentative="1">
      <w:start w:val="1"/>
      <w:numFmt w:val="lowerLetter"/>
      <w:lvlText w:val="%5."/>
      <w:lvlJc w:val="left"/>
      <w:pPr>
        <w:ind w:left="3600" w:hanging="360"/>
      </w:pPr>
    </w:lvl>
    <w:lvl w:ilvl="5" w:tplc="2A4E6A36" w:tentative="1">
      <w:start w:val="1"/>
      <w:numFmt w:val="lowerRoman"/>
      <w:lvlText w:val="%6."/>
      <w:lvlJc w:val="right"/>
      <w:pPr>
        <w:ind w:left="4320" w:hanging="180"/>
      </w:pPr>
    </w:lvl>
    <w:lvl w:ilvl="6" w:tplc="02CA6066" w:tentative="1">
      <w:start w:val="1"/>
      <w:numFmt w:val="decimal"/>
      <w:lvlText w:val="%7."/>
      <w:lvlJc w:val="left"/>
      <w:pPr>
        <w:ind w:left="5040" w:hanging="360"/>
      </w:pPr>
    </w:lvl>
    <w:lvl w:ilvl="7" w:tplc="942ABA96" w:tentative="1">
      <w:start w:val="1"/>
      <w:numFmt w:val="lowerLetter"/>
      <w:lvlText w:val="%8."/>
      <w:lvlJc w:val="left"/>
      <w:pPr>
        <w:ind w:left="5760" w:hanging="360"/>
      </w:pPr>
    </w:lvl>
    <w:lvl w:ilvl="8" w:tplc="7D78D766" w:tentative="1">
      <w:start w:val="1"/>
      <w:numFmt w:val="lowerRoman"/>
      <w:lvlText w:val="%9."/>
      <w:lvlJc w:val="right"/>
      <w:pPr>
        <w:ind w:left="6480" w:hanging="180"/>
      </w:pPr>
    </w:lvl>
  </w:abstractNum>
  <w:abstractNum w:abstractNumId="9" w15:restartNumberingAfterBreak="0">
    <w:nsid w:val="47BF26F3"/>
    <w:multiLevelType w:val="hybridMultilevel"/>
    <w:tmpl w:val="E51AD444"/>
    <w:lvl w:ilvl="0" w:tplc="F76EE64C">
      <w:start w:val="1"/>
      <w:numFmt w:val="bullet"/>
      <w:lvlText w:val=""/>
      <w:lvlJc w:val="left"/>
      <w:pPr>
        <w:ind w:left="720" w:hanging="360"/>
      </w:pPr>
      <w:rPr>
        <w:rFonts w:ascii="Symbol" w:hAnsi="Symbol" w:hint="default"/>
      </w:rPr>
    </w:lvl>
    <w:lvl w:ilvl="1" w:tplc="A4F4C81C" w:tentative="1">
      <w:start w:val="1"/>
      <w:numFmt w:val="bullet"/>
      <w:lvlText w:val="o"/>
      <w:lvlJc w:val="left"/>
      <w:pPr>
        <w:ind w:left="1440" w:hanging="360"/>
      </w:pPr>
      <w:rPr>
        <w:rFonts w:ascii="Courier New" w:hAnsi="Courier New" w:cs="Courier New" w:hint="default"/>
      </w:rPr>
    </w:lvl>
    <w:lvl w:ilvl="2" w:tplc="6E02DC3A" w:tentative="1">
      <w:start w:val="1"/>
      <w:numFmt w:val="bullet"/>
      <w:lvlText w:val=""/>
      <w:lvlJc w:val="left"/>
      <w:pPr>
        <w:ind w:left="2160" w:hanging="360"/>
      </w:pPr>
      <w:rPr>
        <w:rFonts w:ascii="Wingdings" w:hAnsi="Wingdings" w:cs="Wingdings" w:hint="default"/>
      </w:rPr>
    </w:lvl>
    <w:lvl w:ilvl="3" w:tplc="4702944C" w:tentative="1">
      <w:start w:val="1"/>
      <w:numFmt w:val="bullet"/>
      <w:lvlText w:val=""/>
      <w:lvlJc w:val="left"/>
      <w:pPr>
        <w:ind w:left="2880" w:hanging="360"/>
      </w:pPr>
      <w:rPr>
        <w:rFonts w:ascii="Symbol" w:hAnsi="Symbol" w:cs="Symbol" w:hint="default"/>
      </w:rPr>
    </w:lvl>
    <w:lvl w:ilvl="4" w:tplc="AFCC97B2" w:tentative="1">
      <w:start w:val="1"/>
      <w:numFmt w:val="bullet"/>
      <w:lvlText w:val="o"/>
      <w:lvlJc w:val="left"/>
      <w:pPr>
        <w:ind w:left="3600" w:hanging="360"/>
      </w:pPr>
      <w:rPr>
        <w:rFonts w:ascii="Courier New" w:hAnsi="Courier New" w:cs="Courier New" w:hint="default"/>
      </w:rPr>
    </w:lvl>
    <w:lvl w:ilvl="5" w:tplc="24E605B6" w:tentative="1">
      <w:start w:val="1"/>
      <w:numFmt w:val="bullet"/>
      <w:lvlText w:val=""/>
      <w:lvlJc w:val="left"/>
      <w:pPr>
        <w:ind w:left="4320" w:hanging="360"/>
      </w:pPr>
      <w:rPr>
        <w:rFonts w:ascii="Wingdings" w:hAnsi="Wingdings" w:cs="Wingdings" w:hint="default"/>
      </w:rPr>
    </w:lvl>
    <w:lvl w:ilvl="6" w:tplc="5454B4EE" w:tentative="1">
      <w:start w:val="1"/>
      <w:numFmt w:val="bullet"/>
      <w:lvlText w:val=""/>
      <w:lvlJc w:val="left"/>
      <w:pPr>
        <w:ind w:left="5040" w:hanging="360"/>
      </w:pPr>
      <w:rPr>
        <w:rFonts w:ascii="Symbol" w:hAnsi="Symbol" w:cs="Symbol" w:hint="default"/>
      </w:rPr>
    </w:lvl>
    <w:lvl w:ilvl="7" w:tplc="AA3EACE8" w:tentative="1">
      <w:start w:val="1"/>
      <w:numFmt w:val="bullet"/>
      <w:lvlText w:val="o"/>
      <w:lvlJc w:val="left"/>
      <w:pPr>
        <w:ind w:left="5760" w:hanging="360"/>
      </w:pPr>
      <w:rPr>
        <w:rFonts w:ascii="Courier New" w:hAnsi="Courier New" w:cs="Courier New" w:hint="default"/>
      </w:rPr>
    </w:lvl>
    <w:lvl w:ilvl="8" w:tplc="E13C5BD4" w:tentative="1">
      <w:start w:val="1"/>
      <w:numFmt w:val="bullet"/>
      <w:lvlText w:val=""/>
      <w:lvlJc w:val="left"/>
      <w:pPr>
        <w:ind w:left="6480" w:hanging="360"/>
      </w:pPr>
      <w:rPr>
        <w:rFonts w:ascii="Wingdings" w:hAnsi="Wingdings" w:cs="Wingdings" w:hint="default"/>
      </w:rPr>
    </w:lvl>
  </w:abstractNum>
  <w:abstractNum w:abstractNumId="10" w15:restartNumberingAfterBreak="0">
    <w:nsid w:val="4AEC7393"/>
    <w:multiLevelType w:val="hybridMultilevel"/>
    <w:tmpl w:val="39224840"/>
    <w:lvl w:ilvl="0" w:tplc="2ECEDF3C">
      <w:start w:val="1"/>
      <w:numFmt w:val="bullet"/>
      <w:lvlText w:val=""/>
      <w:lvlJc w:val="left"/>
      <w:pPr>
        <w:ind w:left="708" w:hanging="360"/>
      </w:pPr>
      <w:rPr>
        <w:rFonts w:ascii="Wingdings" w:hAnsi="Wingdings" w:hint="default"/>
      </w:rPr>
    </w:lvl>
    <w:lvl w:ilvl="1" w:tplc="B8DEC050" w:tentative="1">
      <w:start w:val="1"/>
      <w:numFmt w:val="bullet"/>
      <w:lvlText w:val="o"/>
      <w:lvlJc w:val="left"/>
      <w:pPr>
        <w:ind w:left="1428" w:hanging="360"/>
      </w:pPr>
      <w:rPr>
        <w:rFonts w:ascii="Courier New" w:hAnsi="Courier New" w:cs="Courier New" w:hint="default"/>
      </w:rPr>
    </w:lvl>
    <w:lvl w:ilvl="2" w:tplc="657E239A" w:tentative="1">
      <w:start w:val="1"/>
      <w:numFmt w:val="bullet"/>
      <w:lvlText w:val=""/>
      <w:lvlJc w:val="left"/>
      <w:pPr>
        <w:ind w:left="2148" w:hanging="360"/>
      </w:pPr>
      <w:rPr>
        <w:rFonts w:ascii="Wingdings" w:hAnsi="Wingdings" w:cs="Wingdings" w:hint="default"/>
      </w:rPr>
    </w:lvl>
    <w:lvl w:ilvl="3" w:tplc="25FA6E5A" w:tentative="1">
      <w:start w:val="1"/>
      <w:numFmt w:val="bullet"/>
      <w:lvlText w:val=""/>
      <w:lvlJc w:val="left"/>
      <w:pPr>
        <w:ind w:left="2868" w:hanging="360"/>
      </w:pPr>
      <w:rPr>
        <w:rFonts w:ascii="Symbol" w:hAnsi="Symbol" w:cs="Symbol" w:hint="default"/>
      </w:rPr>
    </w:lvl>
    <w:lvl w:ilvl="4" w:tplc="EDBCC386" w:tentative="1">
      <w:start w:val="1"/>
      <w:numFmt w:val="bullet"/>
      <w:lvlText w:val="o"/>
      <w:lvlJc w:val="left"/>
      <w:pPr>
        <w:ind w:left="3588" w:hanging="360"/>
      </w:pPr>
      <w:rPr>
        <w:rFonts w:ascii="Courier New" w:hAnsi="Courier New" w:cs="Courier New" w:hint="default"/>
      </w:rPr>
    </w:lvl>
    <w:lvl w:ilvl="5" w:tplc="8FAEAF8C" w:tentative="1">
      <w:start w:val="1"/>
      <w:numFmt w:val="bullet"/>
      <w:lvlText w:val=""/>
      <w:lvlJc w:val="left"/>
      <w:pPr>
        <w:ind w:left="4308" w:hanging="360"/>
      </w:pPr>
      <w:rPr>
        <w:rFonts w:ascii="Wingdings" w:hAnsi="Wingdings" w:cs="Wingdings" w:hint="default"/>
      </w:rPr>
    </w:lvl>
    <w:lvl w:ilvl="6" w:tplc="F93AEAC0" w:tentative="1">
      <w:start w:val="1"/>
      <w:numFmt w:val="bullet"/>
      <w:lvlText w:val=""/>
      <w:lvlJc w:val="left"/>
      <w:pPr>
        <w:ind w:left="5028" w:hanging="360"/>
      </w:pPr>
      <w:rPr>
        <w:rFonts w:ascii="Symbol" w:hAnsi="Symbol" w:cs="Symbol" w:hint="default"/>
      </w:rPr>
    </w:lvl>
    <w:lvl w:ilvl="7" w:tplc="763EB434" w:tentative="1">
      <w:start w:val="1"/>
      <w:numFmt w:val="bullet"/>
      <w:lvlText w:val="o"/>
      <w:lvlJc w:val="left"/>
      <w:pPr>
        <w:ind w:left="5748" w:hanging="360"/>
      </w:pPr>
      <w:rPr>
        <w:rFonts w:ascii="Courier New" w:hAnsi="Courier New" w:cs="Courier New" w:hint="default"/>
      </w:rPr>
    </w:lvl>
    <w:lvl w:ilvl="8" w:tplc="DFBE15C4" w:tentative="1">
      <w:start w:val="1"/>
      <w:numFmt w:val="bullet"/>
      <w:lvlText w:val=""/>
      <w:lvlJc w:val="left"/>
      <w:pPr>
        <w:ind w:left="6468" w:hanging="360"/>
      </w:pPr>
      <w:rPr>
        <w:rFonts w:ascii="Wingdings" w:hAnsi="Wingdings" w:cs="Wingdings" w:hint="default"/>
      </w:rPr>
    </w:lvl>
  </w:abstractNum>
  <w:abstractNum w:abstractNumId="11" w15:restartNumberingAfterBreak="0">
    <w:nsid w:val="4E9035FA"/>
    <w:multiLevelType w:val="hybridMultilevel"/>
    <w:tmpl w:val="FD08DC28"/>
    <w:lvl w:ilvl="0" w:tplc="13446F1E">
      <w:start w:val="1"/>
      <w:numFmt w:val="bullet"/>
      <w:lvlText w:val="-"/>
      <w:lvlJc w:val="left"/>
      <w:pPr>
        <w:ind w:left="720" w:hanging="360"/>
      </w:pPr>
      <w:rPr>
        <w:rFonts w:ascii="Times New Roman" w:eastAsiaTheme="minorHAnsi" w:hAnsi="Times New Roman" w:cs="Times New Roman" w:hint="default"/>
      </w:rPr>
    </w:lvl>
    <w:lvl w:ilvl="1" w:tplc="2C983470" w:tentative="1">
      <w:start w:val="1"/>
      <w:numFmt w:val="bullet"/>
      <w:lvlText w:val="o"/>
      <w:lvlJc w:val="left"/>
      <w:pPr>
        <w:ind w:left="1440" w:hanging="360"/>
      </w:pPr>
      <w:rPr>
        <w:rFonts w:ascii="Courier New" w:hAnsi="Courier New" w:cs="Courier New" w:hint="default"/>
      </w:rPr>
    </w:lvl>
    <w:lvl w:ilvl="2" w:tplc="06EAA0BA" w:tentative="1">
      <w:start w:val="1"/>
      <w:numFmt w:val="bullet"/>
      <w:lvlText w:val=""/>
      <w:lvlJc w:val="left"/>
      <w:pPr>
        <w:ind w:left="2160" w:hanging="360"/>
      </w:pPr>
      <w:rPr>
        <w:rFonts w:ascii="Wingdings" w:hAnsi="Wingdings" w:cs="Wingdings" w:hint="default"/>
      </w:rPr>
    </w:lvl>
    <w:lvl w:ilvl="3" w:tplc="8C4EED2C" w:tentative="1">
      <w:start w:val="1"/>
      <w:numFmt w:val="bullet"/>
      <w:lvlText w:val=""/>
      <w:lvlJc w:val="left"/>
      <w:pPr>
        <w:ind w:left="2880" w:hanging="360"/>
      </w:pPr>
      <w:rPr>
        <w:rFonts w:ascii="Symbol" w:hAnsi="Symbol" w:cs="Symbol" w:hint="default"/>
      </w:rPr>
    </w:lvl>
    <w:lvl w:ilvl="4" w:tplc="4DD68C2E" w:tentative="1">
      <w:start w:val="1"/>
      <w:numFmt w:val="bullet"/>
      <w:lvlText w:val="o"/>
      <w:lvlJc w:val="left"/>
      <w:pPr>
        <w:ind w:left="3600" w:hanging="360"/>
      </w:pPr>
      <w:rPr>
        <w:rFonts w:ascii="Courier New" w:hAnsi="Courier New" w:cs="Courier New" w:hint="default"/>
      </w:rPr>
    </w:lvl>
    <w:lvl w:ilvl="5" w:tplc="26FE2806" w:tentative="1">
      <w:start w:val="1"/>
      <w:numFmt w:val="bullet"/>
      <w:lvlText w:val=""/>
      <w:lvlJc w:val="left"/>
      <w:pPr>
        <w:ind w:left="4320" w:hanging="360"/>
      </w:pPr>
      <w:rPr>
        <w:rFonts w:ascii="Wingdings" w:hAnsi="Wingdings" w:cs="Wingdings" w:hint="default"/>
      </w:rPr>
    </w:lvl>
    <w:lvl w:ilvl="6" w:tplc="F75629FA" w:tentative="1">
      <w:start w:val="1"/>
      <w:numFmt w:val="bullet"/>
      <w:lvlText w:val=""/>
      <w:lvlJc w:val="left"/>
      <w:pPr>
        <w:ind w:left="5040" w:hanging="360"/>
      </w:pPr>
      <w:rPr>
        <w:rFonts w:ascii="Symbol" w:hAnsi="Symbol" w:cs="Symbol" w:hint="default"/>
      </w:rPr>
    </w:lvl>
    <w:lvl w:ilvl="7" w:tplc="B8AE7634" w:tentative="1">
      <w:start w:val="1"/>
      <w:numFmt w:val="bullet"/>
      <w:lvlText w:val="o"/>
      <w:lvlJc w:val="left"/>
      <w:pPr>
        <w:ind w:left="5760" w:hanging="360"/>
      </w:pPr>
      <w:rPr>
        <w:rFonts w:ascii="Courier New" w:hAnsi="Courier New" w:cs="Courier New" w:hint="default"/>
      </w:rPr>
    </w:lvl>
    <w:lvl w:ilvl="8" w:tplc="08748AFC" w:tentative="1">
      <w:start w:val="1"/>
      <w:numFmt w:val="bullet"/>
      <w:lvlText w:val=""/>
      <w:lvlJc w:val="left"/>
      <w:pPr>
        <w:ind w:left="6480" w:hanging="360"/>
      </w:pPr>
      <w:rPr>
        <w:rFonts w:ascii="Wingdings" w:hAnsi="Wingdings" w:cs="Wingdings" w:hint="default"/>
      </w:rPr>
    </w:lvl>
  </w:abstractNum>
  <w:abstractNum w:abstractNumId="12" w15:restartNumberingAfterBreak="0">
    <w:nsid w:val="540808E8"/>
    <w:multiLevelType w:val="hybridMultilevel"/>
    <w:tmpl w:val="BDE48E34"/>
    <w:lvl w:ilvl="0" w:tplc="0C72B578">
      <w:start w:val="1"/>
      <w:numFmt w:val="bullet"/>
      <w:lvlText w:val=""/>
      <w:lvlJc w:val="left"/>
      <w:pPr>
        <w:ind w:left="720" w:hanging="360"/>
      </w:pPr>
      <w:rPr>
        <w:rFonts w:ascii="Symbol" w:hAnsi="Symbol" w:hint="default"/>
      </w:rPr>
    </w:lvl>
    <w:lvl w:ilvl="1" w:tplc="32184078" w:tentative="1">
      <w:start w:val="1"/>
      <w:numFmt w:val="bullet"/>
      <w:lvlText w:val="o"/>
      <w:lvlJc w:val="left"/>
      <w:pPr>
        <w:ind w:left="1440" w:hanging="360"/>
      </w:pPr>
      <w:rPr>
        <w:rFonts w:ascii="Courier New" w:hAnsi="Courier New" w:cs="Courier New" w:hint="default"/>
      </w:rPr>
    </w:lvl>
    <w:lvl w:ilvl="2" w:tplc="C22C8754" w:tentative="1">
      <w:start w:val="1"/>
      <w:numFmt w:val="bullet"/>
      <w:lvlText w:val=""/>
      <w:lvlJc w:val="left"/>
      <w:pPr>
        <w:ind w:left="2160" w:hanging="360"/>
      </w:pPr>
      <w:rPr>
        <w:rFonts w:ascii="Wingdings" w:hAnsi="Wingdings" w:cs="Wingdings" w:hint="default"/>
      </w:rPr>
    </w:lvl>
    <w:lvl w:ilvl="3" w:tplc="21728D2A" w:tentative="1">
      <w:start w:val="1"/>
      <w:numFmt w:val="bullet"/>
      <w:lvlText w:val=""/>
      <w:lvlJc w:val="left"/>
      <w:pPr>
        <w:ind w:left="2880" w:hanging="360"/>
      </w:pPr>
      <w:rPr>
        <w:rFonts w:ascii="Symbol" w:hAnsi="Symbol" w:cs="Symbol" w:hint="default"/>
      </w:rPr>
    </w:lvl>
    <w:lvl w:ilvl="4" w:tplc="26BEA1DC" w:tentative="1">
      <w:start w:val="1"/>
      <w:numFmt w:val="bullet"/>
      <w:lvlText w:val="o"/>
      <w:lvlJc w:val="left"/>
      <w:pPr>
        <w:ind w:left="3600" w:hanging="360"/>
      </w:pPr>
      <w:rPr>
        <w:rFonts w:ascii="Courier New" w:hAnsi="Courier New" w:cs="Courier New" w:hint="default"/>
      </w:rPr>
    </w:lvl>
    <w:lvl w:ilvl="5" w:tplc="E8A8F5A6" w:tentative="1">
      <w:start w:val="1"/>
      <w:numFmt w:val="bullet"/>
      <w:lvlText w:val=""/>
      <w:lvlJc w:val="left"/>
      <w:pPr>
        <w:ind w:left="4320" w:hanging="360"/>
      </w:pPr>
      <w:rPr>
        <w:rFonts w:ascii="Wingdings" w:hAnsi="Wingdings" w:cs="Wingdings" w:hint="default"/>
      </w:rPr>
    </w:lvl>
    <w:lvl w:ilvl="6" w:tplc="68AE7A2A" w:tentative="1">
      <w:start w:val="1"/>
      <w:numFmt w:val="bullet"/>
      <w:lvlText w:val=""/>
      <w:lvlJc w:val="left"/>
      <w:pPr>
        <w:ind w:left="5040" w:hanging="360"/>
      </w:pPr>
      <w:rPr>
        <w:rFonts w:ascii="Symbol" w:hAnsi="Symbol" w:cs="Symbol" w:hint="default"/>
      </w:rPr>
    </w:lvl>
    <w:lvl w:ilvl="7" w:tplc="0AFEFDB6" w:tentative="1">
      <w:start w:val="1"/>
      <w:numFmt w:val="bullet"/>
      <w:lvlText w:val="o"/>
      <w:lvlJc w:val="left"/>
      <w:pPr>
        <w:ind w:left="5760" w:hanging="360"/>
      </w:pPr>
      <w:rPr>
        <w:rFonts w:ascii="Courier New" w:hAnsi="Courier New" w:cs="Courier New" w:hint="default"/>
      </w:rPr>
    </w:lvl>
    <w:lvl w:ilvl="8" w:tplc="D414B9EA" w:tentative="1">
      <w:start w:val="1"/>
      <w:numFmt w:val="bullet"/>
      <w:lvlText w:val=""/>
      <w:lvlJc w:val="left"/>
      <w:pPr>
        <w:ind w:left="6480" w:hanging="360"/>
      </w:pPr>
      <w:rPr>
        <w:rFonts w:ascii="Wingdings" w:hAnsi="Wingdings" w:cs="Wingdings" w:hint="default"/>
      </w:rPr>
    </w:lvl>
  </w:abstractNum>
  <w:abstractNum w:abstractNumId="13" w15:restartNumberingAfterBreak="0">
    <w:nsid w:val="62802136"/>
    <w:multiLevelType w:val="hybridMultilevel"/>
    <w:tmpl w:val="5AE80572"/>
    <w:lvl w:ilvl="0" w:tplc="E2626704">
      <w:start w:val="1"/>
      <w:numFmt w:val="bullet"/>
      <w:lvlText w:val=""/>
      <w:lvlJc w:val="left"/>
      <w:pPr>
        <w:ind w:left="720" w:hanging="360"/>
      </w:pPr>
      <w:rPr>
        <w:rFonts w:ascii="Wingdings" w:hAnsi="Wingdings" w:hint="default"/>
      </w:rPr>
    </w:lvl>
    <w:lvl w:ilvl="1" w:tplc="6226CA1E" w:tentative="1">
      <w:start w:val="1"/>
      <w:numFmt w:val="bullet"/>
      <w:lvlText w:val="o"/>
      <w:lvlJc w:val="left"/>
      <w:pPr>
        <w:ind w:left="1440" w:hanging="360"/>
      </w:pPr>
      <w:rPr>
        <w:rFonts w:ascii="Courier New" w:hAnsi="Courier New" w:cs="Courier New" w:hint="default"/>
      </w:rPr>
    </w:lvl>
    <w:lvl w:ilvl="2" w:tplc="9520716C" w:tentative="1">
      <w:start w:val="1"/>
      <w:numFmt w:val="bullet"/>
      <w:lvlText w:val=""/>
      <w:lvlJc w:val="left"/>
      <w:pPr>
        <w:ind w:left="2160" w:hanging="360"/>
      </w:pPr>
      <w:rPr>
        <w:rFonts w:ascii="Wingdings" w:hAnsi="Wingdings" w:hint="default"/>
      </w:rPr>
    </w:lvl>
    <w:lvl w:ilvl="3" w:tplc="C892134E" w:tentative="1">
      <w:start w:val="1"/>
      <w:numFmt w:val="bullet"/>
      <w:lvlText w:val=""/>
      <w:lvlJc w:val="left"/>
      <w:pPr>
        <w:ind w:left="2880" w:hanging="360"/>
      </w:pPr>
      <w:rPr>
        <w:rFonts w:ascii="Symbol" w:hAnsi="Symbol" w:hint="default"/>
      </w:rPr>
    </w:lvl>
    <w:lvl w:ilvl="4" w:tplc="01DA5DD8" w:tentative="1">
      <w:start w:val="1"/>
      <w:numFmt w:val="bullet"/>
      <w:lvlText w:val="o"/>
      <w:lvlJc w:val="left"/>
      <w:pPr>
        <w:ind w:left="3600" w:hanging="360"/>
      </w:pPr>
      <w:rPr>
        <w:rFonts w:ascii="Courier New" w:hAnsi="Courier New" w:cs="Courier New" w:hint="default"/>
      </w:rPr>
    </w:lvl>
    <w:lvl w:ilvl="5" w:tplc="80222600" w:tentative="1">
      <w:start w:val="1"/>
      <w:numFmt w:val="bullet"/>
      <w:lvlText w:val=""/>
      <w:lvlJc w:val="left"/>
      <w:pPr>
        <w:ind w:left="4320" w:hanging="360"/>
      </w:pPr>
      <w:rPr>
        <w:rFonts w:ascii="Wingdings" w:hAnsi="Wingdings" w:hint="default"/>
      </w:rPr>
    </w:lvl>
    <w:lvl w:ilvl="6" w:tplc="480085EE" w:tentative="1">
      <w:start w:val="1"/>
      <w:numFmt w:val="bullet"/>
      <w:lvlText w:val=""/>
      <w:lvlJc w:val="left"/>
      <w:pPr>
        <w:ind w:left="5040" w:hanging="360"/>
      </w:pPr>
      <w:rPr>
        <w:rFonts w:ascii="Symbol" w:hAnsi="Symbol" w:hint="default"/>
      </w:rPr>
    </w:lvl>
    <w:lvl w:ilvl="7" w:tplc="A210E5C0" w:tentative="1">
      <w:start w:val="1"/>
      <w:numFmt w:val="bullet"/>
      <w:lvlText w:val="o"/>
      <w:lvlJc w:val="left"/>
      <w:pPr>
        <w:ind w:left="5760" w:hanging="360"/>
      </w:pPr>
      <w:rPr>
        <w:rFonts w:ascii="Courier New" w:hAnsi="Courier New" w:cs="Courier New" w:hint="default"/>
      </w:rPr>
    </w:lvl>
    <w:lvl w:ilvl="8" w:tplc="BDCCBC54" w:tentative="1">
      <w:start w:val="1"/>
      <w:numFmt w:val="bullet"/>
      <w:lvlText w:val=""/>
      <w:lvlJc w:val="left"/>
      <w:pPr>
        <w:ind w:left="6480" w:hanging="360"/>
      </w:pPr>
      <w:rPr>
        <w:rFonts w:ascii="Wingdings" w:hAnsi="Wingdings" w:hint="default"/>
      </w:rPr>
    </w:lvl>
  </w:abstractNum>
  <w:abstractNum w:abstractNumId="14" w15:restartNumberingAfterBreak="0">
    <w:nsid w:val="646711CE"/>
    <w:multiLevelType w:val="hybridMultilevel"/>
    <w:tmpl w:val="4EEAE9B2"/>
    <w:lvl w:ilvl="0" w:tplc="F8686672">
      <w:start w:val="1"/>
      <w:numFmt w:val="bullet"/>
      <w:lvlText w:val=""/>
      <w:lvlJc w:val="left"/>
      <w:pPr>
        <w:ind w:left="720" w:hanging="360"/>
      </w:pPr>
      <w:rPr>
        <w:rFonts w:ascii="Wingdings" w:hAnsi="Wingdings" w:hint="default"/>
      </w:rPr>
    </w:lvl>
    <w:lvl w:ilvl="1" w:tplc="893EA21E" w:tentative="1">
      <w:start w:val="1"/>
      <w:numFmt w:val="bullet"/>
      <w:lvlText w:val="o"/>
      <w:lvlJc w:val="left"/>
      <w:pPr>
        <w:ind w:left="1440" w:hanging="360"/>
      </w:pPr>
      <w:rPr>
        <w:rFonts w:ascii="Courier New" w:hAnsi="Courier New" w:cs="Courier New" w:hint="default"/>
      </w:rPr>
    </w:lvl>
    <w:lvl w:ilvl="2" w:tplc="FC725B40" w:tentative="1">
      <w:start w:val="1"/>
      <w:numFmt w:val="bullet"/>
      <w:lvlText w:val=""/>
      <w:lvlJc w:val="left"/>
      <w:pPr>
        <w:ind w:left="2160" w:hanging="360"/>
      </w:pPr>
      <w:rPr>
        <w:rFonts w:ascii="Wingdings" w:hAnsi="Wingdings" w:hint="default"/>
      </w:rPr>
    </w:lvl>
    <w:lvl w:ilvl="3" w:tplc="23C6CAC0" w:tentative="1">
      <w:start w:val="1"/>
      <w:numFmt w:val="bullet"/>
      <w:lvlText w:val=""/>
      <w:lvlJc w:val="left"/>
      <w:pPr>
        <w:ind w:left="2880" w:hanging="360"/>
      </w:pPr>
      <w:rPr>
        <w:rFonts w:ascii="Symbol" w:hAnsi="Symbol" w:hint="default"/>
      </w:rPr>
    </w:lvl>
    <w:lvl w:ilvl="4" w:tplc="A65C9074" w:tentative="1">
      <w:start w:val="1"/>
      <w:numFmt w:val="bullet"/>
      <w:lvlText w:val="o"/>
      <w:lvlJc w:val="left"/>
      <w:pPr>
        <w:ind w:left="3600" w:hanging="360"/>
      </w:pPr>
      <w:rPr>
        <w:rFonts w:ascii="Courier New" w:hAnsi="Courier New" w:cs="Courier New" w:hint="default"/>
      </w:rPr>
    </w:lvl>
    <w:lvl w:ilvl="5" w:tplc="533C7FA6" w:tentative="1">
      <w:start w:val="1"/>
      <w:numFmt w:val="bullet"/>
      <w:lvlText w:val=""/>
      <w:lvlJc w:val="left"/>
      <w:pPr>
        <w:ind w:left="4320" w:hanging="360"/>
      </w:pPr>
      <w:rPr>
        <w:rFonts w:ascii="Wingdings" w:hAnsi="Wingdings" w:hint="default"/>
      </w:rPr>
    </w:lvl>
    <w:lvl w:ilvl="6" w:tplc="9B9E7B1C" w:tentative="1">
      <w:start w:val="1"/>
      <w:numFmt w:val="bullet"/>
      <w:lvlText w:val=""/>
      <w:lvlJc w:val="left"/>
      <w:pPr>
        <w:ind w:left="5040" w:hanging="360"/>
      </w:pPr>
      <w:rPr>
        <w:rFonts w:ascii="Symbol" w:hAnsi="Symbol" w:hint="default"/>
      </w:rPr>
    </w:lvl>
    <w:lvl w:ilvl="7" w:tplc="769263E2" w:tentative="1">
      <w:start w:val="1"/>
      <w:numFmt w:val="bullet"/>
      <w:lvlText w:val="o"/>
      <w:lvlJc w:val="left"/>
      <w:pPr>
        <w:ind w:left="5760" w:hanging="360"/>
      </w:pPr>
      <w:rPr>
        <w:rFonts w:ascii="Courier New" w:hAnsi="Courier New" w:cs="Courier New" w:hint="default"/>
      </w:rPr>
    </w:lvl>
    <w:lvl w:ilvl="8" w:tplc="529A6C1E" w:tentative="1">
      <w:start w:val="1"/>
      <w:numFmt w:val="bullet"/>
      <w:lvlText w:val=""/>
      <w:lvlJc w:val="left"/>
      <w:pPr>
        <w:ind w:left="6480" w:hanging="360"/>
      </w:pPr>
      <w:rPr>
        <w:rFonts w:ascii="Wingdings" w:hAnsi="Wingdings" w:hint="default"/>
      </w:rPr>
    </w:lvl>
  </w:abstractNum>
  <w:abstractNum w:abstractNumId="15" w15:restartNumberingAfterBreak="0">
    <w:nsid w:val="6D110177"/>
    <w:multiLevelType w:val="hybridMultilevel"/>
    <w:tmpl w:val="D2909B16"/>
    <w:lvl w:ilvl="0" w:tplc="F3906F20">
      <w:start w:val="1"/>
      <w:numFmt w:val="bullet"/>
      <w:lvlText w:val=""/>
      <w:lvlJc w:val="left"/>
      <w:pPr>
        <w:ind w:left="720" w:hanging="360"/>
      </w:pPr>
      <w:rPr>
        <w:rFonts w:ascii="Symbol" w:hAnsi="Symbol" w:hint="default"/>
      </w:rPr>
    </w:lvl>
    <w:lvl w:ilvl="1" w:tplc="92206EE6" w:tentative="1">
      <w:start w:val="1"/>
      <w:numFmt w:val="bullet"/>
      <w:lvlText w:val="o"/>
      <w:lvlJc w:val="left"/>
      <w:pPr>
        <w:ind w:left="1440" w:hanging="360"/>
      </w:pPr>
      <w:rPr>
        <w:rFonts w:ascii="Courier New" w:hAnsi="Courier New" w:cs="Courier New" w:hint="default"/>
      </w:rPr>
    </w:lvl>
    <w:lvl w:ilvl="2" w:tplc="0636B432" w:tentative="1">
      <w:start w:val="1"/>
      <w:numFmt w:val="bullet"/>
      <w:lvlText w:val=""/>
      <w:lvlJc w:val="left"/>
      <w:pPr>
        <w:ind w:left="2160" w:hanging="360"/>
      </w:pPr>
      <w:rPr>
        <w:rFonts w:ascii="Wingdings" w:hAnsi="Wingdings" w:hint="default"/>
      </w:rPr>
    </w:lvl>
    <w:lvl w:ilvl="3" w:tplc="715C6D72" w:tentative="1">
      <w:start w:val="1"/>
      <w:numFmt w:val="bullet"/>
      <w:lvlText w:val=""/>
      <w:lvlJc w:val="left"/>
      <w:pPr>
        <w:ind w:left="2880" w:hanging="360"/>
      </w:pPr>
      <w:rPr>
        <w:rFonts w:ascii="Symbol" w:hAnsi="Symbol" w:hint="default"/>
      </w:rPr>
    </w:lvl>
    <w:lvl w:ilvl="4" w:tplc="4614EDCA" w:tentative="1">
      <w:start w:val="1"/>
      <w:numFmt w:val="bullet"/>
      <w:lvlText w:val="o"/>
      <w:lvlJc w:val="left"/>
      <w:pPr>
        <w:ind w:left="3600" w:hanging="360"/>
      </w:pPr>
      <w:rPr>
        <w:rFonts w:ascii="Courier New" w:hAnsi="Courier New" w:cs="Courier New" w:hint="default"/>
      </w:rPr>
    </w:lvl>
    <w:lvl w:ilvl="5" w:tplc="0E02E932" w:tentative="1">
      <w:start w:val="1"/>
      <w:numFmt w:val="bullet"/>
      <w:lvlText w:val=""/>
      <w:lvlJc w:val="left"/>
      <w:pPr>
        <w:ind w:left="4320" w:hanging="360"/>
      </w:pPr>
      <w:rPr>
        <w:rFonts w:ascii="Wingdings" w:hAnsi="Wingdings" w:hint="default"/>
      </w:rPr>
    </w:lvl>
    <w:lvl w:ilvl="6" w:tplc="D1F6539E" w:tentative="1">
      <w:start w:val="1"/>
      <w:numFmt w:val="bullet"/>
      <w:lvlText w:val=""/>
      <w:lvlJc w:val="left"/>
      <w:pPr>
        <w:ind w:left="5040" w:hanging="360"/>
      </w:pPr>
      <w:rPr>
        <w:rFonts w:ascii="Symbol" w:hAnsi="Symbol" w:hint="default"/>
      </w:rPr>
    </w:lvl>
    <w:lvl w:ilvl="7" w:tplc="54A00E88" w:tentative="1">
      <w:start w:val="1"/>
      <w:numFmt w:val="bullet"/>
      <w:lvlText w:val="o"/>
      <w:lvlJc w:val="left"/>
      <w:pPr>
        <w:ind w:left="5760" w:hanging="360"/>
      </w:pPr>
      <w:rPr>
        <w:rFonts w:ascii="Courier New" w:hAnsi="Courier New" w:cs="Courier New" w:hint="default"/>
      </w:rPr>
    </w:lvl>
    <w:lvl w:ilvl="8" w:tplc="F75C4DF0" w:tentative="1">
      <w:start w:val="1"/>
      <w:numFmt w:val="bullet"/>
      <w:lvlText w:val=""/>
      <w:lvlJc w:val="left"/>
      <w:pPr>
        <w:ind w:left="6480" w:hanging="360"/>
      </w:pPr>
      <w:rPr>
        <w:rFonts w:ascii="Wingdings" w:hAnsi="Wingdings" w:hint="default"/>
      </w:rPr>
    </w:lvl>
  </w:abstractNum>
  <w:abstractNum w:abstractNumId="16" w15:restartNumberingAfterBreak="0">
    <w:nsid w:val="6D3B345E"/>
    <w:multiLevelType w:val="hybridMultilevel"/>
    <w:tmpl w:val="9A924056"/>
    <w:lvl w:ilvl="0" w:tplc="8304AF06">
      <w:start w:val="1"/>
      <w:numFmt w:val="decimal"/>
      <w:lvlText w:val="%1."/>
      <w:lvlJc w:val="left"/>
      <w:pPr>
        <w:ind w:left="720" w:hanging="360"/>
      </w:pPr>
      <w:rPr>
        <w:rFonts w:hint="default"/>
      </w:rPr>
    </w:lvl>
    <w:lvl w:ilvl="1" w:tplc="ED68455E" w:tentative="1">
      <w:start w:val="1"/>
      <w:numFmt w:val="lowerLetter"/>
      <w:lvlText w:val="%2."/>
      <w:lvlJc w:val="left"/>
      <w:pPr>
        <w:ind w:left="1440" w:hanging="360"/>
      </w:pPr>
    </w:lvl>
    <w:lvl w:ilvl="2" w:tplc="9CBC6FAE" w:tentative="1">
      <w:start w:val="1"/>
      <w:numFmt w:val="lowerRoman"/>
      <w:lvlText w:val="%3."/>
      <w:lvlJc w:val="right"/>
      <w:pPr>
        <w:ind w:left="2160" w:hanging="180"/>
      </w:pPr>
    </w:lvl>
    <w:lvl w:ilvl="3" w:tplc="E7FC5342" w:tentative="1">
      <w:start w:val="1"/>
      <w:numFmt w:val="decimal"/>
      <w:lvlText w:val="%4."/>
      <w:lvlJc w:val="left"/>
      <w:pPr>
        <w:ind w:left="2880" w:hanging="360"/>
      </w:pPr>
    </w:lvl>
    <w:lvl w:ilvl="4" w:tplc="84E493E2" w:tentative="1">
      <w:start w:val="1"/>
      <w:numFmt w:val="lowerLetter"/>
      <w:lvlText w:val="%5."/>
      <w:lvlJc w:val="left"/>
      <w:pPr>
        <w:ind w:left="3600" w:hanging="360"/>
      </w:pPr>
    </w:lvl>
    <w:lvl w:ilvl="5" w:tplc="CC508FD4" w:tentative="1">
      <w:start w:val="1"/>
      <w:numFmt w:val="lowerRoman"/>
      <w:lvlText w:val="%6."/>
      <w:lvlJc w:val="right"/>
      <w:pPr>
        <w:ind w:left="4320" w:hanging="180"/>
      </w:pPr>
    </w:lvl>
    <w:lvl w:ilvl="6" w:tplc="4468A4F8" w:tentative="1">
      <w:start w:val="1"/>
      <w:numFmt w:val="decimal"/>
      <w:lvlText w:val="%7."/>
      <w:lvlJc w:val="left"/>
      <w:pPr>
        <w:ind w:left="5040" w:hanging="360"/>
      </w:pPr>
    </w:lvl>
    <w:lvl w:ilvl="7" w:tplc="4D3441C8" w:tentative="1">
      <w:start w:val="1"/>
      <w:numFmt w:val="lowerLetter"/>
      <w:lvlText w:val="%8."/>
      <w:lvlJc w:val="left"/>
      <w:pPr>
        <w:ind w:left="5760" w:hanging="360"/>
      </w:pPr>
    </w:lvl>
    <w:lvl w:ilvl="8" w:tplc="F0D47686" w:tentative="1">
      <w:start w:val="1"/>
      <w:numFmt w:val="lowerRoman"/>
      <w:lvlText w:val="%9."/>
      <w:lvlJc w:val="right"/>
      <w:pPr>
        <w:ind w:left="6480" w:hanging="180"/>
      </w:pPr>
    </w:lvl>
  </w:abstractNum>
  <w:abstractNum w:abstractNumId="17" w15:restartNumberingAfterBreak="0">
    <w:nsid w:val="7ABC5880"/>
    <w:multiLevelType w:val="hybridMultilevel"/>
    <w:tmpl w:val="D2464D5A"/>
    <w:lvl w:ilvl="0" w:tplc="09DC78D6">
      <w:start w:val="1"/>
      <w:numFmt w:val="bullet"/>
      <w:lvlText w:val=""/>
      <w:lvlJc w:val="left"/>
      <w:pPr>
        <w:ind w:left="720" w:hanging="360"/>
      </w:pPr>
      <w:rPr>
        <w:rFonts w:ascii="Wingdings" w:hAnsi="Wingdings" w:hint="default"/>
      </w:rPr>
    </w:lvl>
    <w:lvl w:ilvl="1" w:tplc="228472B6" w:tentative="1">
      <w:start w:val="1"/>
      <w:numFmt w:val="bullet"/>
      <w:lvlText w:val="o"/>
      <w:lvlJc w:val="left"/>
      <w:pPr>
        <w:ind w:left="1440" w:hanging="360"/>
      </w:pPr>
      <w:rPr>
        <w:rFonts w:ascii="Courier New" w:hAnsi="Courier New" w:cs="Courier New" w:hint="default"/>
      </w:rPr>
    </w:lvl>
    <w:lvl w:ilvl="2" w:tplc="28E44088" w:tentative="1">
      <w:start w:val="1"/>
      <w:numFmt w:val="bullet"/>
      <w:lvlText w:val=""/>
      <w:lvlJc w:val="left"/>
      <w:pPr>
        <w:ind w:left="2160" w:hanging="360"/>
      </w:pPr>
      <w:rPr>
        <w:rFonts w:ascii="Wingdings" w:hAnsi="Wingdings" w:cs="Wingdings" w:hint="default"/>
      </w:rPr>
    </w:lvl>
    <w:lvl w:ilvl="3" w:tplc="37424E7E" w:tentative="1">
      <w:start w:val="1"/>
      <w:numFmt w:val="bullet"/>
      <w:lvlText w:val=""/>
      <w:lvlJc w:val="left"/>
      <w:pPr>
        <w:ind w:left="2880" w:hanging="360"/>
      </w:pPr>
      <w:rPr>
        <w:rFonts w:ascii="Symbol" w:hAnsi="Symbol" w:cs="Symbol" w:hint="default"/>
      </w:rPr>
    </w:lvl>
    <w:lvl w:ilvl="4" w:tplc="95F8CDA0" w:tentative="1">
      <w:start w:val="1"/>
      <w:numFmt w:val="bullet"/>
      <w:lvlText w:val="o"/>
      <w:lvlJc w:val="left"/>
      <w:pPr>
        <w:ind w:left="3600" w:hanging="360"/>
      </w:pPr>
      <w:rPr>
        <w:rFonts w:ascii="Courier New" w:hAnsi="Courier New" w:cs="Courier New" w:hint="default"/>
      </w:rPr>
    </w:lvl>
    <w:lvl w:ilvl="5" w:tplc="E9527BDE" w:tentative="1">
      <w:start w:val="1"/>
      <w:numFmt w:val="bullet"/>
      <w:lvlText w:val=""/>
      <w:lvlJc w:val="left"/>
      <w:pPr>
        <w:ind w:left="4320" w:hanging="360"/>
      </w:pPr>
      <w:rPr>
        <w:rFonts w:ascii="Wingdings" w:hAnsi="Wingdings" w:cs="Wingdings" w:hint="default"/>
      </w:rPr>
    </w:lvl>
    <w:lvl w:ilvl="6" w:tplc="7D6AE934" w:tentative="1">
      <w:start w:val="1"/>
      <w:numFmt w:val="bullet"/>
      <w:lvlText w:val=""/>
      <w:lvlJc w:val="left"/>
      <w:pPr>
        <w:ind w:left="5040" w:hanging="360"/>
      </w:pPr>
      <w:rPr>
        <w:rFonts w:ascii="Symbol" w:hAnsi="Symbol" w:cs="Symbol" w:hint="default"/>
      </w:rPr>
    </w:lvl>
    <w:lvl w:ilvl="7" w:tplc="20A00C2A" w:tentative="1">
      <w:start w:val="1"/>
      <w:numFmt w:val="bullet"/>
      <w:lvlText w:val="o"/>
      <w:lvlJc w:val="left"/>
      <w:pPr>
        <w:ind w:left="5760" w:hanging="360"/>
      </w:pPr>
      <w:rPr>
        <w:rFonts w:ascii="Courier New" w:hAnsi="Courier New" w:cs="Courier New" w:hint="default"/>
      </w:rPr>
    </w:lvl>
    <w:lvl w:ilvl="8" w:tplc="E272AB80" w:tentative="1">
      <w:start w:val="1"/>
      <w:numFmt w:val="bullet"/>
      <w:lvlText w:val=""/>
      <w:lvlJc w:val="left"/>
      <w:pPr>
        <w:ind w:left="6480" w:hanging="360"/>
      </w:pPr>
      <w:rPr>
        <w:rFonts w:ascii="Wingdings" w:hAnsi="Wingdings" w:cs="Wingdings" w:hint="default"/>
      </w:rPr>
    </w:lvl>
  </w:abstractNum>
  <w:abstractNum w:abstractNumId="18" w15:restartNumberingAfterBreak="0">
    <w:nsid w:val="7F0C452D"/>
    <w:multiLevelType w:val="hybridMultilevel"/>
    <w:tmpl w:val="2828CEF8"/>
    <w:lvl w:ilvl="0" w:tplc="4CE2F2BA">
      <w:start w:val="1"/>
      <w:numFmt w:val="bullet"/>
      <w:lvlText w:val=""/>
      <w:lvlJc w:val="left"/>
      <w:pPr>
        <w:ind w:left="1872" w:hanging="360"/>
      </w:pPr>
      <w:rPr>
        <w:rFonts w:ascii="Symbol" w:hAnsi="Symbol" w:hint="default"/>
      </w:rPr>
    </w:lvl>
    <w:lvl w:ilvl="1" w:tplc="507620B8" w:tentative="1">
      <w:start w:val="1"/>
      <w:numFmt w:val="bullet"/>
      <w:lvlText w:val="o"/>
      <w:lvlJc w:val="left"/>
      <w:pPr>
        <w:ind w:left="2592" w:hanging="360"/>
      </w:pPr>
      <w:rPr>
        <w:rFonts w:ascii="Courier New" w:hAnsi="Courier New" w:cs="Courier New" w:hint="default"/>
      </w:rPr>
    </w:lvl>
    <w:lvl w:ilvl="2" w:tplc="AB0678DA" w:tentative="1">
      <w:start w:val="1"/>
      <w:numFmt w:val="bullet"/>
      <w:lvlText w:val=""/>
      <w:lvlJc w:val="left"/>
      <w:pPr>
        <w:ind w:left="3312" w:hanging="360"/>
      </w:pPr>
      <w:rPr>
        <w:rFonts w:ascii="Wingdings" w:hAnsi="Wingdings" w:hint="default"/>
      </w:rPr>
    </w:lvl>
    <w:lvl w:ilvl="3" w:tplc="A9F6C144" w:tentative="1">
      <w:start w:val="1"/>
      <w:numFmt w:val="bullet"/>
      <w:lvlText w:val=""/>
      <w:lvlJc w:val="left"/>
      <w:pPr>
        <w:ind w:left="4032" w:hanging="360"/>
      </w:pPr>
      <w:rPr>
        <w:rFonts w:ascii="Symbol" w:hAnsi="Symbol" w:hint="default"/>
      </w:rPr>
    </w:lvl>
    <w:lvl w:ilvl="4" w:tplc="ED50A588" w:tentative="1">
      <w:start w:val="1"/>
      <w:numFmt w:val="bullet"/>
      <w:lvlText w:val="o"/>
      <w:lvlJc w:val="left"/>
      <w:pPr>
        <w:ind w:left="4752" w:hanging="360"/>
      </w:pPr>
      <w:rPr>
        <w:rFonts w:ascii="Courier New" w:hAnsi="Courier New" w:cs="Courier New" w:hint="default"/>
      </w:rPr>
    </w:lvl>
    <w:lvl w:ilvl="5" w:tplc="F4BA07CA" w:tentative="1">
      <w:start w:val="1"/>
      <w:numFmt w:val="bullet"/>
      <w:lvlText w:val=""/>
      <w:lvlJc w:val="left"/>
      <w:pPr>
        <w:ind w:left="5472" w:hanging="360"/>
      </w:pPr>
      <w:rPr>
        <w:rFonts w:ascii="Wingdings" w:hAnsi="Wingdings" w:hint="default"/>
      </w:rPr>
    </w:lvl>
    <w:lvl w:ilvl="6" w:tplc="22C072A6" w:tentative="1">
      <w:start w:val="1"/>
      <w:numFmt w:val="bullet"/>
      <w:lvlText w:val=""/>
      <w:lvlJc w:val="left"/>
      <w:pPr>
        <w:ind w:left="6192" w:hanging="360"/>
      </w:pPr>
      <w:rPr>
        <w:rFonts w:ascii="Symbol" w:hAnsi="Symbol" w:hint="default"/>
      </w:rPr>
    </w:lvl>
    <w:lvl w:ilvl="7" w:tplc="BED8FF68" w:tentative="1">
      <w:start w:val="1"/>
      <w:numFmt w:val="bullet"/>
      <w:lvlText w:val="o"/>
      <w:lvlJc w:val="left"/>
      <w:pPr>
        <w:ind w:left="6912" w:hanging="360"/>
      </w:pPr>
      <w:rPr>
        <w:rFonts w:ascii="Courier New" w:hAnsi="Courier New" w:cs="Courier New" w:hint="default"/>
      </w:rPr>
    </w:lvl>
    <w:lvl w:ilvl="8" w:tplc="DD56DBAA" w:tentative="1">
      <w:start w:val="1"/>
      <w:numFmt w:val="bullet"/>
      <w:lvlText w:val=""/>
      <w:lvlJc w:val="left"/>
      <w:pPr>
        <w:ind w:left="7632" w:hanging="360"/>
      </w:pPr>
      <w:rPr>
        <w:rFonts w:ascii="Wingdings" w:hAnsi="Wingdings" w:hint="default"/>
      </w:rPr>
    </w:lvl>
  </w:abstractNum>
  <w:abstractNum w:abstractNumId="19" w15:restartNumberingAfterBreak="0">
    <w:nsid w:val="7FCF744D"/>
    <w:multiLevelType w:val="hybridMultilevel"/>
    <w:tmpl w:val="80BAE4DA"/>
    <w:lvl w:ilvl="0" w:tplc="60481E96">
      <w:start w:val="1"/>
      <w:numFmt w:val="bullet"/>
      <w:lvlText w:val=""/>
      <w:lvlJc w:val="left"/>
      <w:pPr>
        <w:ind w:left="720" w:hanging="360"/>
      </w:pPr>
      <w:rPr>
        <w:rFonts w:ascii="Symbol" w:hAnsi="Symbol" w:hint="default"/>
      </w:rPr>
    </w:lvl>
    <w:lvl w:ilvl="1" w:tplc="E842EB04" w:tentative="1">
      <w:start w:val="1"/>
      <w:numFmt w:val="bullet"/>
      <w:lvlText w:val="o"/>
      <w:lvlJc w:val="left"/>
      <w:pPr>
        <w:ind w:left="1440" w:hanging="360"/>
      </w:pPr>
      <w:rPr>
        <w:rFonts w:ascii="Courier New" w:hAnsi="Courier New" w:cs="Courier New" w:hint="default"/>
      </w:rPr>
    </w:lvl>
    <w:lvl w:ilvl="2" w:tplc="94749B86" w:tentative="1">
      <w:start w:val="1"/>
      <w:numFmt w:val="bullet"/>
      <w:lvlText w:val=""/>
      <w:lvlJc w:val="left"/>
      <w:pPr>
        <w:ind w:left="2160" w:hanging="360"/>
      </w:pPr>
      <w:rPr>
        <w:rFonts w:ascii="Wingdings" w:hAnsi="Wingdings" w:cs="Wingdings" w:hint="default"/>
      </w:rPr>
    </w:lvl>
    <w:lvl w:ilvl="3" w:tplc="FC2CD3DC" w:tentative="1">
      <w:start w:val="1"/>
      <w:numFmt w:val="bullet"/>
      <w:lvlText w:val=""/>
      <w:lvlJc w:val="left"/>
      <w:pPr>
        <w:ind w:left="2880" w:hanging="360"/>
      </w:pPr>
      <w:rPr>
        <w:rFonts w:ascii="Symbol" w:hAnsi="Symbol" w:cs="Symbol" w:hint="default"/>
      </w:rPr>
    </w:lvl>
    <w:lvl w:ilvl="4" w:tplc="269C7342" w:tentative="1">
      <w:start w:val="1"/>
      <w:numFmt w:val="bullet"/>
      <w:lvlText w:val="o"/>
      <w:lvlJc w:val="left"/>
      <w:pPr>
        <w:ind w:left="3600" w:hanging="360"/>
      </w:pPr>
      <w:rPr>
        <w:rFonts w:ascii="Courier New" w:hAnsi="Courier New" w:cs="Courier New" w:hint="default"/>
      </w:rPr>
    </w:lvl>
    <w:lvl w:ilvl="5" w:tplc="1826ECE6" w:tentative="1">
      <w:start w:val="1"/>
      <w:numFmt w:val="bullet"/>
      <w:lvlText w:val=""/>
      <w:lvlJc w:val="left"/>
      <w:pPr>
        <w:ind w:left="4320" w:hanging="360"/>
      </w:pPr>
      <w:rPr>
        <w:rFonts w:ascii="Wingdings" w:hAnsi="Wingdings" w:cs="Wingdings" w:hint="default"/>
      </w:rPr>
    </w:lvl>
    <w:lvl w:ilvl="6" w:tplc="BD423044" w:tentative="1">
      <w:start w:val="1"/>
      <w:numFmt w:val="bullet"/>
      <w:lvlText w:val=""/>
      <w:lvlJc w:val="left"/>
      <w:pPr>
        <w:ind w:left="5040" w:hanging="360"/>
      </w:pPr>
      <w:rPr>
        <w:rFonts w:ascii="Symbol" w:hAnsi="Symbol" w:cs="Symbol" w:hint="default"/>
      </w:rPr>
    </w:lvl>
    <w:lvl w:ilvl="7" w:tplc="12B88CD2" w:tentative="1">
      <w:start w:val="1"/>
      <w:numFmt w:val="bullet"/>
      <w:lvlText w:val="o"/>
      <w:lvlJc w:val="left"/>
      <w:pPr>
        <w:ind w:left="5760" w:hanging="360"/>
      </w:pPr>
      <w:rPr>
        <w:rFonts w:ascii="Courier New" w:hAnsi="Courier New" w:cs="Courier New" w:hint="default"/>
      </w:rPr>
    </w:lvl>
    <w:lvl w:ilvl="8" w:tplc="EC6A2022" w:tentative="1">
      <w:start w:val="1"/>
      <w:numFmt w:val="bullet"/>
      <w:lvlText w:val=""/>
      <w:lvlJc w:val="left"/>
      <w:pPr>
        <w:ind w:left="6480" w:hanging="360"/>
      </w:pPr>
      <w:rPr>
        <w:rFonts w:ascii="Wingdings" w:hAnsi="Wingdings" w:cs="Wingdings" w:hint="default"/>
      </w:rPr>
    </w:lvl>
  </w:abstractNum>
  <w:num w:numId="1">
    <w:abstractNumId w:val="16"/>
  </w:num>
  <w:num w:numId="2">
    <w:abstractNumId w:val="11"/>
  </w:num>
  <w:num w:numId="3">
    <w:abstractNumId w:val="6"/>
  </w:num>
  <w:num w:numId="4">
    <w:abstractNumId w:val="12"/>
  </w:num>
  <w:num w:numId="5">
    <w:abstractNumId w:val="9"/>
  </w:num>
  <w:num w:numId="6">
    <w:abstractNumId w:val="19"/>
  </w:num>
  <w:num w:numId="7">
    <w:abstractNumId w:val="4"/>
  </w:num>
  <w:num w:numId="8">
    <w:abstractNumId w:val="7"/>
  </w:num>
  <w:num w:numId="9">
    <w:abstractNumId w:val="0"/>
  </w:num>
  <w:num w:numId="10">
    <w:abstractNumId w:val="17"/>
  </w:num>
  <w:num w:numId="11">
    <w:abstractNumId w:val="13"/>
  </w:num>
  <w:num w:numId="12">
    <w:abstractNumId w:val="14"/>
  </w:num>
  <w:num w:numId="13">
    <w:abstractNumId w:val="18"/>
  </w:num>
  <w:num w:numId="14">
    <w:abstractNumId w:val="1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3"/>
  </w:num>
  <w:num w:numId="18">
    <w:abstractNumId w:val="14"/>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4A0"/>
    <w:rsid w:val="0009286A"/>
    <w:rsid w:val="004C04A0"/>
    <w:rsid w:val="00522D0D"/>
    <w:rsid w:val="00567437"/>
    <w:rsid w:val="0074309F"/>
    <w:rsid w:val="00F715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6FA75"/>
  <w15:chartTrackingRefBased/>
  <w15:docId w15:val="{263D6A4B-124E-48DF-BF01-68FC593CE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470"/>
    <w:rPr>
      <w:lang w:val="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564D5E"/>
    <w:pPr>
      <w:ind w:left="720"/>
      <w:contextualSpacing/>
    </w:pPr>
  </w:style>
  <w:style w:type="paragraph" w:styleId="Cabealho">
    <w:name w:val="header"/>
    <w:basedOn w:val="Normal"/>
    <w:link w:val="CabealhoCarter"/>
    <w:uiPriority w:val="99"/>
    <w:unhideWhenUsed/>
    <w:rsid w:val="00012C6A"/>
    <w:pPr>
      <w:tabs>
        <w:tab w:val="center" w:pos="4513"/>
        <w:tab w:val="right" w:pos="9026"/>
      </w:tabs>
      <w:spacing w:after="0" w:line="240" w:lineRule="auto"/>
    </w:pPr>
  </w:style>
  <w:style w:type="character" w:customStyle="1" w:styleId="CabealhoCarter">
    <w:name w:val="Cabeçalho Caráter"/>
    <w:basedOn w:val="Tipodeletrapredefinidodopargrafo"/>
    <w:link w:val="Cabealho"/>
    <w:uiPriority w:val="99"/>
    <w:rsid w:val="00012C6A"/>
    <w:rPr>
      <w:lang w:val="es-ES"/>
    </w:rPr>
  </w:style>
  <w:style w:type="paragraph" w:styleId="Rodap">
    <w:name w:val="footer"/>
    <w:basedOn w:val="Normal"/>
    <w:link w:val="RodapCarter"/>
    <w:uiPriority w:val="99"/>
    <w:unhideWhenUsed/>
    <w:rsid w:val="00012C6A"/>
    <w:pPr>
      <w:tabs>
        <w:tab w:val="center" w:pos="4513"/>
        <w:tab w:val="right" w:pos="9026"/>
      </w:tabs>
      <w:spacing w:after="0" w:line="240" w:lineRule="auto"/>
    </w:pPr>
  </w:style>
  <w:style w:type="character" w:customStyle="1" w:styleId="RodapCarter">
    <w:name w:val="Rodapé Caráter"/>
    <w:basedOn w:val="Tipodeletrapredefinidodopargrafo"/>
    <w:link w:val="Rodap"/>
    <w:uiPriority w:val="99"/>
    <w:rsid w:val="00012C6A"/>
    <w:rPr>
      <w:lang w:val="es-ES"/>
    </w:rPr>
  </w:style>
  <w:style w:type="character" w:styleId="Hiperligao">
    <w:name w:val="Hyperlink"/>
    <w:basedOn w:val="Tipodeletrapredefinidodopargrafo"/>
    <w:uiPriority w:val="99"/>
    <w:unhideWhenUsed/>
    <w:rsid w:val="001A2210"/>
    <w:rPr>
      <w:color w:val="0563C1" w:themeColor="hyperlink"/>
      <w:u w:val="single"/>
    </w:rPr>
  </w:style>
  <w:style w:type="character" w:styleId="Hiperligaovisitada">
    <w:name w:val="FollowedHyperlink"/>
    <w:basedOn w:val="Tipodeletrapredefinidodopargrafo"/>
    <w:uiPriority w:val="99"/>
    <w:semiHidden/>
    <w:unhideWhenUsed/>
    <w:rsid w:val="001A2210"/>
    <w:rPr>
      <w:color w:val="954F72" w:themeColor="followedHyperlink"/>
      <w:u w:val="single"/>
    </w:rPr>
  </w:style>
  <w:style w:type="character" w:customStyle="1" w:styleId="MenoNoResolvida1">
    <w:name w:val="Menção Não Resolvida1"/>
    <w:basedOn w:val="Tipodeletrapredefinidodopargrafo"/>
    <w:uiPriority w:val="99"/>
    <w:semiHidden/>
    <w:unhideWhenUsed/>
    <w:rsid w:val="00F37EAA"/>
    <w:rPr>
      <w:color w:val="605E5C"/>
      <w:shd w:val="clear" w:color="auto" w:fill="E1DFDD"/>
    </w:rPr>
  </w:style>
  <w:style w:type="paragraph" w:styleId="Textodenotaderodap">
    <w:name w:val="footnote text"/>
    <w:basedOn w:val="Normal"/>
    <w:link w:val="TextodenotaderodapCarter"/>
    <w:uiPriority w:val="99"/>
    <w:semiHidden/>
    <w:unhideWhenUsed/>
    <w:rsid w:val="000F3081"/>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0F3081"/>
    <w:rPr>
      <w:sz w:val="20"/>
      <w:szCs w:val="20"/>
      <w:lang w:val="es-ES"/>
    </w:rPr>
  </w:style>
  <w:style w:type="character" w:styleId="Refdenotaderodap">
    <w:name w:val="footnote reference"/>
    <w:basedOn w:val="Tipodeletrapredefinidodopargrafo"/>
    <w:uiPriority w:val="99"/>
    <w:semiHidden/>
    <w:unhideWhenUsed/>
    <w:rsid w:val="000F3081"/>
    <w:rPr>
      <w:vertAlign w:val="superscript"/>
    </w:rPr>
  </w:style>
  <w:style w:type="paragraph" w:styleId="Textodebalo">
    <w:name w:val="Balloon Text"/>
    <w:basedOn w:val="Normal"/>
    <w:link w:val="TextodebaloCarter"/>
    <w:uiPriority w:val="99"/>
    <w:semiHidden/>
    <w:unhideWhenUsed/>
    <w:rsid w:val="00264B16"/>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264B16"/>
    <w:rPr>
      <w:rFonts w:ascii="Segoe UI" w:hAnsi="Segoe UI" w:cs="Segoe UI"/>
      <w:sz w:val="18"/>
      <w:szCs w:val="18"/>
      <w:lang w:val="es-ES"/>
    </w:rPr>
  </w:style>
  <w:style w:type="character" w:styleId="Forte">
    <w:name w:val="Strong"/>
    <w:basedOn w:val="Tipodeletrapredefinidodopargrafo"/>
    <w:uiPriority w:val="22"/>
    <w:qFormat/>
    <w:rsid w:val="002A7CAA"/>
    <w:rPr>
      <w:b/>
      <w:bCs/>
    </w:rPr>
  </w:style>
  <w:style w:type="paragraph" w:customStyle="1" w:styleId="Test">
    <w:name w:val="Test!"/>
    <w:basedOn w:val="Normal"/>
    <w:rsid w:val="002A7C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lang w:val="en-GB"/>
    </w:rPr>
  </w:style>
  <w:style w:type="character" w:styleId="Refdecomentrio">
    <w:name w:val="annotation reference"/>
    <w:basedOn w:val="Tipodeletrapredefinidodopargrafo"/>
    <w:uiPriority w:val="99"/>
    <w:semiHidden/>
    <w:unhideWhenUsed/>
    <w:rsid w:val="00DD206B"/>
    <w:rPr>
      <w:sz w:val="16"/>
      <w:szCs w:val="16"/>
    </w:rPr>
  </w:style>
  <w:style w:type="paragraph" w:styleId="Textodecomentrio">
    <w:name w:val="annotation text"/>
    <w:basedOn w:val="Normal"/>
    <w:link w:val="TextodecomentrioCarter"/>
    <w:uiPriority w:val="99"/>
    <w:semiHidden/>
    <w:unhideWhenUsed/>
    <w:rsid w:val="00DD206B"/>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DD206B"/>
    <w:rPr>
      <w:sz w:val="20"/>
      <w:szCs w:val="20"/>
      <w:lang w:val="es-ES"/>
    </w:rPr>
  </w:style>
  <w:style w:type="paragraph" w:styleId="Assuntodecomentrio">
    <w:name w:val="annotation subject"/>
    <w:basedOn w:val="Textodecomentrio"/>
    <w:next w:val="Textodecomentrio"/>
    <w:link w:val="AssuntodecomentrioCarter"/>
    <w:uiPriority w:val="99"/>
    <w:semiHidden/>
    <w:unhideWhenUsed/>
    <w:rsid w:val="00DD206B"/>
    <w:rPr>
      <w:b/>
      <w:bCs/>
    </w:rPr>
  </w:style>
  <w:style w:type="character" w:customStyle="1" w:styleId="AssuntodecomentrioCarter">
    <w:name w:val="Assunto de comentário Caráter"/>
    <w:basedOn w:val="TextodecomentrioCarter"/>
    <w:link w:val="Assuntodecomentrio"/>
    <w:uiPriority w:val="99"/>
    <w:semiHidden/>
    <w:rsid w:val="00DD206B"/>
    <w:rPr>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jn-crimjust.europa.eu/ejn/EJN_Home.aspx" TargetMode="External"/><Relationship Id="rId18" Type="http://schemas.openxmlformats.org/officeDocument/2006/relationships/image" Target="media/image3.png"/><Relationship Id="rId26" Type="http://schemas.openxmlformats.org/officeDocument/2006/relationships/hyperlink" Target="https://www.coe.int/en/web/conventions/full-list" TargetMode="External"/><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hyperlink" Target="https://www.coe.int/en/web/conventions/full-list/-/conventions/treaty/182" TargetMode="External"/><Relationship Id="rId47" Type="http://schemas.openxmlformats.org/officeDocument/2006/relationships/hyperlink" Target="https://www.ejn-crimjust.europa.eu/ejn/EJN_Library_RatificationsByCou/EN" TargetMode="External"/><Relationship Id="rId50" Type="http://schemas.openxmlformats.org/officeDocument/2006/relationships/hyperlink" Target="https://www.ejn-crimjust.europa.eu/ejn/libcategories/EN/32/-1/-1/-1" TargetMode="External"/><Relationship Id="rId55" Type="http://schemas.openxmlformats.org/officeDocument/2006/relationships/image" Target="media/image26.png"/><Relationship Id="rId63" Type="http://schemas.openxmlformats.org/officeDocument/2006/relationships/hyperlink" Target="https://www.ejn-crimjust.europa.eu/ejn/EJN_RegistryDoc/EN/3108/0/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jn-crimjust.europa.eu/ejn/EJN_Library_RatificationsByCou/EN" TargetMode="External"/><Relationship Id="rId20" Type="http://schemas.openxmlformats.org/officeDocument/2006/relationships/hyperlink" Target="https://www.ejn-crimjust.europa.eu/ejn/libcategories/EN/32/-1/-1/-1" TargetMode="External"/><Relationship Id="rId29"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image" Target="media/image25.png"/><Relationship Id="rId62"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jn-crimjust.europa.eu/ejn/libcategories/EN/32/-1/-1/-1"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hyperlink" Target="https://www.ejn-crimjust.europa.eu/ejn/libcategories/EN/32/-1/-1/-1" TargetMode="External"/><Relationship Id="rId58" Type="http://schemas.openxmlformats.org/officeDocument/2006/relationships/image" Target="media/image29.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s://ec.europa.eu/world/agreements/downloadFile.do?fullText=yes&amp;treatyTransId=473" TargetMode="External"/><Relationship Id="rId49" Type="http://schemas.openxmlformats.org/officeDocument/2006/relationships/hyperlink" Target="https://www.ejn-crimjust.europa.eu/ejn/libcategories/EN/32/-1/-1/-1" TargetMode="External"/><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hyperlink" Target="https://www.ejn-crimjust.europa.eu/ejn/ejn_home.aspx" TargetMode="Externa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hyperlink" Target="https://www.ejn-crimjust.europa.eu/ejn/EJN_Library_RatificationsByCou/EN" TargetMode="External"/><Relationship Id="rId60" Type="http://schemas.openxmlformats.org/officeDocument/2006/relationships/image" Target="media/image3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e.int/en/web/conventions/full-list" TargetMode="External"/><Relationship Id="rId14" Type="http://schemas.openxmlformats.org/officeDocument/2006/relationships/hyperlink" Target="https://www.ejn-crimjust.europa.eu/ejn/EJN_Library_StatusOfImpByCat.aspx?l=EN&amp;CategoryId=120" TargetMode="External"/><Relationship Id="rId22" Type="http://schemas.openxmlformats.org/officeDocument/2006/relationships/image" Target="media/image6.png"/><Relationship Id="rId27" Type="http://schemas.openxmlformats.org/officeDocument/2006/relationships/hyperlink" Target="https://www.coe.int/en/web/conventions/full-list/-/conventions/treaty/030/signatures?p_auth=i9rfGH16" TargetMode="Externa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hyperlink" Target="https://www.ejn-crimjust.europa.eu/ejn/libdocumentproperties/EN/617" TargetMode="External"/><Relationship Id="rId56" Type="http://schemas.openxmlformats.org/officeDocument/2006/relationships/image" Target="media/image27.png"/><Relationship Id="rId64" Type="http://schemas.openxmlformats.org/officeDocument/2006/relationships/footer" Target="footer1.xml"/><Relationship Id="rId8" Type="http://schemas.openxmlformats.org/officeDocument/2006/relationships/hyperlink" Target="https://www.ejn-crimjust.europa.eu/ejn/CompendiumChooseCountry/EN" TargetMode="External"/><Relationship Id="rId51" Type="http://schemas.openxmlformats.org/officeDocument/2006/relationships/hyperlink" Target="https://www.ejn-crimjust.europa.eu/ejn/EJN_Library_RatificationsByCou/EN" TargetMode="External"/><Relationship Id="rId3" Type="http://schemas.openxmlformats.org/officeDocument/2006/relationships/styles" Target="styles.xml"/><Relationship Id="rId12" Type="http://schemas.openxmlformats.org/officeDocument/2006/relationships/hyperlink" Target="http://www.ejn-crimjust.europa.eu"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hyperlink" Target="https://www.coe.int/en/web/conventions/full-list/-/conventions/treaty/182" TargetMode="External"/><Relationship Id="rId38" Type="http://schemas.openxmlformats.org/officeDocument/2006/relationships/image" Target="media/image18.png"/><Relationship Id="rId46" Type="http://schemas.openxmlformats.org/officeDocument/2006/relationships/hyperlink" Target="https://www.ejn-crimjust.europa.eu/ejn/libcategories/EN/32/-1/-1/-1" TargetMode="External"/><Relationship Id="rId5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F4336-B55C-4F92-BD32-8171A451F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8222</Words>
  <Characters>44403</Characters>
  <Application>Microsoft Office Word</Application>
  <DocSecurity>0</DocSecurity>
  <Lines>370</Lines>
  <Paragraphs>105</Paragraphs>
  <ScaleCrop>false</ScaleCrop>
  <HeadingPairs>
    <vt:vector size="8" baseType="variant">
      <vt:variant>
        <vt:lpstr>Título</vt:lpstr>
      </vt:variant>
      <vt:variant>
        <vt:i4>1</vt:i4>
      </vt:variant>
      <vt:variant>
        <vt:lpstr>Title</vt:lpstr>
      </vt:variant>
      <vt:variant>
        <vt:i4>1</vt:i4>
      </vt:variant>
      <vt:variant>
        <vt:lpstr>Τίτλος</vt:lpstr>
      </vt:variant>
      <vt:variant>
        <vt:i4>1</vt:i4>
      </vt:variant>
      <vt:variant>
        <vt:lpstr>Titel</vt:lpstr>
      </vt:variant>
      <vt:variant>
        <vt:i4>1</vt:i4>
      </vt:variant>
    </vt:vector>
  </HeadingPairs>
  <TitlesOfParts>
    <vt:vector size="4" baseType="lpstr">
      <vt:lpstr/>
      <vt:lpstr/>
      <vt:lpstr/>
      <vt:lpstr/>
    </vt:vector>
  </TitlesOfParts>
  <Company/>
  <LinksUpToDate>false</LinksUpToDate>
  <CharactersWithSpaces>52520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motoi constantin daniel</dc:creator>
  <cp:lastModifiedBy>Maria João</cp:lastModifiedBy>
  <cp:revision>3</cp:revision>
  <cp:lastPrinted>2020-09-13T13:59:00Z</cp:lastPrinted>
  <dcterms:created xsi:type="dcterms:W3CDTF">2021-07-16T16:56:00Z</dcterms:created>
  <dcterms:modified xsi:type="dcterms:W3CDTF">2021-07-19T09:22:00Z</dcterms:modified>
</cp:coreProperties>
</file>