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C303C" w14:textId="6DF95489" w:rsidR="00C203AA" w:rsidRPr="00EE52F9" w:rsidRDefault="0096751E" w:rsidP="000A460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2CFFB0" w14:textId="77777777" w:rsidR="00C203AA" w:rsidRPr="00EE52F9" w:rsidRDefault="0096751E" w:rsidP="000A460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30B7E4" w14:textId="6739CE9D" w:rsidR="00C32F52" w:rsidRPr="00EE52F9" w:rsidRDefault="00CE7113" w:rsidP="000A4609">
      <w:pPr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EE52F9">
        <w:rPr>
          <w:rFonts w:ascii="Times New Roman" w:hAnsi="Times New Roman" w:cs="Times New Roman"/>
          <w:b/>
          <w:bCs/>
          <w:sz w:val="36"/>
          <w:szCs w:val="28"/>
        </w:rPr>
        <w:t>Reconhecimento Mútuo II</w:t>
      </w:r>
    </w:p>
    <w:p w14:paraId="015AB92E" w14:textId="5760F7C9" w:rsidR="00C32F52" w:rsidRPr="00EE52F9" w:rsidRDefault="00CE7113" w:rsidP="000A46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Decisão-Quadro 2009/829/JAI do Conselho, de 23 de </w:t>
      </w:r>
      <w:r w:rsidR="00EE52F9" w:rsidRPr="00EE52F9">
        <w:rPr>
          <w:rFonts w:ascii="Times New Roman" w:hAnsi="Times New Roman" w:cs="Times New Roman"/>
          <w:b/>
          <w:bCs/>
          <w:sz w:val="28"/>
          <w:szCs w:val="28"/>
        </w:rPr>
        <w:t>outubro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 de 2009, </w:t>
      </w:r>
      <w:bookmarkStart w:id="0" w:name="_Hlk35245859"/>
      <w:r w:rsidRPr="00EE52F9">
        <w:rPr>
          <w:rFonts w:ascii="Times New Roman" w:hAnsi="Times New Roman" w:cs="Times New Roman"/>
          <w:b/>
          <w:bCs/>
          <w:sz w:val="28"/>
          <w:szCs w:val="28"/>
        </w:rPr>
        <w:t>relativa à aplicação, entre os Estados-Membros da União Europeia, do princípio do reconhecimento mútuo às decisões sobre medidas de controlo, em alternativa à prisão preventiva</w:t>
      </w:r>
      <w:bookmarkEnd w:id="0"/>
    </w:p>
    <w:p w14:paraId="066BAD24" w14:textId="2A1E60EC" w:rsidR="00C203AA" w:rsidRPr="00EE52F9" w:rsidRDefault="00CE7113" w:rsidP="000A4609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Conjunto de Estudos de caso – um Guia para formadores</w:t>
      </w:r>
    </w:p>
    <w:p w14:paraId="14DC724C" w14:textId="2D241090" w:rsidR="00C32F52" w:rsidRPr="00EE52F9" w:rsidRDefault="0096751E" w:rsidP="000A46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9C3D2D" w14:textId="77777777" w:rsidR="00C203AA" w:rsidRPr="00EE52F9" w:rsidRDefault="0096751E" w:rsidP="000A46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E3B2E2" w14:textId="77777777" w:rsidR="00C203AA" w:rsidRPr="00EE52F9" w:rsidRDefault="00CE7113" w:rsidP="000A4609">
      <w:pPr>
        <w:spacing w:after="0"/>
        <w:rPr>
          <w:rFonts w:ascii="Times New Roman" w:hAnsi="Times New Roman" w:cs="Times New Roman"/>
          <w:bCs/>
          <w:sz w:val="32"/>
          <w:szCs w:val="28"/>
        </w:rPr>
      </w:pPr>
      <w:bookmarkStart w:id="1" w:name="_Hlk54274199"/>
      <w:r w:rsidRPr="00EE52F9">
        <w:rPr>
          <w:rFonts w:ascii="Times New Roman" w:hAnsi="Times New Roman" w:cs="Times New Roman"/>
          <w:sz w:val="32"/>
          <w:szCs w:val="28"/>
        </w:rPr>
        <w:t>Elaborado por:</w:t>
      </w:r>
    </w:p>
    <w:p w14:paraId="0052969F" w14:textId="77777777" w:rsidR="00C203AA" w:rsidRPr="00EE52F9" w:rsidRDefault="00CE7113" w:rsidP="000A4609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Daniel </w:t>
      </w:r>
      <w:proofErr w:type="spellStart"/>
      <w:r w:rsidRPr="00EE52F9">
        <w:rPr>
          <w:rFonts w:ascii="Times New Roman" w:hAnsi="Times New Roman" w:cs="Times New Roman"/>
          <w:i/>
          <w:iCs/>
          <w:sz w:val="28"/>
          <w:szCs w:val="28"/>
        </w:rPr>
        <w:t>Constantin</w:t>
      </w:r>
      <w:proofErr w:type="spellEnd"/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 w:cs="Times New Roman"/>
          <w:i/>
          <w:iCs/>
          <w:sz w:val="28"/>
          <w:szCs w:val="28"/>
        </w:rPr>
        <w:t>Motoi</w:t>
      </w:r>
      <w:proofErr w:type="spellEnd"/>
    </w:p>
    <w:p w14:paraId="7B68F174" w14:textId="77777777" w:rsidR="00C203AA" w:rsidRPr="00EE52F9" w:rsidRDefault="00CE7113" w:rsidP="000A4609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Juiz, </w:t>
      </w:r>
    </w:p>
    <w:p w14:paraId="0403E8FB" w14:textId="77777777" w:rsidR="00C203AA" w:rsidRPr="00EE52F9" w:rsidRDefault="00CE7113" w:rsidP="000A4609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Tribunal de Primeira Instância, 4th </w:t>
      </w:r>
      <w:proofErr w:type="spellStart"/>
      <w:r w:rsidRPr="00EE52F9">
        <w:rPr>
          <w:rFonts w:ascii="Times New Roman" w:hAnsi="Times New Roman" w:cs="Times New Roman"/>
          <w:i/>
          <w:iCs/>
          <w:sz w:val="28"/>
          <w:szCs w:val="28"/>
        </w:rPr>
        <w:t>District</w:t>
      </w:r>
      <w:proofErr w:type="spellEnd"/>
      <w:r w:rsidRPr="00EE52F9">
        <w:rPr>
          <w:rFonts w:ascii="Times New Roman" w:hAnsi="Times New Roman" w:cs="Times New Roman"/>
          <w:i/>
          <w:iCs/>
          <w:sz w:val="28"/>
          <w:szCs w:val="28"/>
        </w:rPr>
        <w:t>, Tribunal de Bucareste, Bucareste</w:t>
      </w:r>
    </w:p>
    <w:p w14:paraId="250D8E06" w14:textId="77777777" w:rsidR="00C203AA" w:rsidRPr="00EE52F9" w:rsidRDefault="0096751E" w:rsidP="000A4609">
      <w:pPr>
        <w:rPr>
          <w:rFonts w:ascii="Times New Roman" w:hAnsi="Times New Roman" w:cs="Times New Roman"/>
          <w:bCs/>
          <w:sz w:val="28"/>
          <w:szCs w:val="28"/>
        </w:rPr>
      </w:pPr>
    </w:p>
    <w:p w14:paraId="140E2F6F" w14:textId="77777777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Style w:val="Forte"/>
          <w:rFonts w:ascii="Times New Roman" w:hAnsi="Times New Roman" w:cs="Times New Roman"/>
          <w:i/>
          <w:color w:val="000000"/>
          <w:sz w:val="32"/>
          <w:szCs w:val="28"/>
        </w:rPr>
      </w:pPr>
      <w:r w:rsidRPr="00EE52F9">
        <w:rPr>
          <w:rStyle w:val="Forte"/>
          <w:rFonts w:ascii="Times New Roman" w:hAnsi="Times New Roman" w:cs="Times New Roman"/>
          <w:i/>
          <w:iCs/>
          <w:color w:val="000000"/>
          <w:sz w:val="32"/>
          <w:szCs w:val="28"/>
        </w:rPr>
        <w:t>Índice</w:t>
      </w:r>
    </w:p>
    <w:p w14:paraId="7F3E7216" w14:textId="77777777" w:rsidR="00C203AA" w:rsidRPr="00EE52F9" w:rsidRDefault="0096751E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Style w:val="Forte"/>
          <w:rFonts w:ascii="Times New Roman" w:hAnsi="Times New Roman" w:cs="Times New Roman"/>
          <w:color w:val="000000"/>
          <w:sz w:val="28"/>
          <w:szCs w:val="28"/>
        </w:rPr>
      </w:pPr>
    </w:p>
    <w:p w14:paraId="19ABC21C" w14:textId="77777777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 xml:space="preserve">A. </w:t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ab/>
        <w:t>Estudos de caso</w:t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ab/>
        <w:t>1</w:t>
      </w:r>
    </w:p>
    <w:p w14:paraId="6D42796C" w14:textId="70D2859D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I. 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 xml:space="preserve">Cenário introdutório; Questões 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1</w:t>
      </w:r>
    </w:p>
    <w:p w14:paraId="2A39087D" w14:textId="3340682C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II. 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Exercícios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2</w:t>
      </w:r>
    </w:p>
    <w:p w14:paraId="69077EBF" w14:textId="1CB8B253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III. 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Cenário de caso; Questões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2</w:t>
      </w:r>
    </w:p>
    <w:p w14:paraId="5F964F55" w14:textId="77777777" w:rsidR="00C203AA" w:rsidRPr="00EE52F9" w:rsidRDefault="0096751E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246E69F0" w14:textId="77777777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>B.</w:t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ab/>
        <w:t>Notas adicionais para os formadores sobre os casos</w:t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ab/>
        <w:t>4</w:t>
      </w:r>
    </w:p>
    <w:p w14:paraId="3AE2F1E8" w14:textId="77777777" w:rsidR="00C203AA" w:rsidRPr="00EE52F9" w:rsidRDefault="0096751E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2F672354" w14:textId="77777777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>C.</w:t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ab/>
        <w:t>Abordagem metodológica</w:t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ab/>
        <w:t>5</w:t>
      </w:r>
    </w:p>
    <w:p w14:paraId="22C32363" w14:textId="77777777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I.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Ideia geral e temas centrais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5</w:t>
      </w:r>
    </w:p>
    <w:p w14:paraId="33314696" w14:textId="19B29CE3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II.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Grupos de trabalho e estrutura do seminário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6</w:t>
      </w:r>
    </w:p>
    <w:p w14:paraId="046DB61F" w14:textId="291D7474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III.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Material adicional</w:t>
      </w: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  <w:t>6</w:t>
      </w:r>
    </w:p>
    <w:p w14:paraId="7FF07DA1" w14:textId="77777777" w:rsidR="00C203AA" w:rsidRPr="00EE52F9" w:rsidRDefault="0096751E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4810766F" w14:textId="34F1D6E1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 xml:space="preserve">D. </w:t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ab/>
        <w:t>Soluções</w:t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ab/>
        <w:t>7</w:t>
      </w:r>
    </w:p>
    <w:p w14:paraId="3CCD4C22" w14:textId="4A901F8D" w:rsidR="00C66F1B" w:rsidRPr="00EE52F9" w:rsidRDefault="0096751E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Forte"/>
          <w:rFonts w:ascii="Times New Roman" w:hAnsi="Times New Roman" w:cs="Times New Roman"/>
          <w:color w:val="000000"/>
          <w:sz w:val="28"/>
          <w:szCs w:val="28"/>
        </w:rPr>
      </w:pPr>
    </w:p>
    <w:p w14:paraId="16174B54" w14:textId="32E274D2" w:rsidR="00C66F1B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E52F9">
        <w:rPr>
          <w:rStyle w:val="Fort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>Anexo</w:t>
      </w:r>
      <w:r w:rsidRPr="00EE52F9">
        <w:rPr>
          <w:rStyle w:val="Forte"/>
          <w:rFonts w:ascii="Times New Roman" w:hAnsi="Times New Roman" w:cs="Times New Roman"/>
          <w:color w:val="000000"/>
          <w:sz w:val="28"/>
          <w:szCs w:val="28"/>
        </w:rPr>
        <w:tab/>
        <w:t>22</w:t>
      </w:r>
    </w:p>
    <w:bookmarkEnd w:id="1"/>
    <w:p w14:paraId="6B8AF1B1" w14:textId="22FB59C7" w:rsidR="00C203AA" w:rsidRPr="00EE52F9" w:rsidRDefault="00CE7113" w:rsidP="000A4609">
      <w:pPr>
        <w:rPr>
          <w:rFonts w:ascii="Times New Roman" w:hAnsi="Times New Roman" w:cs="Times New Roman"/>
          <w:bCs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05681744" w14:textId="526EC4E3" w:rsidR="000A4609" w:rsidRPr="00EE52F9" w:rsidRDefault="00CE7113" w:rsidP="00CC73A0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color w:val="2F5496" w:themeColor="accent1" w:themeShade="BF"/>
          <w:sz w:val="32"/>
          <w:szCs w:val="32"/>
        </w:rPr>
      </w:pPr>
      <w:r w:rsidRPr="00EE52F9"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</w:rPr>
        <w:lastRenderedPageBreak/>
        <w:t>Reconhecimento mútuo II.</w:t>
      </w:r>
      <w:bookmarkStart w:id="2" w:name="_Hlk35245670"/>
    </w:p>
    <w:p w14:paraId="116100F8" w14:textId="73F47CE3" w:rsidR="00A41040" w:rsidRPr="00EE52F9" w:rsidRDefault="00CE7113" w:rsidP="000A4609">
      <w:pPr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A. I. Cenário introdutório</w:t>
      </w:r>
    </w:p>
    <w:p w14:paraId="021A9234" w14:textId="7E84233C" w:rsidR="002F05D2" w:rsidRPr="00EE52F9" w:rsidRDefault="00CE7113" w:rsidP="00CC73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Supondo que um infrator cometeu uma infração no seu país e que a autoridade competente que trata do caso (dependendo das disposições da legislação nacional – procurador, juiz de instrução, juiz, etc.) quer tomar/pedir uma decisão sobre medidas de controlo como alternativa à prisão preventiva durante a fase de investigação (embora, por exemplo, as condições para a tomada da prisão preventiva também estejam preenchidas).</w:t>
      </w:r>
    </w:p>
    <w:p w14:paraId="122AC405" w14:textId="0D1B1E00" w:rsidR="00E0065A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Questões:</w:t>
      </w:r>
    </w:p>
    <w:p w14:paraId="27AF5F43" w14:textId="48E93793" w:rsidR="00A41040" w:rsidRPr="00EE52F9" w:rsidRDefault="00CE7113" w:rsidP="000A4609">
      <w:pPr>
        <w:pStyle w:val="PargrafodaLista"/>
        <w:numPr>
          <w:ilvl w:val="0"/>
          <w:numId w:val="2"/>
        </w:numPr>
        <w:spacing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Existem medidas alternativas à prisão preventiva previstas no seu ordenamento jurídico para tais casos? Por favor, indique-os e descreva-os brevemente.</w:t>
      </w:r>
    </w:p>
    <w:p w14:paraId="42599A97" w14:textId="3605E934" w:rsidR="002F05D2" w:rsidRPr="00EE52F9" w:rsidRDefault="00CE7113" w:rsidP="000A4609">
      <w:pPr>
        <w:pStyle w:val="PargrafodaLista"/>
        <w:numPr>
          <w:ilvl w:val="0"/>
          <w:numId w:val="2"/>
        </w:numPr>
        <w:spacing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Se tais medidas alternativas existirem no seu ordenamento jurídico, serão </w:t>
      </w: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aplicáveis nas mesmas condições a um infrator que resida legalmente noutro EM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e tenha cometido uma infração e as suas autoridades judiciárias tenham competência para investigar a mesma? Existem algumas disposições especiais relativas a um infrator que reside legalmente noutro EM? Por favor, indique-as e descreva-as brevemente.</w:t>
      </w:r>
    </w:p>
    <w:p w14:paraId="319EE305" w14:textId="7A3EB42A" w:rsidR="00BE5B00" w:rsidRPr="00EE52F9" w:rsidRDefault="00CE7113" w:rsidP="000A4609">
      <w:pPr>
        <w:pStyle w:val="PargrafodaLista"/>
        <w:numPr>
          <w:ilvl w:val="0"/>
          <w:numId w:val="2"/>
        </w:numPr>
        <w:spacing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Se a autoridade competente no seu país impõe medidas de controlo ao infrator, é possível, de acordo com a sua legislação nacional, pedir a transferência da supervisão para que o infrator legalmente residente noutro EM </w:t>
      </w: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seja supervisionado no seu país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pela autoridade competente enquanto aguarda o julgamento no seu país? Qual é o instrumento jurídico aplicável neste caso?</w:t>
      </w:r>
    </w:p>
    <w:p w14:paraId="4A91E8CF" w14:textId="035BA45C" w:rsidR="002F05D2" w:rsidRPr="00EE52F9" w:rsidRDefault="0096751E" w:rsidP="000A4609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7A42863" w14:textId="73F2CE72" w:rsidR="00C203AA" w:rsidRPr="00EE52F9" w:rsidRDefault="00CE7113" w:rsidP="000A460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3956E015" w14:textId="31AB7204" w:rsidR="00C203AA" w:rsidRPr="00EE52F9" w:rsidRDefault="00CE7113" w:rsidP="000A4609">
      <w:pPr>
        <w:pStyle w:val="PargrafodaLista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lastRenderedPageBreak/>
        <w:t xml:space="preserve">A. II. Exercícios: </w:t>
      </w:r>
    </w:p>
    <w:p w14:paraId="6E81A71F" w14:textId="7C6E06D5" w:rsidR="00C203AA" w:rsidRPr="00EE52F9" w:rsidRDefault="00CE7113" w:rsidP="000A4609">
      <w:pPr>
        <w:pStyle w:val="PargrafodaLista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Encontre as seguintes autoridades competentes de execução e as línguas a utilizar na Certidão (para processos penais gerais):</w:t>
      </w:r>
    </w:p>
    <w:p w14:paraId="11AAB578" w14:textId="09F6C43E" w:rsidR="00383507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1. Uma autoridade competente alemã quer transferir a supervisão da pessoa condenada A.N. que reside legal e habitualmente em Bruxelas, Bélgica.</w:t>
      </w:r>
    </w:p>
    <w:p w14:paraId="1FCCE8A4" w14:textId="54D8730C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Autoridade competente:</w:t>
      </w:r>
    </w:p>
    <w:p w14:paraId="0EC28601" w14:textId="2CF639FA" w:rsidR="00C203A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Língua:</w:t>
      </w:r>
    </w:p>
    <w:p w14:paraId="7D1B06EE" w14:textId="77777777" w:rsidR="00C203AA" w:rsidRPr="00EE52F9" w:rsidRDefault="0096751E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0065CE" w14:textId="22E28D89" w:rsidR="00383507" w:rsidRPr="00EE52F9" w:rsidRDefault="00CE7113" w:rsidP="000A460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2. Uma autoridade competente francesa quer transferir a supervisão do arguido B.C. que reside legal e habitualmente em Vigo, Espanha.</w:t>
      </w:r>
    </w:p>
    <w:p w14:paraId="70D0EE6D" w14:textId="77777777" w:rsidR="00C203AA" w:rsidRPr="00EE52F9" w:rsidRDefault="00CE7113" w:rsidP="000A460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Autoridade competente:</w:t>
      </w:r>
    </w:p>
    <w:p w14:paraId="1A57B134" w14:textId="77777777" w:rsidR="00C203AA" w:rsidRPr="00EE52F9" w:rsidRDefault="00CE7113" w:rsidP="000A460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Língua:</w:t>
      </w:r>
    </w:p>
    <w:p w14:paraId="1DD789DF" w14:textId="77777777" w:rsidR="00C203AA" w:rsidRPr="00EE52F9" w:rsidRDefault="0096751E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4E65ED" w14:textId="1BD051D3" w:rsidR="00383507" w:rsidRPr="00EE52F9" w:rsidRDefault="00CE7113" w:rsidP="000A460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3. Uma autoridade competente espanhola quer transferir a supervisão do arguido M.M. que reside legal e habitualmente em Viena, Áustria.</w:t>
      </w:r>
    </w:p>
    <w:p w14:paraId="12005233" w14:textId="77777777" w:rsidR="00C203AA" w:rsidRPr="00EE52F9" w:rsidRDefault="00CE7113" w:rsidP="000A460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Autoridade competente:</w:t>
      </w:r>
    </w:p>
    <w:p w14:paraId="66D845F2" w14:textId="27BEA692" w:rsidR="00C203AA" w:rsidRPr="00EE52F9" w:rsidRDefault="00CE7113" w:rsidP="000A460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Língua:</w:t>
      </w:r>
    </w:p>
    <w:p w14:paraId="19B20FF1" w14:textId="77777777" w:rsidR="000A4609" w:rsidRPr="00EE52F9" w:rsidRDefault="0096751E" w:rsidP="000A4609">
      <w:pPr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</w:p>
    <w:p w14:paraId="076FDBDE" w14:textId="6CAF3C88" w:rsidR="002A2A0D" w:rsidRPr="00EE52F9" w:rsidRDefault="00CE7113" w:rsidP="000A4609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 xml:space="preserve">A. III. Cenário de caso: </w:t>
      </w:r>
    </w:p>
    <w:p w14:paraId="790FAD05" w14:textId="63E3E270" w:rsidR="00DC54B7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A.W., cidadão austríaco, residente em Viena, Áustria, estava de férias de duas semanas em </w:t>
      </w:r>
      <w:proofErr w:type="spellStart"/>
      <w:r w:rsidRPr="00EE52F9">
        <w:rPr>
          <w:rFonts w:ascii="Times New Roman" w:hAnsi="Times New Roman" w:cs="Times New Roman"/>
          <w:sz w:val="28"/>
          <w:szCs w:val="28"/>
        </w:rPr>
        <w:t>Brașov</w:t>
      </w:r>
      <w:proofErr w:type="spellEnd"/>
      <w:r w:rsidRPr="00EE52F9">
        <w:rPr>
          <w:rFonts w:ascii="Times New Roman" w:hAnsi="Times New Roman" w:cs="Times New Roman"/>
          <w:sz w:val="28"/>
          <w:szCs w:val="28"/>
        </w:rPr>
        <w:t xml:space="preserve">, Roménia, para visitar alguns amigos romenos. A 6 de janeiro de 2020, A.W. e os seus amigos foram a um bar em </w:t>
      </w:r>
      <w:proofErr w:type="spellStart"/>
      <w:r w:rsidRPr="00EE52F9">
        <w:rPr>
          <w:rFonts w:ascii="Times New Roman" w:hAnsi="Times New Roman" w:cs="Times New Roman"/>
          <w:sz w:val="28"/>
          <w:szCs w:val="28"/>
        </w:rPr>
        <w:t>Brașov</w:t>
      </w:r>
      <w:proofErr w:type="spellEnd"/>
      <w:r w:rsidRPr="00EE52F9">
        <w:rPr>
          <w:rFonts w:ascii="Times New Roman" w:hAnsi="Times New Roman" w:cs="Times New Roman"/>
          <w:sz w:val="28"/>
          <w:szCs w:val="28"/>
        </w:rPr>
        <w:t xml:space="preserve">. A certa altura, A.W. teve uma discussão com uma pessoa de outro grupo e os dois começaram a ameaçar-se mutuamente. A.W. ficou nervoso e foi ter com a vítima A.B. e bateu-lhe na cabeça com uma garrafa. A.B. caiu inconsciente e nesse momento A.W. fugiu do bar. A.B. foi levado para um hospital local onde permaneceu durante duas semanas para cuidados médicos. </w:t>
      </w:r>
    </w:p>
    <w:p w14:paraId="74D67DAA" w14:textId="696D7ECB" w:rsidR="00482403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O documento forense emitido declarou que A.B. sofreu ferimentos que necessitarão de 100 dias de cuidados médicos.</w:t>
      </w:r>
    </w:p>
    <w:p w14:paraId="0CE19B88" w14:textId="59A14238" w:rsidR="000A4609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De acordo com o direito penal romeno, os factos constituem o crime de lesão corporal previsto no artigo 194.º do Código Penal romeno (a sanção máxima é de 7 anos de pena de prisão).</w:t>
      </w:r>
    </w:p>
    <w:p w14:paraId="254816D9" w14:textId="666A4DF6" w:rsidR="000A4609" w:rsidRPr="00EE52F9" w:rsidRDefault="00CE7113" w:rsidP="000A4609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7D5881EB" w14:textId="78BF9632" w:rsidR="00D6452C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lastRenderedPageBreak/>
        <w:t xml:space="preserve">A 10 de janeiro, a Delegação do Ministério Público adstrita ao Tribunal de Primeira Instância de </w:t>
      </w:r>
      <w:proofErr w:type="spellStart"/>
      <w:r w:rsidRPr="00EE52F9">
        <w:rPr>
          <w:rFonts w:ascii="Times New Roman" w:hAnsi="Times New Roman" w:cs="Times New Roman"/>
          <w:sz w:val="28"/>
          <w:szCs w:val="28"/>
        </w:rPr>
        <w:t>Brașov</w:t>
      </w:r>
      <w:proofErr w:type="spellEnd"/>
      <w:r w:rsidRPr="00EE52F9">
        <w:rPr>
          <w:rFonts w:ascii="Times New Roman" w:hAnsi="Times New Roman" w:cs="Times New Roman"/>
          <w:sz w:val="28"/>
          <w:szCs w:val="28"/>
        </w:rPr>
        <w:t xml:space="preserve"> apresentou queixa contra A.W. </w:t>
      </w:r>
    </w:p>
    <w:p w14:paraId="3FE3F38F" w14:textId="262956CC" w:rsidR="009F391D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A.W. admitiu ter cometido a infração, mas considerou que foi provocado pela vítima A.B. e pelos seus amigos e que foi uma reação descontrolada.</w:t>
      </w:r>
    </w:p>
    <w:p w14:paraId="363096A5" w14:textId="1AF39532" w:rsidR="006B4AFF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Tendo em consideração a gravidade da infração e o facto de A.W. parecer residir legalmente na Áustria, o procurador romeno que trata do caso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quer impor uma medida provisória, </w:t>
      </w:r>
      <w:r w:rsidRPr="00EE52F9">
        <w:rPr>
          <w:rFonts w:ascii="Times New Roman" w:hAnsi="Times New Roman" w:cs="Times New Roman"/>
          <w:sz w:val="28"/>
          <w:szCs w:val="28"/>
        </w:rPr>
        <w:t>respetivamente um controlo judicial de 60 dias contra o infrator A.W., no qual ele deve cumprir as seguintes obrigações:</w:t>
      </w:r>
    </w:p>
    <w:p w14:paraId="5DD9D30E" w14:textId="71BB5582" w:rsidR="006B4AFF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a) apresentar-se à Delegação do Ministério Público adstrita ao Tribunal de Primeira Instância de </w:t>
      </w:r>
      <w:proofErr w:type="spellStart"/>
      <w:r w:rsidRPr="00EE52F9">
        <w:rPr>
          <w:rFonts w:ascii="Times New Roman" w:hAnsi="Times New Roman" w:cs="Times New Roman"/>
          <w:sz w:val="28"/>
          <w:szCs w:val="28"/>
        </w:rPr>
        <w:t>Brașov</w:t>
      </w:r>
      <w:proofErr w:type="spellEnd"/>
      <w:r w:rsidRPr="00EE52F9">
        <w:rPr>
          <w:rFonts w:ascii="Times New Roman" w:hAnsi="Times New Roman" w:cs="Times New Roman"/>
          <w:sz w:val="28"/>
          <w:szCs w:val="28"/>
        </w:rPr>
        <w:t xml:space="preserve"> ou ao juiz sempre que for chamado.</w:t>
      </w:r>
    </w:p>
    <w:p w14:paraId="4694813F" w14:textId="1CB9CFF5" w:rsidR="00522EB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b) informar a autoridade designada encarregada da supervisão sempre que mude o local onde se encontra alojado.</w:t>
      </w:r>
    </w:p>
    <w:p w14:paraId="79271A69" w14:textId="2F3264E5" w:rsidR="00522EBA" w:rsidRPr="00EE52F9" w:rsidRDefault="00CE7113" w:rsidP="000A4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c) apresentar-se na esquadra de polícia designada, de acordo com o plano de supervisão acordado ou sempre que for chamado.</w:t>
      </w:r>
    </w:p>
    <w:p w14:paraId="0FE7A1A7" w14:textId="7E79C9DF" w:rsidR="000A4609" w:rsidRPr="00EE52F9" w:rsidRDefault="00CE7113" w:rsidP="00CC73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d) não se aproximar mais de 200 metros da vítima A.B.</w:t>
      </w:r>
    </w:p>
    <w:p w14:paraId="184589CB" w14:textId="41F5DB37" w:rsidR="00C82B13" w:rsidRPr="00EE52F9" w:rsidRDefault="00CE7113" w:rsidP="000A4609">
      <w:pPr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Questões:</w:t>
      </w:r>
    </w:p>
    <w:p w14:paraId="7D3C632F" w14:textId="214259E3" w:rsidR="00C82B13" w:rsidRPr="00EE52F9" w:rsidRDefault="00CE7113" w:rsidP="000A4609">
      <w:pPr>
        <w:pStyle w:val="PargrafodaLista"/>
        <w:numPr>
          <w:ilvl w:val="0"/>
          <w:numId w:val="1"/>
        </w:numPr>
        <w:spacing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A supervisão das obrigações impostas a A.W. pode ser executada na Áustria? </w:t>
      </w:r>
    </w:p>
    <w:p w14:paraId="3BC6D436" w14:textId="097F2645" w:rsidR="00C82B13" w:rsidRPr="00EE52F9" w:rsidRDefault="00CE7113" w:rsidP="000A4609">
      <w:pPr>
        <w:pStyle w:val="PargrafodaLista"/>
        <w:numPr>
          <w:ilvl w:val="0"/>
          <w:numId w:val="1"/>
        </w:numPr>
        <w:spacing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Quais são os critérios para transmitir uma decisão sobre medidas de controlo a outro EM? É necessário ter o consentimento prévio de A.W. neste caso?</w:t>
      </w:r>
    </w:p>
    <w:p w14:paraId="3F992E6E" w14:textId="7E54CA4C" w:rsidR="00470420" w:rsidRPr="00EE52F9" w:rsidRDefault="00CE7113" w:rsidP="000A4609">
      <w:pPr>
        <w:pStyle w:val="PargrafodaLista"/>
        <w:numPr>
          <w:ilvl w:val="0"/>
          <w:numId w:val="1"/>
        </w:numPr>
        <w:spacing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É obrigatório que a autoridade competente transmita uma decisão sobre medidas de controlo às autoridades competentes de outro EM?</w:t>
      </w:r>
    </w:p>
    <w:p w14:paraId="166F6025" w14:textId="75B237D0" w:rsidR="00C82B13" w:rsidRPr="00EE52F9" w:rsidRDefault="00CE7113" w:rsidP="000A4609">
      <w:pPr>
        <w:pStyle w:val="PargrafodaLista"/>
        <w:numPr>
          <w:ilvl w:val="0"/>
          <w:numId w:val="1"/>
        </w:numPr>
        <w:spacing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Encontre as autoridades competentes dos dois países envolvidos na possível transferência da supervisão das obrigações impostas ao infrator A.W.</w:t>
      </w:r>
    </w:p>
    <w:p w14:paraId="57AEA531" w14:textId="77777777" w:rsidR="00D8681A" w:rsidRPr="00EE52F9" w:rsidRDefault="00CE7113" w:rsidP="000A4609">
      <w:pPr>
        <w:pStyle w:val="PargrafodaLista"/>
        <w:numPr>
          <w:ilvl w:val="0"/>
          <w:numId w:val="1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Como irão proceder neste caso a autoridade competente emissora e a autoridade competente de execução?</w:t>
      </w:r>
    </w:p>
    <w:p w14:paraId="56919E24" w14:textId="7794AC62" w:rsidR="00D8681A" w:rsidRPr="00EE52F9" w:rsidRDefault="00CE7113" w:rsidP="000A4609">
      <w:pPr>
        <w:pStyle w:val="PargrafodaLista"/>
        <w:numPr>
          <w:ilvl w:val="0"/>
          <w:numId w:val="1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Que desafios podem enfrentar as autoridades competentes de emissão e de execução e como podem ser ultrapassados?</w:t>
      </w:r>
    </w:p>
    <w:p w14:paraId="19EB7AE8" w14:textId="7630C38C" w:rsidR="00C203AA" w:rsidRPr="00EE52F9" w:rsidRDefault="00CE7113" w:rsidP="000A4609">
      <w:pPr>
        <w:pStyle w:val="PargrafodaLista"/>
        <w:numPr>
          <w:ilvl w:val="0"/>
          <w:numId w:val="1"/>
        </w:numPr>
        <w:spacing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Quais são os benefícios, neste caso, se essa transferência de supervisão for </w:t>
      </w:r>
      <w:r w:rsidR="008E302E" w:rsidRPr="00EE52F9">
        <w:rPr>
          <w:rFonts w:ascii="Times New Roman" w:hAnsi="Times New Roman" w:cs="Times New Roman"/>
          <w:i/>
          <w:iCs/>
          <w:sz w:val="28"/>
          <w:szCs w:val="28"/>
        </w:rPr>
        <w:t>bem-sucedida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14:paraId="25A918EF" w14:textId="77777777" w:rsidR="00C203AA" w:rsidRPr="00EE52F9" w:rsidRDefault="00CE7113" w:rsidP="000A4609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6C4D9D4A" w14:textId="24B754F3" w:rsidR="0074500C" w:rsidRPr="00EE52F9" w:rsidRDefault="00CE7113" w:rsidP="00CC73A0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bCs/>
          <w:color w:val="2F5496" w:themeColor="accent1" w:themeShade="BF"/>
          <w:sz w:val="32"/>
          <w:szCs w:val="32"/>
        </w:rPr>
      </w:pPr>
      <w:r w:rsidRPr="00EE52F9"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</w:rPr>
        <w:lastRenderedPageBreak/>
        <w:t>Parte B. Notas adicionais para o formador relativas aos casos</w:t>
      </w:r>
    </w:p>
    <w:p w14:paraId="1EF42A04" w14:textId="67FCE798" w:rsidR="0074500C" w:rsidRPr="00EE52F9" w:rsidRDefault="00CE7113" w:rsidP="000A4609">
      <w:pPr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A. III. Cenário de caso:</w:t>
      </w:r>
    </w:p>
    <w:p w14:paraId="0C11C62D" w14:textId="67E8B541" w:rsidR="00C203AA" w:rsidRPr="00EE52F9" w:rsidRDefault="00CE7113" w:rsidP="000A4609">
      <w:pPr>
        <w:pStyle w:val="PargrafodaLista"/>
        <w:numPr>
          <w:ilvl w:val="0"/>
          <w:numId w:val="25"/>
        </w:numPr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O cenário de caso será discutido de acordo com as disposições nacionais do país onde o seminário está a decorrer (exceto para a Irlanda). </w:t>
      </w:r>
    </w:p>
    <w:p w14:paraId="0C212C38" w14:textId="3C9B1A3A" w:rsidR="006A4FDB" w:rsidRPr="00EE52F9" w:rsidRDefault="00CE7113" w:rsidP="000A4609">
      <w:pPr>
        <w:pStyle w:val="PargrafodaLista"/>
        <w:numPr>
          <w:ilvl w:val="0"/>
          <w:numId w:val="25"/>
        </w:numPr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Se o seminário tiver lugar na Áustria, o EM emissor e de execução será trocado, com a pessoa condenada a residir legalmente em Bucareste, Roménia e a visitar a Áustria).</w:t>
      </w:r>
    </w:p>
    <w:p w14:paraId="68297405" w14:textId="3565FD68" w:rsidR="006A4FDB" w:rsidRPr="00EE52F9" w:rsidRDefault="00CE7113" w:rsidP="00CC73A0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color w:val="2F5496" w:themeColor="accent1" w:themeShade="BF"/>
          <w:sz w:val="32"/>
          <w:szCs w:val="32"/>
        </w:rPr>
      </w:pPr>
      <w:r w:rsidRPr="00EE52F9"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</w:rPr>
        <w:t>Parte C. Abordagem metodológica</w:t>
      </w:r>
    </w:p>
    <w:p w14:paraId="2C6810A8" w14:textId="10B910B0" w:rsidR="0043351C" w:rsidRPr="00EE52F9" w:rsidRDefault="00CE7113" w:rsidP="000A4609">
      <w:pPr>
        <w:numPr>
          <w:ilvl w:val="0"/>
          <w:numId w:val="17"/>
        </w:numPr>
        <w:suppressAutoHyphens/>
        <w:autoSpaceDN w:val="0"/>
        <w:spacing w:line="244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</w:rPr>
        <w:t>Ideia geral e temas centrais</w:t>
      </w:r>
    </w:p>
    <w:p w14:paraId="65106FC7" w14:textId="1EE63172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A ideia deste material de formação é familiarizar os oficiais de justiça dos Estados-Membros com o instrumento jurídico de cooperação judiciária disponível a nível europeu, com vista a monitorizar as medidas de controlo. </w:t>
      </w:r>
    </w:p>
    <w:p w14:paraId="429D038E" w14:textId="00039B97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Os oficiais de justiça desempenham frequentemente tarefas administrativas que vão desde o preenchimento do formulário solicitado pelo instrumento jurídico, identificação da autoridade competente a quem o enviar, tradução do formulário, pedido ou envio de informações adicionais relativas à cooperação judiciária.</w:t>
      </w:r>
    </w:p>
    <w:p w14:paraId="1C9E2565" w14:textId="77777777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Assim sendo, serão abordados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>os seguintes aspetos principais</w:t>
      </w: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 no âmbito dos seminários: </w:t>
      </w:r>
    </w:p>
    <w:p w14:paraId="7A0D601D" w14:textId="751BAB3E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1. Âmbito de aplicação da Decisão-Quadro 2009/829/JAI do Conselho, relativa à aplicação, entre os Estados-Membros da União Europeia, do princípio do reconhecimento mútuo às decisões sobre medidas de controlo, em alternativa à prisão preventiva. </w:t>
      </w:r>
    </w:p>
    <w:p w14:paraId="6E2D433A" w14:textId="58ED2649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2. Familiarização com a estrutura geral da Decisão-Quadro 2009/829/JAI do Conselho. </w:t>
      </w:r>
    </w:p>
    <w:p w14:paraId="0EC16AE9" w14:textId="04520096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3. Identificação de alguns dos desafios que as autoridades competentes de emissão e execução podem estar a enfrentar ao solicitar a transferência das medidas de controlo.</w:t>
      </w:r>
    </w:p>
    <w:p w14:paraId="2D2F2571" w14:textId="0522AEF0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4. Realçar os benefícios da transferência da decisão sobre as medidas de controlo.</w:t>
      </w:r>
    </w:p>
    <w:p w14:paraId="04BC2DC1" w14:textId="77777777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5. Compreender algumas questões práticas que podem surgir antes e depois da transferência da supervisão.</w:t>
      </w:r>
    </w:p>
    <w:p w14:paraId="58E236A1" w14:textId="1CE2B206" w:rsidR="00F54AC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6. Pormenores administrativos: Como deve proceder uma autoridade emissora numa determinada situação? Que língua deve ser utilizada? Onde pode a autoridade emissora encontrar a autoridade competente do Estado-Membro de execução à qual o pedido tem de ser dirigido?  </w:t>
      </w:r>
    </w:p>
    <w:p w14:paraId="3AA9BC86" w14:textId="3ABF4084" w:rsidR="006A4FDB" w:rsidRPr="00EE52F9" w:rsidRDefault="00CE7113" w:rsidP="000A4609">
      <w:pPr>
        <w:numPr>
          <w:ilvl w:val="0"/>
          <w:numId w:val="17"/>
        </w:numPr>
        <w:suppressAutoHyphens/>
        <w:autoSpaceDN w:val="0"/>
        <w:spacing w:line="244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</w:rPr>
        <w:lastRenderedPageBreak/>
        <w:t>Grupos de trabalho e estrutura do seminário</w:t>
      </w:r>
    </w:p>
    <w:p w14:paraId="7D256A5B" w14:textId="43EC2DE6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O seminário terá início com o </w:t>
      </w: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caso introdutório </w:t>
      </w:r>
      <w:r w:rsidRPr="00EE52F9">
        <w:rPr>
          <w:rFonts w:ascii="Times New Roman" w:hAnsi="Times New Roman" w:cs="Times New Roman"/>
          <w:sz w:val="28"/>
          <w:szCs w:val="28"/>
        </w:rPr>
        <w:t xml:space="preserve">que se destina a sensibilizar os participantes para a Decisão-Quadro 2009/829/JAI do Conselho relativa à aplicação, entre os Estados-Membros da União Europeia, do princípio do reconhecimento mútuo às decisões sobre medidas de controlo, em alternativa à prisão preventiva. A resolução do caso introdutório e a resposta às questões deve demorar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cerca de 15-20 minutos</w:t>
      </w:r>
      <w:r w:rsidRPr="00EE52F9">
        <w:rPr>
          <w:rFonts w:ascii="Times New Roman" w:hAnsi="Times New Roman" w:cs="Times New Roman"/>
          <w:sz w:val="28"/>
          <w:szCs w:val="28"/>
        </w:rPr>
        <w:t>.</w:t>
      </w:r>
    </w:p>
    <w:p w14:paraId="16020410" w14:textId="7C022E3E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Após o caso introdutório, o formador fornecerá aos participantes uma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breve apresentação </w:t>
      </w:r>
      <w:r w:rsidRPr="00EE52F9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EE52F9">
        <w:rPr>
          <w:rFonts w:ascii="Times New Roman" w:eastAsia="Calibri" w:hAnsi="Times New Roman" w:cs="Times New Roman"/>
          <w:sz w:val="28"/>
          <w:szCs w:val="28"/>
        </w:rPr>
        <w:t>Power</w:t>
      </w:r>
      <w:proofErr w:type="spellEnd"/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E52F9">
        <w:rPr>
          <w:rFonts w:ascii="Times New Roman" w:eastAsia="Calibri" w:hAnsi="Times New Roman" w:cs="Times New Roman"/>
          <w:sz w:val="28"/>
          <w:szCs w:val="28"/>
        </w:rPr>
        <w:t>point</w:t>
      </w:r>
      <w:proofErr w:type="spellEnd"/>
      <w:r w:rsidRPr="00EE52F9">
        <w:rPr>
          <w:rFonts w:ascii="Times New Roman" w:eastAsia="Calibri" w:hAnsi="Times New Roman" w:cs="Times New Roman"/>
          <w:sz w:val="28"/>
          <w:szCs w:val="28"/>
        </w:rPr>
        <w:t>) destacando as características importantes da Decisão-Quadro 2009/829 do Conselho – objetivos, definições, critérios, fundamentos para o reconhecimento, prazos, adaptação, lei aplicável, decisões subsequentes, obrigações e informação (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>aproximadamente 15-20 min</w:t>
      </w: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14:paraId="359CE36E" w14:textId="561B6F13" w:rsidR="00F54AC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Recomenda-se um intervalo de 10 minutos neste momento.</w:t>
      </w:r>
    </w:p>
    <w:p w14:paraId="75811CBE" w14:textId="6FE6237A" w:rsidR="00AE6AA6" w:rsidRPr="00EE52F9" w:rsidRDefault="00CE7113" w:rsidP="000A4609">
      <w:pPr>
        <w:autoSpaceDN w:val="0"/>
        <w:spacing w:line="240" w:lineRule="auto"/>
        <w:jc w:val="both"/>
        <w:rPr>
          <w:rFonts w:ascii="Times New Roman" w:hAnsi="Times New Roman" w:cs="Times New Roman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 resolução dos exercícios a partir do ponto A.II deve demorar cerca de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15 minutos</w:t>
      </w:r>
      <w:r w:rsidRPr="00EE52F9">
        <w:rPr>
          <w:rFonts w:ascii="Times New Roman" w:hAnsi="Times New Roman" w:cs="Times New Roman"/>
          <w:sz w:val="28"/>
          <w:szCs w:val="28"/>
        </w:rPr>
        <w:t>, dado que se destinam a auxiliar os participantes na compreensão do mecanismo para encontrar uma autoridade competente e a língua a ser utilizada na Certidão.</w:t>
      </w:r>
    </w:p>
    <w:p w14:paraId="6662A63D" w14:textId="36BC373F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O </w:t>
      </w: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cenário de caso </w:t>
      </w:r>
      <w:r w:rsidRPr="00EE52F9">
        <w:rPr>
          <w:rFonts w:ascii="Times New Roman" w:hAnsi="Times New Roman" w:cs="Times New Roman"/>
          <w:sz w:val="28"/>
          <w:szCs w:val="28"/>
        </w:rPr>
        <w:t xml:space="preserve">é a oportunidade de compreender a Decisão-Quadro 2009/829/JAI do Conselho. Os participantes trabalharão em grupos de 5-6 e terão um computador portátil ligado à Internet, a fim de resolverem as questões. A resolução do cenário de caso e a resposta às questões deve demorar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cerca de 2 horas</w:t>
      </w:r>
      <w:r w:rsidRPr="00EE52F9">
        <w:rPr>
          <w:rFonts w:ascii="Times New Roman" w:hAnsi="Times New Roman" w:cs="Times New Roman"/>
          <w:sz w:val="28"/>
          <w:szCs w:val="28"/>
        </w:rPr>
        <w:t>.</w:t>
      </w:r>
    </w:p>
    <w:p w14:paraId="0ABE21B8" w14:textId="6DA03EE8" w:rsidR="006A4FDB" w:rsidRPr="00EE52F9" w:rsidRDefault="00CE7113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Quaisquer questões pendentes devem ser discutidas no final do seminário (durante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>aproximadamente 5-10 minutos</w:t>
      </w:r>
      <w:r w:rsidRPr="00EE52F9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0E9E4B47" w14:textId="30E3F9F0" w:rsidR="00EE1F2F" w:rsidRPr="00EE52F9" w:rsidRDefault="00CE7113" w:rsidP="00EE1F2F">
      <w:pPr>
        <w:autoSpaceDN w:val="0"/>
        <w:spacing w:after="0" w:line="240" w:lineRule="auto"/>
        <w:jc w:val="both"/>
        <w:rPr>
          <w:rFonts w:ascii="Calibri" w:eastAsia="Calibri" w:hAnsi="Calibri" w:cs="Times New Roman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Os organizadores devem tentar criar grupos de participantes com um nível aproximado de experiência no trabalho com a DQC 2009/829 ao resolverem os cenários de caso.</w:t>
      </w:r>
    </w:p>
    <w:p w14:paraId="3B2053BB" w14:textId="77777777" w:rsidR="006A4FDB" w:rsidRPr="00EE52F9" w:rsidRDefault="0096751E" w:rsidP="000A4609">
      <w:pPr>
        <w:autoSpaceDN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38F623" w14:textId="77777777" w:rsidR="006A4FDB" w:rsidRPr="00EE52F9" w:rsidRDefault="00CE7113" w:rsidP="000A4609">
      <w:pPr>
        <w:numPr>
          <w:ilvl w:val="0"/>
          <w:numId w:val="17"/>
        </w:numPr>
        <w:suppressAutoHyphens/>
        <w:autoSpaceDN w:val="0"/>
        <w:spacing w:line="244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</w:rPr>
        <w:t>Materiais adicionais</w:t>
      </w:r>
    </w:p>
    <w:p w14:paraId="0DBE2083" w14:textId="34F845A7" w:rsidR="0074500C" w:rsidRPr="00EE52F9" w:rsidRDefault="00CE7113" w:rsidP="000A4609">
      <w:pPr>
        <w:autoSpaceDN w:val="0"/>
        <w:spacing w:line="24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Todos os participantes receberão uma cópia da Decisão-Quadro do Conselho incluindo os Formulários constantes dos Anexos I e II. Além disso, os participantes devem trazer ou ter acesso às suas disposições nacionais de aplicação da DQC.</w:t>
      </w:r>
    </w:p>
    <w:p w14:paraId="6736ABDE" w14:textId="44AEDB4C" w:rsidR="00C06687" w:rsidRPr="00EE52F9" w:rsidRDefault="00CE7113" w:rsidP="000A4609">
      <w:pPr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br w:type="page"/>
      </w:r>
    </w:p>
    <w:bookmarkEnd w:id="2"/>
    <w:p w14:paraId="0C1145AF" w14:textId="3CED9890" w:rsidR="00487F3D" w:rsidRPr="00EE52F9" w:rsidRDefault="00CE7113" w:rsidP="00CC73A0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color w:val="2F5496" w:themeColor="accent1" w:themeShade="BF"/>
          <w:sz w:val="32"/>
          <w:szCs w:val="32"/>
        </w:rPr>
      </w:pPr>
      <w:r w:rsidRPr="00EE52F9"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</w:rPr>
        <w:lastRenderedPageBreak/>
        <w:t>Parte D. Soluções</w:t>
      </w:r>
    </w:p>
    <w:p w14:paraId="4C7854A1" w14:textId="217C69A5" w:rsidR="003D297B" w:rsidRPr="00EE52F9" w:rsidRDefault="00CE7113" w:rsidP="00CC73A0">
      <w:pPr>
        <w:pStyle w:val="PargrafodaLista"/>
        <w:ind w:left="0"/>
        <w:contextualSpacing w:val="0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A. I. Cenário introdutório:</w:t>
      </w:r>
    </w:p>
    <w:p w14:paraId="2A5A28F9" w14:textId="3F538080" w:rsidR="0074500C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i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>Q1:</w:t>
      </w:r>
      <w:r w:rsidRPr="00EE52F9">
        <w:rPr>
          <w:rFonts w:ascii="Times New Roman" w:hAnsi="Times New Roman" w:cs="Times New Roman"/>
          <w:i/>
          <w:iCs/>
          <w:color w:val="2F5496" w:themeColor="accent1" w:themeShade="BF"/>
          <w:sz w:val="28"/>
          <w:szCs w:val="28"/>
        </w:rPr>
        <w:t xml:space="preserve"> Existem medidas alternativas à prisão preventiva previstas no seu ordenamento jurídico para tais casos, que possam ser tomadas? Por favor, indique-as e descreva-as brevemente.</w:t>
      </w:r>
    </w:p>
    <w:p w14:paraId="63369916" w14:textId="38D86CEC" w:rsidR="006775B2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A fim de responder a esta questão, os participantes indicarão e descreverão brevemente as medidas alternativas à prisão preventiva regulamentadas no seu ordenamento jurídico.</w:t>
      </w:r>
    </w:p>
    <w:p w14:paraId="35F7AE5F" w14:textId="3394ECDD" w:rsidR="008E5AF7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i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>Q2:</w:t>
      </w:r>
      <w:r w:rsidRPr="00EE52F9">
        <w:rPr>
          <w:rFonts w:ascii="Times New Roman" w:hAnsi="Times New Roman" w:cs="Times New Roman"/>
          <w:i/>
          <w:iCs/>
          <w:color w:val="2F5496" w:themeColor="accent1" w:themeShade="BF"/>
          <w:sz w:val="28"/>
          <w:szCs w:val="28"/>
        </w:rPr>
        <w:t xml:space="preserve"> Se tais medidas alternativas existirem no seu ordenamento jurídico, serão </w:t>
      </w: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 xml:space="preserve">aplicáveis nas mesmas condições a um infrator que resida legalmente noutro EM </w:t>
      </w:r>
      <w:r w:rsidRPr="00EE52F9">
        <w:rPr>
          <w:rFonts w:ascii="Times New Roman" w:hAnsi="Times New Roman" w:cs="Times New Roman"/>
          <w:i/>
          <w:iCs/>
          <w:color w:val="2F5496" w:themeColor="accent1" w:themeShade="BF"/>
          <w:sz w:val="28"/>
          <w:szCs w:val="28"/>
        </w:rPr>
        <w:t>e tenha cometido uma infração e as suas autoridades judiciárias tenham competência para investigar a mesma? Existem algumas disposições especiais relativas a um infrator que reside legalmente noutro EM? Por favor, indique-as e descreva-as brevemente.</w:t>
      </w:r>
    </w:p>
    <w:p w14:paraId="6407768E" w14:textId="77841134" w:rsidR="006775B2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Após indicarem as medidas alternativas, os participantes terão agora de indicar se estas medidas podem ser aplicadas nas mesmas condições a um infrator que resida legalmente noutro EM. Aqui, os participantes fornecerão as suas disposições nacionais a este respeito (indicando se são implementadas disposições especiais em relação a um infrator que resida legalmente noutro EM).</w:t>
      </w:r>
    </w:p>
    <w:p w14:paraId="7CDBBF2C" w14:textId="7780AF5B" w:rsidR="008E5AF7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i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>Q3:</w:t>
      </w:r>
      <w:r w:rsidRPr="00EE52F9">
        <w:rPr>
          <w:rFonts w:ascii="Times New Roman" w:hAnsi="Times New Roman" w:cs="Times New Roman"/>
          <w:i/>
          <w:iCs/>
          <w:color w:val="2F5496" w:themeColor="accent1" w:themeShade="BF"/>
          <w:sz w:val="28"/>
          <w:szCs w:val="28"/>
        </w:rPr>
        <w:t xml:space="preserve"> Se a autoridade competente no seu país impõe medidas de controlo ao infrator, é possível, de acordo com a sua legislação nacional, pedir a transferência da supervisão para que o infrator legalmente residente noutro EM </w:t>
      </w: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 xml:space="preserve">seja supervisionado no seu país </w:t>
      </w:r>
      <w:r w:rsidRPr="00EE52F9">
        <w:rPr>
          <w:rFonts w:ascii="Times New Roman" w:hAnsi="Times New Roman" w:cs="Times New Roman"/>
          <w:i/>
          <w:iCs/>
          <w:color w:val="2F5496" w:themeColor="accent1" w:themeShade="BF"/>
          <w:sz w:val="28"/>
          <w:szCs w:val="28"/>
        </w:rPr>
        <w:t>pela autoridade competente enquanto aguarda o julgamento no seu país? Qual é o instrumento jurídico aplicável neste caso?</w:t>
      </w:r>
    </w:p>
    <w:p w14:paraId="6315E350" w14:textId="74122775" w:rsidR="00E6420B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Nesta situação, é aplicável a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Decisão-Quadro 2009/829/JAI</w:t>
      </w:r>
      <w:r w:rsidRPr="00EE52F9">
        <w:rPr>
          <w:rStyle w:val="Refdenotaderodap"/>
          <w:rFonts w:ascii="Times New Roman" w:hAnsi="Times New Roman" w:cs="Times New Roman"/>
          <w:b/>
          <w:bCs/>
          <w:sz w:val="28"/>
          <w:szCs w:val="28"/>
        </w:rPr>
        <w:footnoteReference w:id="1"/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 do Conselho, de 23 de outubro de 2009, relativa à aplicação, entre os Estados-Membros da União Europeia, do princípio do reconhecimento mútuo às decisões sobre medidas de controlo, em alternativa à prisão preventiva </w:t>
      </w:r>
      <w:r w:rsidRPr="00EE52F9">
        <w:rPr>
          <w:rFonts w:ascii="Times New Roman" w:hAnsi="Times New Roman" w:cs="Times New Roman"/>
          <w:sz w:val="28"/>
          <w:szCs w:val="28"/>
        </w:rPr>
        <w:t xml:space="preserve">(Decisão Europeia de Controlo Judicial), que tinha de ser implementada até 1 de dezembro de 2012. </w:t>
      </w:r>
    </w:p>
    <w:p w14:paraId="4F41AE8E" w14:textId="1ED44001" w:rsidR="00000A64" w:rsidRPr="00EE52F9" w:rsidRDefault="00CE7113" w:rsidP="00000A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A decisão acima referida foi implementada por quase todos os Estados-Membros da União Europeia, exceto pela Irlanda, que se encontra atualmente a implementar a Decisão-Quadro do Conselho, embora o período de implementação já tenha decorrido.</w:t>
      </w:r>
    </w:p>
    <w:tbl>
      <w:tblPr>
        <w:tblW w:w="9021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1"/>
      </w:tblGrid>
      <w:tr w:rsidR="00830A36" w:rsidRPr="00EE52F9" w14:paraId="5DA8157C" w14:textId="77777777" w:rsidTr="008E302E">
        <w:trPr>
          <w:trHeight w:val="1266"/>
        </w:trPr>
        <w:tc>
          <w:tcPr>
            <w:tcW w:w="9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30C34" w14:textId="4FA82946" w:rsidR="00000A64" w:rsidRPr="00EE52F9" w:rsidRDefault="00CE7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O </w:t>
            </w:r>
            <w:r w:rsidRPr="00EE52F9">
              <w:rPr>
                <w:rFonts w:ascii="Times New Roman" w:hAnsi="Times New Roman"/>
                <w:i/>
                <w:iCs/>
                <w:sz w:val="28"/>
                <w:szCs w:val="28"/>
              </w:rPr>
              <w:t>estado de implementação</w:t>
            </w:r>
            <w:r w:rsidRPr="00EE52F9">
              <w:rPr>
                <w:rFonts w:ascii="Times New Roman" w:hAnsi="Times New Roman"/>
                <w:sz w:val="28"/>
                <w:szCs w:val="28"/>
              </w:rPr>
              <w:t xml:space="preserve"> da</w:t>
            </w:r>
            <w:r w:rsidRPr="00EE52F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/>
                <w:sz w:val="28"/>
                <w:szCs w:val="28"/>
              </w:rPr>
              <w:t xml:space="preserve">Decisão-Quadro do Conselho </w:t>
            </w:r>
            <w:r w:rsidRPr="00EE52F9">
              <w:rPr>
                <w:rFonts w:ascii="Times New Roman" w:hAnsi="Times New Roman"/>
                <w:sz w:val="28"/>
                <w:szCs w:val="28"/>
                <w:shd w:val="clear" w:color="auto" w:fill="B4C6E7" w:themeFill="accent1" w:themeFillTint="66"/>
              </w:rPr>
              <w:t xml:space="preserve">2009/829/JAI de 23 de outubro de 2009 está disponível no sítio Web da RJE – </w:t>
            </w:r>
            <w:hyperlink r:id="rId8" w:history="1">
              <w:r w:rsidRPr="00EE52F9">
                <w:rPr>
                  <w:rStyle w:val="Hiperligao"/>
                  <w:rFonts w:ascii="Times New Roman" w:hAnsi="Times New Roman" w:cs="Times New Roman"/>
                  <w:sz w:val="28"/>
                  <w:szCs w:val="28"/>
                  <w:shd w:val="clear" w:color="auto" w:fill="B4C6E7" w:themeFill="accent1" w:themeFillTint="66"/>
                </w:rPr>
                <w:t>www.ejn-crimjust.europa.eu</w:t>
              </w:r>
            </w:hyperlink>
            <w:r w:rsidRPr="00EE52F9">
              <w:rPr>
                <w:rFonts w:ascii="Times New Roman" w:hAnsi="Times New Roman"/>
                <w:sz w:val="28"/>
                <w:szCs w:val="28"/>
                <w:shd w:val="clear" w:color="auto" w:fill="B4C6E7" w:themeFill="accent1" w:themeFillTint="66"/>
              </w:rPr>
              <w:t xml:space="preserve"> (na secção </w:t>
            </w:r>
            <w:hyperlink r:id="rId9" w:history="1">
              <w:r w:rsidRPr="00EE52F9">
                <w:rPr>
                  <w:rStyle w:val="Hiperligao"/>
                  <w:rFonts w:ascii="Times New Roman" w:hAnsi="Times New Roman" w:cs="Times New Roman"/>
                  <w:sz w:val="28"/>
                  <w:szCs w:val="28"/>
                  <w:u w:val="none"/>
                  <w:shd w:val="clear" w:color="auto" w:fill="B4C6E7" w:themeFill="accent1" w:themeFillTint="66"/>
                </w:rPr>
                <w:t xml:space="preserve">dedicada </w:t>
              </w:r>
              <w:r w:rsidRPr="00EE52F9">
                <w:rPr>
                  <w:rStyle w:val="Hiperligao"/>
                  <w:rFonts w:ascii="Times New Roman" w:hAnsi="Times New Roman" w:cs="Times New Roman"/>
                  <w:sz w:val="28"/>
                  <w:szCs w:val="28"/>
                  <w:shd w:val="clear" w:color="auto" w:fill="B4C6E7" w:themeFill="accent1" w:themeFillTint="66"/>
                </w:rPr>
                <w:t>à DQC 2009/829/JAI</w:t>
              </w:r>
            </w:hyperlink>
            <w:r w:rsidRPr="00EE52F9">
              <w:rPr>
                <w:rFonts w:ascii="Times New Roman" w:hAnsi="Times New Roman"/>
                <w:sz w:val="28"/>
                <w:szCs w:val="28"/>
                <w:u w:val="single"/>
                <w:shd w:val="clear" w:color="auto" w:fill="B4C6E7" w:themeFill="accent1" w:themeFillTint="66"/>
              </w:rPr>
              <w:t>)</w:t>
            </w:r>
          </w:p>
        </w:tc>
      </w:tr>
    </w:tbl>
    <w:p w14:paraId="179A08D7" w14:textId="77777777" w:rsidR="00EE1F2F" w:rsidRPr="00EE52F9" w:rsidRDefault="0096751E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EF300F" w14:textId="7A1AD7F5" w:rsidR="004B1AAB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Tendo em conta que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o princípio do reconhecimento mútuo </w:t>
      </w:r>
      <w:r w:rsidRPr="00EE52F9">
        <w:rPr>
          <w:rFonts w:ascii="Times New Roman" w:hAnsi="Times New Roman" w:cs="Times New Roman"/>
          <w:sz w:val="28"/>
          <w:szCs w:val="28"/>
        </w:rPr>
        <w:t xml:space="preserve">deve também aplicar-se às decisões anteriores ao julgamento, este instrumento jurídico permite que uma pessoa residente num Estado-Membro, mas sujeita ao processo penal num segundo Estado-Membro,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seja supervisionada pelas autoridades do Estado em que é residente enquanto aguarda julgamento </w:t>
      </w:r>
      <w:r w:rsidRPr="00EE52F9">
        <w:rPr>
          <w:rFonts w:ascii="Times New Roman" w:hAnsi="Times New Roman" w:cs="Times New Roman"/>
          <w:sz w:val="28"/>
          <w:szCs w:val="28"/>
        </w:rPr>
        <w:t xml:space="preserve">e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assegura que não seja tratada de forma diferente </w:t>
      </w:r>
      <w:r w:rsidRPr="00EE52F9">
        <w:rPr>
          <w:rFonts w:ascii="Times New Roman" w:hAnsi="Times New Roman" w:cs="Times New Roman"/>
          <w:sz w:val="28"/>
          <w:szCs w:val="28"/>
        </w:rPr>
        <w:t>de uma pessoa sujeita a processo penal que é residente nesse EM.</w:t>
      </w:r>
    </w:p>
    <w:p w14:paraId="54F0488F" w14:textId="410EFFB9" w:rsidR="00CA7AF9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 Decisão-quadro tem como principais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objetivos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a promoção, quando apropriado, do uso de medidas não privativas de liberdade como alternativa à prisão preventiva</w:t>
      </w:r>
      <w:r w:rsidRPr="00EE52F9">
        <w:rPr>
          <w:rFonts w:ascii="Times New Roman" w:hAnsi="Times New Roman" w:cs="Times New Roman"/>
          <w:sz w:val="28"/>
          <w:szCs w:val="28"/>
        </w:rPr>
        <w:t xml:space="preserve">, mesmo quando, de acordo com a legislação do Estado-Membro em causa, não possa ser imposta </w:t>
      </w:r>
      <w:proofErr w:type="spellStart"/>
      <w:r w:rsidRPr="00EE52F9">
        <w:rPr>
          <w:rFonts w:ascii="Times New Roman" w:hAnsi="Times New Roman" w:cs="Times New Roman"/>
          <w:sz w:val="28"/>
          <w:szCs w:val="28"/>
        </w:rPr>
        <w:t>ab</w:t>
      </w:r>
      <w:proofErr w:type="spellEnd"/>
      <w:r w:rsidRPr="00EE5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 w:cs="Times New Roman"/>
          <w:sz w:val="28"/>
          <w:szCs w:val="28"/>
        </w:rPr>
        <w:t>initio</w:t>
      </w:r>
      <w:proofErr w:type="spellEnd"/>
      <w:r w:rsidRPr="00EE52F9">
        <w:rPr>
          <w:rFonts w:ascii="Times New Roman" w:hAnsi="Times New Roman" w:cs="Times New Roman"/>
          <w:sz w:val="28"/>
          <w:szCs w:val="28"/>
        </w:rPr>
        <w:t xml:space="preserve"> uma prisão preventiva e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para garantir o regular exercício da justiça e, em especial, a comparência da pessoa em causa no julgamento.</w:t>
      </w:r>
    </w:p>
    <w:p w14:paraId="0C80A4C8" w14:textId="61D76051" w:rsidR="00BD0741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As medidas previstas na DQC devem também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reforçar o direito à liberdade e à presunção de inocência na União Europeia e assegurar a cooperação entre os Estados-Membros nos casos em que uma pessoa é sujeita a obrigações ou a medidas de controlo enquanto aguarda a decisão de um tribunal</w:t>
      </w:r>
    </w:p>
    <w:tbl>
      <w:tblPr>
        <w:tblW w:w="91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8"/>
      </w:tblGrid>
      <w:tr w:rsidR="00830A36" w:rsidRPr="00EE52F9" w14:paraId="44C0E5A1" w14:textId="77777777" w:rsidTr="003D297B">
        <w:trPr>
          <w:trHeight w:val="1240"/>
        </w:trPr>
        <w:tc>
          <w:tcPr>
            <w:tcW w:w="9108" w:type="dxa"/>
            <w:shd w:val="clear" w:color="auto" w:fill="B4C6E7" w:themeFill="accent1" w:themeFillTint="66"/>
          </w:tcPr>
          <w:p w14:paraId="30ABAAB6" w14:textId="72DBCC36" w:rsidR="00BD0741" w:rsidRPr="00EE52F9" w:rsidRDefault="00CE7113" w:rsidP="000A4609">
            <w:pPr>
              <w:spacing w:line="240" w:lineRule="auto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Ainda assim, a DQC não confere qualquer direito a uma pessoa à utilização, no decurso de um processo penal, de uma medida não privativa de liberdade como alternativa à custódia. Esta é uma matéria </w:t>
            </w:r>
            <w:r w:rsidRPr="00EE5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regida pela lei e procedimentos do Estado-Membro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onde decorre o processo penal (n.º 2 do Artigo 2.º da DQC).</w:t>
            </w:r>
          </w:p>
        </w:tc>
      </w:tr>
    </w:tbl>
    <w:p w14:paraId="20C0FCB1" w14:textId="77777777" w:rsidR="00CC73A0" w:rsidRPr="00EE52F9" w:rsidRDefault="0096751E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7BF370" w14:textId="1E96F851" w:rsidR="006B4AFF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Neste momento, os participantes devem poder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identificar as disposições nacionais de aplicação da DQC 2009/829/JAI</w:t>
      </w:r>
      <w:r w:rsidRPr="00EE52F9">
        <w:rPr>
          <w:rFonts w:ascii="Times New Roman" w:hAnsi="Times New Roman" w:cs="Times New Roman"/>
          <w:sz w:val="28"/>
          <w:szCs w:val="28"/>
        </w:rPr>
        <w:t>, conforme comunicado na sua notificação ao Secretariado-Geral do Conselho da União Europeia.</w:t>
      </w:r>
    </w:p>
    <w:p w14:paraId="608A034E" w14:textId="75361758" w:rsidR="00543D74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 informação relativa à implementação da DQC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para cada EM </w:t>
      </w:r>
      <w:r w:rsidRPr="00EE52F9">
        <w:rPr>
          <w:rFonts w:ascii="Times New Roman" w:hAnsi="Times New Roman" w:cs="Times New Roman"/>
          <w:sz w:val="28"/>
          <w:szCs w:val="28"/>
        </w:rPr>
        <w:t>está disponível no sítio Web da RJE, como indicado acima.</w:t>
      </w:r>
    </w:p>
    <w:p w14:paraId="4A4811A8" w14:textId="49DA4853" w:rsidR="007232B3" w:rsidRPr="00EE52F9" w:rsidRDefault="00CE7113" w:rsidP="000A4609">
      <w:pPr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6FC9C15B" w14:textId="4068D7EB" w:rsidR="00B43037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lastRenderedPageBreak/>
        <w:t>A. II. Exercícios:</w:t>
      </w:r>
    </w:p>
    <w:p w14:paraId="280BBB48" w14:textId="041ECD87" w:rsidR="00C06687" w:rsidRPr="00EE52F9" w:rsidRDefault="00CE7113" w:rsidP="000A4609">
      <w:pPr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Encontre as seguintes autoridades competentes de execução e as línguas a utilizar na Certidão (para processos penais gerais):</w:t>
      </w:r>
    </w:p>
    <w:p w14:paraId="10E39A71" w14:textId="77777777" w:rsidR="00806B62" w:rsidRPr="00EE52F9" w:rsidRDefault="0096751E" w:rsidP="000A4609">
      <w:pPr>
        <w:jc w:val="both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3144053F" w14:textId="372A822E" w:rsidR="00806B62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A fim de encontrar as autoridades competentes, utilizaremos o </w:t>
      </w:r>
      <w:hyperlink r:id="rId10" w:history="1">
        <w:r w:rsidRPr="00EE52F9">
          <w:rPr>
            <w:rStyle w:val="Hiperligao"/>
            <w:rFonts w:ascii="Times New Roman" w:eastAsia="Calibri" w:hAnsi="Times New Roman" w:cs="Times New Roman"/>
            <w:b/>
            <w:bCs/>
            <w:i/>
            <w:iCs/>
            <w:sz w:val="28"/>
            <w:szCs w:val="28"/>
          </w:rPr>
          <w:t>Atlas</w:t>
        </w:r>
      </w:hyperlink>
      <w:r w:rsidRPr="00EE52F9">
        <w:rPr>
          <w:rFonts w:ascii="Times New Roman" w:hAnsi="Times New Roman"/>
          <w:sz w:val="28"/>
          <w:szCs w:val="28"/>
        </w:rPr>
        <w:t xml:space="preserve"> disponível no sítio Web da RJE – </w:t>
      </w:r>
      <w:hyperlink r:id="rId11" w:history="1">
        <w:r w:rsidRPr="00EE52F9">
          <w:rPr>
            <w:rFonts w:ascii="Times New Roman" w:hAnsi="Times New Roman"/>
            <w:color w:val="0563C1"/>
            <w:sz w:val="28"/>
            <w:szCs w:val="28"/>
            <w:u w:val="single"/>
          </w:rPr>
          <w:t>www.ejn-crimjust.europa.eu</w:t>
        </w:r>
      </w:hyperlink>
      <w:r w:rsidRPr="00EE52F9">
        <w:rPr>
          <w:rFonts w:ascii="Times New Roman" w:hAnsi="Times New Roman"/>
          <w:sz w:val="28"/>
          <w:szCs w:val="28"/>
        </w:rPr>
        <w:t xml:space="preserve"> selecionar os EM de execução como países de execução e </w:t>
      </w:r>
      <w:r w:rsidRPr="00EE52F9">
        <w:rPr>
          <w:rFonts w:ascii="Times New Roman" w:hAnsi="Times New Roman"/>
          <w:i/>
          <w:iCs/>
          <w:sz w:val="28"/>
          <w:szCs w:val="28"/>
        </w:rPr>
        <w:t>905</w:t>
      </w:r>
      <w:r w:rsidRPr="00EE52F9">
        <w:rPr>
          <w:rFonts w:ascii="Times New Roman" w:hAnsi="Times New Roman"/>
          <w:sz w:val="28"/>
          <w:szCs w:val="28"/>
        </w:rPr>
        <w:t>.</w:t>
      </w:r>
      <w:r w:rsidRPr="00EE52F9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i/>
          <w:iCs/>
          <w:sz w:val="28"/>
          <w:szCs w:val="28"/>
        </w:rPr>
        <w:t>Execution</w:t>
      </w:r>
      <w:proofErr w:type="spellEnd"/>
      <w:r w:rsidRPr="00EE52F9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i/>
          <w:iCs/>
          <w:sz w:val="28"/>
          <w:szCs w:val="28"/>
        </w:rPr>
        <w:t>of</w:t>
      </w:r>
      <w:proofErr w:type="spellEnd"/>
      <w:r w:rsidRPr="00EE52F9">
        <w:rPr>
          <w:rFonts w:ascii="Times New Roman" w:hAnsi="Times New Roman"/>
          <w:i/>
          <w:iCs/>
          <w:sz w:val="28"/>
          <w:szCs w:val="28"/>
        </w:rPr>
        <w:t xml:space="preserve"> a </w:t>
      </w:r>
      <w:proofErr w:type="spellStart"/>
      <w:r w:rsidRPr="00EE52F9">
        <w:rPr>
          <w:rFonts w:ascii="Times New Roman" w:hAnsi="Times New Roman"/>
          <w:i/>
          <w:iCs/>
          <w:sz w:val="28"/>
          <w:szCs w:val="28"/>
        </w:rPr>
        <w:t>Supervision</w:t>
      </w:r>
      <w:proofErr w:type="spellEnd"/>
      <w:r w:rsidRPr="00EE52F9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i/>
          <w:iCs/>
          <w:sz w:val="28"/>
          <w:szCs w:val="28"/>
        </w:rPr>
        <w:t>Measure</w:t>
      </w:r>
      <w:proofErr w:type="spellEnd"/>
      <w:r w:rsidRPr="00EE52F9">
        <w:rPr>
          <w:rFonts w:ascii="Times New Roman" w:hAnsi="Times New Roman"/>
          <w:i/>
          <w:iCs/>
          <w:sz w:val="28"/>
          <w:szCs w:val="28"/>
        </w:rPr>
        <w:t xml:space="preserve"> (Execução de uma Medida de Controlo).</w:t>
      </w:r>
    </w:p>
    <w:p w14:paraId="23B95307" w14:textId="2C33752B" w:rsidR="00000A64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>Tendo em conta as línguas para a Certidão, utilizaremos a secção – Medidas de Controlo – Notificações para cada um dos EM</w:t>
      </w:r>
      <w:r w:rsidRPr="00EE52F9">
        <w:rPr>
          <w:rFonts w:ascii="Times New Roman" w:hAnsi="Times New Roman"/>
          <w:color w:val="4472C4" w:themeColor="accent1"/>
          <w:sz w:val="28"/>
          <w:szCs w:val="28"/>
          <w:u w:val="single"/>
        </w:rPr>
        <w:t xml:space="preserve"> </w:t>
      </w:r>
      <w:hyperlink r:id="rId12" w:history="1">
        <w:r w:rsidRPr="00EE52F9">
          <w:rPr>
            <w:rFonts w:ascii="Times New Roman" w:hAnsi="Times New Roman"/>
            <w:color w:val="0563C1"/>
            <w:sz w:val="28"/>
            <w:szCs w:val="28"/>
            <w:u w:val="single"/>
          </w:rPr>
          <w:t>disponível no sítio Web da RJE</w:t>
        </w:r>
      </w:hyperlink>
      <w:r w:rsidRPr="00EE52F9">
        <w:rPr>
          <w:rFonts w:ascii="Times New Roman" w:hAnsi="Times New Roman"/>
          <w:color w:val="0563C1"/>
          <w:sz w:val="28"/>
          <w:szCs w:val="28"/>
          <w:u w:val="single"/>
        </w:rPr>
        <w:t>.</w:t>
      </w:r>
    </w:p>
    <w:p w14:paraId="2AECE1DF" w14:textId="6B1EF5CA" w:rsidR="00806B62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Se nada for notificado em relação ao Artigo 24.º da DQC, então será(</w:t>
      </w:r>
      <w:proofErr w:type="spellStart"/>
      <w:r w:rsidRPr="00EE52F9">
        <w:rPr>
          <w:rFonts w:ascii="Times New Roman" w:eastAsia="Calibri" w:hAnsi="Times New Roman" w:cs="Times New Roman"/>
          <w:sz w:val="28"/>
          <w:szCs w:val="28"/>
        </w:rPr>
        <w:t>ão</w:t>
      </w:r>
      <w:proofErr w:type="spellEnd"/>
      <w:r w:rsidRPr="00EE52F9">
        <w:rPr>
          <w:rFonts w:ascii="Times New Roman" w:eastAsia="Calibri" w:hAnsi="Times New Roman" w:cs="Times New Roman"/>
          <w:sz w:val="28"/>
          <w:szCs w:val="28"/>
        </w:rPr>
        <w:t>) utilizada(s) a(s) língua(s) oficial(ais) do EM.</w:t>
      </w:r>
    </w:p>
    <w:p w14:paraId="7D6B7EFD" w14:textId="26AACDCC" w:rsidR="005964AE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Os resultados devem ser os seguintes:</w:t>
      </w:r>
    </w:p>
    <w:p w14:paraId="2B2B2555" w14:textId="47B442E4" w:rsidR="00806B62" w:rsidRPr="00EE52F9" w:rsidRDefault="00CE7113" w:rsidP="003D297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1. Uma autoridade competente alemã quer transferir a supervisão da pessoa condenada A.N. que reside legal e habitualmente em Bruxelas, Bélgica.</w:t>
      </w: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90"/>
      </w:tblGrid>
      <w:tr w:rsidR="00830A36" w:rsidRPr="00EE52F9" w14:paraId="23CB430E" w14:textId="77777777" w:rsidTr="003D297B">
        <w:trPr>
          <w:trHeight w:val="4067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EF28A" w14:textId="480FC720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Nome: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Parket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van de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procureur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des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Konings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te Brussel (Bureau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CIS)- Parquet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du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procureur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du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Roi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de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Bruxelles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(Bureau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CIS) </w:t>
            </w:r>
          </w:p>
          <w:p w14:paraId="54AB7305" w14:textId="058F1A95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Morada: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Portalis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Rue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des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Quatre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bras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, 4 </w:t>
            </w:r>
          </w:p>
          <w:p w14:paraId="50686D51" w14:textId="77777777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Departamento (Divisão): </w:t>
            </w:r>
          </w:p>
          <w:p w14:paraId="5136A8D9" w14:textId="71A14008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Cidade: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Bruxelas </w:t>
            </w:r>
          </w:p>
          <w:p w14:paraId="38F8604E" w14:textId="10FB05CD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Código postal: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1000 </w:t>
            </w:r>
          </w:p>
          <w:p w14:paraId="2B935127" w14:textId="38EC2AA2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Número de telefone: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+32 (0)2 508 70 80 </w:t>
            </w:r>
          </w:p>
          <w:p w14:paraId="4D9CFD37" w14:textId="77777777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Telemóvel: </w:t>
            </w:r>
          </w:p>
          <w:p w14:paraId="1AAAFBBA" w14:textId="5E10E623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Número de fax: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+32 (0)2 519 82 96 </w:t>
            </w:r>
          </w:p>
          <w:p w14:paraId="2C87D2C2" w14:textId="6DA2735C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E52F9">
              <w:rPr>
                <w:rFonts w:ascii="Times New Roman" w:hAnsi="Times New Roman"/>
                <w:b/>
                <w:bCs/>
                <w:color w:val="2F5496" w:themeColor="accent1" w:themeShade="BF"/>
                <w:sz w:val="28"/>
                <w:szCs w:val="28"/>
              </w:rPr>
              <w:t>Endereço de Correio Eletrónico:</w:t>
            </w:r>
            <w:r w:rsidRPr="00EE52F9">
              <w:rPr>
                <w:rFonts w:ascii="Times New Roman" w:hAnsi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tab/>
            </w:r>
            <w:hyperlink r:id="rId13" w:history="1">
              <w:r w:rsidRPr="00EE52F9">
                <w:rPr>
                  <w:rStyle w:val="Hiperligao"/>
                  <w:rFonts w:ascii="Times New Roman" w:hAnsi="Times New Roman" w:cs="Times New Roman"/>
                  <w:sz w:val="28"/>
                  <w:szCs w:val="28"/>
                </w:rPr>
                <w:t>cis.bxl@just.fgov.be</w:t>
              </w:r>
            </w:hyperlink>
          </w:p>
          <w:p w14:paraId="71AD1B30" w14:textId="77777777" w:rsidR="00C06687" w:rsidRPr="00EE52F9" w:rsidRDefault="0096751E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901EB" w14:textId="5EAEE72D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De acordo com o Artigo 24.º da DQC, as línguas aceites pelas autoridades belgas são: </w:t>
            </w:r>
            <w:r w:rsidR="008E302E" w:rsidRPr="00EE5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holandês</w:t>
            </w:r>
            <w:r w:rsidRPr="00EE5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francês, alemão e inglês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CFD3FAB" w14:textId="552C8083" w:rsidR="00835C3D" w:rsidRPr="00EE52F9" w:rsidRDefault="00CE7113" w:rsidP="000A4609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29D88515" w14:textId="77777777" w:rsidR="00835C3D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lastRenderedPageBreak/>
        <w:t>2. Uma autoridade competente francesa quer transferir a supervisão da pessoa condenada B.C. que reside legal e habitualmente em Vigo, Espanha.</w:t>
      </w:r>
    </w:p>
    <w:p w14:paraId="33293AE4" w14:textId="77777777" w:rsidR="00835C3D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90"/>
      </w:tblGrid>
      <w:tr w:rsidR="00830A36" w:rsidRPr="00EE52F9" w14:paraId="2F77D64D" w14:textId="77777777" w:rsidTr="003D297B">
        <w:trPr>
          <w:trHeight w:val="3383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7B240" w14:textId="08874AD5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Nome: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Oficina Decanato de Vigo (para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su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reparto a los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Juzgados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de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Instruccion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6A0E1DDC" w14:textId="6FCF01A8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Morada: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Lalín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, 4 </w:t>
            </w:r>
          </w:p>
          <w:p w14:paraId="3A9C6E3E" w14:textId="77777777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Departamento (Divisão): </w:t>
            </w:r>
          </w:p>
          <w:p w14:paraId="1E3E1AE4" w14:textId="352184C0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Cidade: 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Vigo </w:t>
            </w:r>
          </w:p>
          <w:p w14:paraId="4F9A528D" w14:textId="7DCB827F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Código postal: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36209 </w:t>
            </w:r>
          </w:p>
          <w:p w14:paraId="6E5DCE20" w14:textId="420BD5B0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Número de telefone: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+34986817168 </w:t>
            </w:r>
          </w:p>
          <w:p w14:paraId="1FB998D7" w14:textId="77777777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Telemóvel:</w:t>
            </w:r>
          </w:p>
          <w:p w14:paraId="2E292348" w14:textId="77777777" w:rsidR="00C06687" w:rsidRPr="00EE52F9" w:rsidRDefault="0096751E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B5D51" w14:textId="77777777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De acordo com o Artigo 24.º da DQC, a língua aceite pelas autoridades espanholas é o </w:t>
            </w:r>
            <w:r w:rsidRPr="00EE5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espanhol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36514C7" w14:textId="5B11A078" w:rsidR="00C06687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525EA0" w14:textId="74D0F83F" w:rsidR="00835C3D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3. Uma autoridade competente espanhola quer transferir a supervisão da pessoa condenada M.M. que reside legalmente e habitualmente em Viena, Áustria.</w:t>
      </w:r>
    </w:p>
    <w:p w14:paraId="4E460C23" w14:textId="77777777" w:rsidR="00835C3D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90"/>
      </w:tblGrid>
      <w:tr w:rsidR="00830A36" w:rsidRPr="00EE52F9" w14:paraId="126BBA2D" w14:textId="77777777" w:rsidTr="003D297B">
        <w:trPr>
          <w:trHeight w:val="2420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AD0BC" w14:textId="0FD08B6A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Nome: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Staatsanwaltschaft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Vienna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086B037" w14:textId="26291874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Morada: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Landesgerichtsstraße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11 </w:t>
            </w:r>
          </w:p>
          <w:p w14:paraId="6A22E174" w14:textId="77777777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Departamento (Divisão): </w:t>
            </w:r>
          </w:p>
          <w:p w14:paraId="5730172D" w14:textId="4E81252B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Cidade: 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Viena </w:t>
            </w:r>
          </w:p>
          <w:p w14:paraId="6AF5F2BC" w14:textId="07D47CFC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Código postal: 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ab/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1082 </w:t>
            </w:r>
          </w:p>
          <w:p w14:paraId="786E0AE2" w14:textId="7EE6478C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Número de telefone: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+43 1 40127 0 </w:t>
            </w:r>
          </w:p>
          <w:p w14:paraId="30A47238" w14:textId="77777777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Telemóvel: </w:t>
            </w:r>
          </w:p>
          <w:p w14:paraId="2FBE9A66" w14:textId="1E5C3821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Número de fax:</w:t>
            </w:r>
            <w:r w:rsidRPr="00EE52F9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+43 1 40127 306950 </w:t>
            </w:r>
          </w:p>
          <w:p w14:paraId="3E35FC8B" w14:textId="77777777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Correio Eletrónico:</w:t>
            </w:r>
          </w:p>
          <w:p w14:paraId="382630E5" w14:textId="77777777" w:rsidR="00C06687" w:rsidRPr="00EE52F9" w:rsidRDefault="0096751E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E9736" w14:textId="77777777" w:rsidR="00C06687" w:rsidRPr="00EE52F9" w:rsidRDefault="00CE7113" w:rsidP="003D297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Deve ser anexada à certidão uma tradução para alemão. As certidões noutras línguas são aceites com base na reciprocidade, ou seja, na condição de que o Estado emissor também aceite certidões em </w:t>
            </w:r>
            <w:r w:rsidRPr="00EE5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alemão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como Estado de execução.</w:t>
            </w:r>
          </w:p>
        </w:tc>
      </w:tr>
    </w:tbl>
    <w:p w14:paraId="49D215BB" w14:textId="3585BF2E" w:rsidR="00835C3D" w:rsidRPr="00EE52F9" w:rsidRDefault="0096751E" w:rsidP="000A460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62C88B7" w14:textId="228E06A8" w:rsidR="00C06687" w:rsidRPr="00EE52F9" w:rsidRDefault="00CE7113" w:rsidP="000A460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563CD2D8" w14:textId="195A9102" w:rsidR="00B244E9" w:rsidRPr="00EE52F9" w:rsidRDefault="00CE7113" w:rsidP="000A460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lastRenderedPageBreak/>
        <w:t>A. III. Cenário de caso: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EB97ECD" w14:textId="1BB0D5BF" w:rsidR="00543D74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>Q1:</w:t>
      </w:r>
      <w:r w:rsidRPr="00EE52F9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A supervisão das obrigações impostas a A.W. pode ser executada na Áustria? </w:t>
      </w:r>
    </w:p>
    <w:p w14:paraId="5F9460BE" w14:textId="7C5D8C22" w:rsidR="00CC360E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Neste caso, as autoridades competentes romenas podem solicitar a transferência da supervisão das obrigações a impor a A.W. para as autoridades competentes austríacas e o instrumento jurídico aplicável é a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Decisão-Quadro 2009/829/JAI do Conselho, de 23 de outubro de 2009, relativa à aplicação, entre os Estados-Membros da União Europeia, do princípio do reconhecimento mútuo às decisões sobre medidas de controlo, em alternativa à prisão preventiva </w:t>
      </w:r>
      <w:r w:rsidRPr="00EE52F9">
        <w:rPr>
          <w:rFonts w:ascii="Times New Roman" w:hAnsi="Times New Roman" w:cs="Times New Roman"/>
          <w:sz w:val="28"/>
          <w:szCs w:val="28"/>
        </w:rPr>
        <w:t>(Decisão Europeia de Controlo Judicial), que tinha de ser implementada até 1 de dezembro de 2012.</w:t>
      </w:r>
    </w:p>
    <w:p w14:paraId="5A50509C" w14:textId="47E8F65E" w:rsidR="00CC360E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A DQC acima mencionada </w:t>
      </w:r>
      <w:r w:rsidRPr="00EE52F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foi implementada por dois EM </w:t>
      </w:r>
      <w:r w:rsidRPr="00EE52F9">
        <w:rPr>
          <w:rFonts w:ascii="Times New Roman" w:eastAsia="Calibri" w:hAnsi="Times New Roman" w:cs="Times New Roman"/>
          <w:sz w:val="28"/>
          <w:szCs w:val="28"/>
        </w:rPr>
        <w:t>(a legislação nacional austríaca de implementação da DQC entrou em vigor a 1 de agosto de 2013 e a legislação nacional romena de implementação da DQC entrou em vigor a 26 de dezembro de 2013).</w:t>
      </w:r>
    </w:p>
    <w:p w14:paraId="443478BA" w14:textId="53A9C544" w:rsidR="00D6723D" w:rsidRPr="00EE52F9" w:rsidRDefault="00CE7113" w:rsidP="00CC73A0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As autoridades competentes romenas aplicarão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>as disposições da legislação nacional de aplicação da DQC</w:t>
      </w:r>
      <w:r w:rsidRPr="00EE52F9">
        <w:rPr>
          <w:rFonts w:ascii="Times New Roman" w:eastAsia="Calibri" w:hAnsi="Times New Roman" w:cs="Times New Roman"/>
          <w:sz w:val="28"/>
          <w:szCs w:val="28"/>
        </w:rPr>
        <w:t>, a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eastAsia="Calibri" w:hAnsi="Times New Roman" w:cs="Times New Roman"/>
          <w:sz w:val="28"/>
          <w:szCs w:val="28"/>
        </w:rPr>
        <w:t>fim de transmitirem a decisão sobre a medida de controlo às autoridades competentes dos outros EM.</w:t>
      </w:r>
    </w:p>
    <w:p w14:paraId="35EE8B55" w14:textId="6A04CE3C" w:rsidR="00210A69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>Q2:</w:t>
      </w:r>
      <w:r w:rsidRPr="00EE52F9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Quais são os critérios para transmitir uma decisão sobre medidas de controlo a outro EM? É necessário ter o consentimento prévio de A.W. neste caso?</w:t>
      </w:r>
    </w:p>
    <w:p w14:paraId="35A0EE2F" w14:textId="4F405135" w:rsidR="000A1226" w:rsidRPr="00EE52F9" w:rsidRDefault="00CE7113" w:rsidP="00FF4AF3">
      <w:pPr>
        <w:pStyle w:val="PargrafodaLista"/>
        <w:numPr>
          <w:ilvl w:val="0"/>
          <w:numId w:val="3"/>
        </w:num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O n.º 1 do Artigo 9.º da DQC prevê que uma decisão sobre medidas de controlo pode ser transmitida à autoridade competente do Estado-Membro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em que a pessoa tem a sua residência legal e habitual</w:t>
      </w:r>
      <w:r w:rsidRPr="00EE52F9">
        <w:rPr>
          <w:rFonts w:ascii="Times New Roman" w:hAnsi="Times New Roman" w:cs="Times New Roman"/>
          <w:sz w:val="28"/>
          <w:szCs w:val="28"/>
        </w:rPr>
        <w:t xml:space="preserve">, nos casos em que a pessoa,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após ter sido informada das medidas em causa, consinta em regressar a esse Estado</w:t>
      </w:r>
      <w:r w:rsidRPr="00EE52F9">
        <w:rPr>
          <w:rFonts w:ascii="Times New Roman" w:hAnsi="Times New Roman" w:cs="Times New Roman"/>
          <w:sz w:val="28"/>
          <w:szCs w:val="28"/>
        </w:rPr>
        <w:t>.</w:t>
      </w:r>
    </w:p>
    <w:p w14:paraId="5F9E0B35" w14:textId="3D79FA2A" w:rsidR="002A5F38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Deste parágrafo, é possível verificar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duas condições </w:t>
      </w:r>
      <w:r w:rsidRPr="00EE52F9">
        <w:rPr>
          <w:rFonts w:ascii="Times New Roman" w:hAnsi="Times New Roman" w:cs="Times New Roman"/>
          <w:sz w:val="28"/>
          <w:szCs w:val="28"/>
        </w:rPr>
        <w:t xml:space="preserve">que têm de ser satisfeitas antes de transmitir uma decisão a outro EM: </w:t>
      </w:r>
      <w:r w:rsidRPr="00EE52F9">
        <w:rPr>
          <w:rFonts w:ascii="Times New Roman" w:hAnsi="Times New Roman" w:cs="Times New Roman"/>
          <w:sz w:val="28"/>
          <w:szCs w:val="28"/>
          <w:u w:val="single"/>
        </w:rPr>
        <w:t xml:space="preserve">o suspeito reside legal e habitualmente noutro EM </w:t>
      </w:r>
      <w:r w:rsidRPr="00EE52F9">
        <w:rPr>
          <w:rFonts w:ascii="Times New Roman" w:hAnsi="Times New Roman" w:cs="Times New Roman"/>
          <w:sz w:val="28"/>
          <w:szCs w:val="28"/>
        </w:rPr>
        <w:t xml:space="preserve">e, </w:t>
      </w:r>
      <w:r w:rsidRPr="00EE52F9">
        <w:rPr>
          <w:rFonts w:ascii="Times New Roman" w:hAnsi="Times New Roman" w:cs="Times New Roman"/>
          <w:sz w:val="28"/>
          <w:szCs w:val="28"/>
          <w:u w:val="single"/>
        </w:rPr>
        <w:t>após ser informado sobre as medidas em questão, consente em regressar ao EM de execução.</w:t>
      </w:r>
      <w:r w:rsidRPr="00EE52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7690D7" w14:textId="2F7C5AD1" w:rsidR="000A1226" w:rsidRPr="00EE52F9" w:rsidRDefault="00CE7113" w:rsidP="00FF4AF3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sz w:val="28"/>
          <w:szCs w:val="28"/>
        </w:rPr>
        <w:t>A DQC não pode ser utilizada contra a vontade da pessoa em causa</w:t>
      </w:r>
      <w:r w:rsidRPr="00EE52F9">
        <w:rPr>
          <w:rFonts w:ascii="Times New Roman" w:hAnsi="Times New Roman" w:cs="Times New Roman"/>
          <w:sz w:val="28"/>
          <w:szCs w:val="28"/>
        </w:rPr>
        <w:t>. O suspeito deve cooperar com as autoridades competentes onde reside durante o período de supervisão.</w:t>
      </w:r>
    </w:p>
    <w:p w14:paraId="4AAACD65" w14:textId="50B4E243" w:rsidR="001E7187" w:rsidRPr="00EE52F9" w:rsidRDefault="00CE7113" w:rsidP="001E7187">
      <w:pPr>
        <w:pStyle w:val="PargrafodaLista"/>
        <w:numPr>
          <w:ilvl w:val="0"/>
          <w:numId w:val="4"/>
        </w:num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 </w:t>
      </w:r>
      <w:r w:rsidRPr="00EE52F9">
        <w:rPr>
          <w:rFonts w:ascii="Times New Roman" w:hAnsi="Times New Roman" w:cs="Times New Roman"/>
          <w:sz w:val="28"/>
          <w:szCs w:val="28"/>
          <w:u w:val="single"/>
        </w:rPr>
        <w:t>título excecional</w:t>
      </w:r>
      <w:r w:rsidRPr="00EE52F9">
        <w:rPr>
          <w:rFonts w:ascii="Times New Roman" w:hAnsi="Times New Roman" w:cs="Times New Roman"/>
          <w:sz w:val="28"/>
          <w:szCs w:val="28"/>
        </w:rPr>
        <w:t xml:space="preserve">, o n.º 2 do Artigo 9.º da DQC prevê que a autoridade competente do Estado de emissão possa, </w:t>
      </w:r>
      <w:r w:rsidRPr="00EE52F9">
        <w:rPr>
          <w:rFonts w:ascii="Times New Roman" w:hAnsi="Times New Roman" w:cs="Times New Roman"/>
          <w:sz w:val="28"/>
          <w:szCs w:val="28"/>
          <w:u w:val="single"/>
        </w:rPr>
        <w:t>a pedido da pessoa</w:t>
      </w:r>
      <w:r w:rsidRPr="00EE52F9">
        <w:rPr>
          <w:rFonts w:ascii="Times New Roman" w:hAnsi="Times New Roman" w:cs="Times New Roman"/>
          <w:sz w:val="28"/>
          <w:szCs w:val="28"/>
        </w:rPr>
        <w:t xml:space="preserve">, transmitir a decisão sobre medidas de controlo à autoridade competente de um Estado-Membro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diferente do Estado-Membro em que a pessoa tem a sua residência legal e habitual</w:t>
      </w:r>
      <w:r w:rsidRPr="00EE52F9">
        <w:rPr>
          <w:rFonts w:ascii="Times New Roman" w:hAnsi="Times New Roman" w:cs="Times New Roman"/>
          <w:sz w:val="28"/>
          <w:szCs w:val="28"/>
        </w:rPr>
        <w:t xml:space="preserve">,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desde que esta última autoridade tenha consentido nesse envio</w:t>
      </w:r>
      <w:r w:rsidRPr="00EE52F9">
        <w:rPr>
          <w:rFonts w:ascii="Times New Roman" w:hAnsi="Times New Roman" w:cs="Times New Roman"/>
          <w:sz w:val="28"/>
          <w:szCs w:val="28"/>
        </w:rPr>
        <w:t>.</w:t>
      </w:r>
    </w:p>
    <w:p w14:paraId="4F73B9DB" w14:textId="4658F21E" w:rsidR="000A1226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lastRenderedPageBreak/>
        <w:t xml:space="preserve">Só é possível transmitir a decisão sobre medidas de controlo a outro EM </w:t>
      </w:r>
      <w:proofErr w:type="spellStart"/>
      <w:r w:rsidRPr="00EE52F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E52F9">
        <w:rPr>
          <w:rFonts w:ascii="Times New Roman" w:hAnsi="Times New Roman" w:cs="Times New Roman"/>
          <w:sz w:val="28"/>
          <w:szCs w:val="28"/>
        </w:rPr>
        <w:t xml:space="preserve"> que a pessoa resida legal e habitualmente se houver o pedido do suspeito e o consentimento dos outros EM para tal transmissão se as condições para tal consentimento forem cumpridas.</w:t>
      </w:r>
    </w:p>
    <w:p w14:paraId="2273655C" w14:textId="77777777" w:rsidR="006F2E01" w:rsidRPr="00EE52F9" w:rsidRDefault="00CE7113" w:rsidP="006F2E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Na aplicação da decisão-quadro, os Estados-Membros devem determinar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em que condições</w:t>
      </w:r>
      <w:r w:rsidRPr="00EE52F9">
        <w:rPr>
          <w:rFonts w:ascii="Times New Roman" w:hAnsi="Times New Roman" w:cs="Times New Roman"/>
          <w:sz w:val="28"/>
          <w:szCs w:val="28"/>
        </w:rPr>
        <w:t xml:space="preserve"> as suas autoridades competentes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podem consentir na transmissão de uma decisão sobre medidas de controlo nos casos em que se aplica o n.º 2.</w:t>
      </w:r>
    </w:p>
    <w:p w14:paraId="4EC1EB73" w14:textId="77777777" w:rsidR="006F2E01" w:rsidRPr="00EE52F9" w:rsidRDefault="0096751E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08" w:type="dxa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8"/>
      </w:tblGrid>
      <w:tr w:rsidR="00830A36" w:rsidRPr="00EE52F9" w14:paraId="01B9EB10" w14:textId="77777777" w:rsidTr="00FF4AF3">
        <w:trPr>
          <w:trHeight w:val="2268"/>
        </w:trPr>
        <w:tc>
          <w:tcPr>
            <w:tcW w:w="9108" w:type="dxa"/>
            <w:shd w:val="clear" w:color="auto" w:fill="B4C6E7" w:themeFill="accent1" w:themeFillTint="66"/>
          </w:tcPr>
          <w:p w14:paraId="7C680C72" w14:textId="5ED8E1EB" w:rsidR="00B244E9" w:rsidRPr="00EE52F9" w:rsidRDefault="00CE7113" w:rsidP="00FF4AF3">
            <w:pPr>
              <w:spacing w:line="240" w:lineRule="auto"/>
              <w:ind w:lef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Por exemplo,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relativamente ao n.º 2 do Artigo 9.º, a Roménia, como Estado de execução, notificou o Secretariado-Geral do Conselho da União Europeia no momento da implementação da DQC que </w:t>
            </w:r>
            <w:r w:rsidRPr="00EE52F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pode reconhecer a ordem de supervisão não só quando a pessoa é residente legal e habitual na Roménia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E5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mas também no caso de um dos seus familiares ser um cidadão romeno ou residente, ou se vai exercer uma atividade profissional, estudo ou formação na Roménia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A23AE4" w14:textId="75657C97" w:rsidR="00B244E9" w:rsidRPr="00EE52F9" w:rsidRDefault="00CE7113" w:rsidP="000A4609">
            <w:pPr>
              <w:spacing w:line="240" w:lineRule="auto"/>
              <w:ind w:lef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Por exemplo,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relativamente ao n.º 2 do Artigo 9.º, a Áustria, na qualidade de Estado de execução, notificou o Secretariado-Geral do Conselho da União Europeia no momento da implementação da DQC que pode reconhecer a supervisão </w:t>
            </w:r>
            <w:r w:rsidRPr="00EE5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independentemente de a pessoa em causa ter o seu domicílio ou residência permanente na Áustria se, devido a circunstâncias específicas, existirem laços de tal intensidade entre a pessoa em causa e a Áustria que se possa presumir que a supervisão na Áustria ajudará a facilitar a reabilitação social e a reintegração da pessoa em causa.</w:t>
            </w:r>
          </w:p>
        </w:tc>
      </w:tr>
    </w:tbl>
    <w:p w14:paraId="4FE798A4" w14:textId="3C78119F" w:rsidR="009708DE" w:rsidRPr="00EE52F9" w:rsidRDefault="0096751E" w:rsidP="000A46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8153C9" w14:textId="388C6562" w:rsidR="00470420" w:rsidRPr="00EE52F9" w:rsidRDefault="00CE7113" w:rsidP="009708DE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28533021" w14:textId="2502D079" w:rsidR="00470420" w:rsidRPr="00EE52F9" w:rsidRDefault="00CE7113" w:rsidP="000A4609">
      <w:pPr>
        <w:spacing w:line="240" w:lineRule="auto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lastRenderedPageBreak/>
        <w:t>Q3:</w:t>
      </w:r>
      <w:r w:rsidRPr="00EE52F9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É obrigatório que a autoridade competente transmita uma decisão sobre medidas de controlo às autoridades competentes de outro EM?</w:t>
      </w:r>
    </w:p>
    <w:p w14:paraId="6C82A219" w14:textId="415FD986" w:rsidR="00440455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O n.º 1 do Artigo 9.º da DQC prevê que uma decisão sobre medidas de controlo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pode ser transmitida </w:t>
      </w:r>
      <w:r w:rsidRPr="00EE52F9">
        <w:rPr>
          <w:rFonts w:ascii="Times New Roman" w:hAnsi="Times New Roman" w:cs="Times New Roman"/>
          <w:sz w:val="28"/>
          <w:szCs w:val="28"/>
        </w:rPr>
        <w:t>à autoridade competente do Estado-Membro em que a pessoa tem a sua residência legal e habitual, nos casos em que a pessoa, após ter sido informada das medidas em causa, consinta em regressar a esse Estado.</w:t>
      </w:r>
    </w:p>
    <w:p w14:paraId="740290AD" w14:textId="5B29BE26" w:rsidR="00470420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A redação utilizada pela DQC «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pode</w:t>
      </w:r>
      <w:r w:rsidRPr="00EE52F9">
        <w:rPr>
          <w:rFonts w:ascii="Times New Roman" w:hAnsi="Times New Roman" w:cs="Times New Roman"/>
          <w:sz w:val="28"/>
          <w:szCs w:val="28"/>
        </w:rPr>
        <w:t xml:space="preserve">» ser transmitida poderia induzir a ideia de que poderia ser uma decisão arbitrária da autoridade competente emissora se esta transmitisse tal decisão sobre medidas de controlo a outro EM </w:t>
      </w:r>
      <w:proofErr w:type="spellStart"/>
      <w:r w:rsidRPr="00EE52F9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E52F9">
        <w:rPr>
          <w:rFonts w:ascii="Times New Roman" w:hAnsi="Times New Roman" w:cs="Times New Roman"/>
          <w:sz w:val="28"/>
          <w:szCs w:val="28"/>
        </w:rPr>
        <w:t xml:space="preserve"> que a pessoa reside legal e habitualmente. Deveria ser assim na prática.</w:t>
      </w:r>
    </w:p>
    <w:p w14:paraId="0B80CE64" w14:textId="0B55AAEC" w:rsidR="00440455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Este parágrafo deve ser lido em conjugação com o Artigo 22.º da DQC, no qual se prevê que as autoridades competentes do Estado de emissão e do Estado de execução se </w:t>
      </w:r>
      <w:r w:rsidRPr="00EE52F9">
        <w:rPr>
          <w:rFonts w:ascii="Times New Roman" w:hAnsi="Times New Roman" w:cs="Times New Roman"/>
          <w:sz w:val="28"/>
          <w:szCs w:val="28"/>
          <w:u w:val="single"/>
        </w:rPr>
        <w:t>consultem</w:t>
      </w:r>
      <w:r w:rsidRPr="00EE52F9">
        <w:rPr>
          <w:rFonts w:ascii="Times New Roman" w:hAnsi="Times New Roman" w:cs="Times New Roman"/>
          <w:sz w:val="28"/>
          <w:szCs w:val="28"/>
        </w:rPr>
        <w:t xml:space="preserve"> mutuamente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durante a preparação ou, pelo menos, antes de enviar a decisão sobre medidas de controlo</w:t>
      </w:r>
      <w:r w:rsidRPr="00EE52F9">
        <w:rPr>
          <w:rFonts w:ascii="Times New Roman" w:hAnsi="Times New Roman" w:cs="Times New Roman"/>
          <w:sz w:val="28"/>
          <w:szCs w:val="28"/>
        </w:rPr>
        <w:t xml:space="preserve">, acompanhada da certidão. </w:t>
      </w:r>
    </w:p>
    <w:p w14:paraId="4C16EB56" w14:textId="766A89B5" w:rsidR="005E3114" w:rsidRPr="00EE52F9" w:rsidRDefault="00CE7113" w:rsidP="00FF4AF3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Assim, a decisão de transmitir ou não uma decisão sobre medidas de controlo deve ser </w:t>
      </w:r>
      <w:r w:rsidRPr="00EE52F9">
        <w:rPr>
          <w:rFonts w:ascii="Times New Roman" w:hAnsi="Times New Roman" w:cs="Times New Roman"/>
          <w:b/>
          <w:bCs/>
          <w:sz w:val="28"/>
          <w:szCs w:val="28"/>
          <w:u w:val="single"/>
        </w:rPr>
        <w:t>uma decisão informada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EE52F9">
        <w:rPr>
          <w:rFonts w:ascii="Times New Roman" w:hAnsi="Times New Roman" w:cs="Times New Roman"/>
          <w:sz w:val="28"/>
          <w:szCs w:val="28"/>
        </w:rPr>
        <w:t xml:space="preserve">tomada </w:t>
      </w:r>
      <w:r w:rsidRPr="00EE52F9">
        <w:rPr>
          <w:rFonts w:ascii="Times New Roman" w:hAnsi="Times New Roman" w:cs="Times New Roman"/>
          <w:b/>
          <w:bCs/>
          <w:sz w:val="28"/>
          <w:szCs w:val="28"/>
          <w:u w:val="single"/>
        </w:rPr>
        <w:t>sobre as informações recebidas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 w:cs="Times New Roman"/>
          <w:sz w:val="28"/>
          <w:szCs w:val="28"/>
        </w:rPr>
        <w:t xml:space="preserve">das autoridades competentes do Estado de execução. </w:t>
      </w:r>
    </w:p>
    <w:tbl>
      <w:tblPr>
        <w:tblW w:w="9204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4"/>
      </w:tblGrid>
      <w:tr w:rsidR="00830A36" w:rsidRPr="00EE52F9" w14:paraId="4120A001" w14:textId="77777777" w:rsidTr="00FF4AF3">
        <w:trPr>
          <w:trHeight w:val="1968"/>
        </w:trPr>
        <w:tc>
          <w:tcPr>
            <w:tcW w:w="9204" w:type="dxa"/>
            <w:shd w:val="clear" w:color="auto" w:fill="B4C6E7" w:themeFill="accent1" w:themeFillTint="66"/>
          </w:tcPr>
          <w:p w14:paraId="4564AE98" w14:textId="77777777" w:rsidR="005E3114" w:rsidRPr="00EE52F9" w:rsidRDefault="00CE7113" w:rsidP="000A4609">
            <w:pPr>
              <w:spacing w:line="240" w:lineRule="auto"/>
              <w:ind w:left="48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Por exemplo, </w:t>
            </w: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 autoridade competente do Estado de execução pode comunicar:</w:t>
            </w:r>
          </w:p>
          <w:p w14:paraId="2E459BB9" w14:textId="77777777" w:rsidR="005E3114" w:rsidRPr="00EE52F9" w:rsidRDefault="00CE7113" w:rsidP="000A4609">
            <w:pPr>
              <w:pStyle w:val="PargrafodaLista"/>
              <w:numPr>
                <w:ilvl w:val="0"/>
                <w:numId w:val="4"/>
              </w:numPr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informações sobre o risco que a pessoa em causa pode representar para as vítimas e para o público em geral nos EM de execução, </w:t>
            </w:r>
          </w:p>
          <w:p w14:paraId="56C8B0AD" w14:textId="77777777" w:rsidR="005E3114" w:rsidRPr="00EE52F9" w:rsidRDefault="00CE7113" w:rsidP="000A4609">
            <w:pPr>
              <w:pStyle w:val="PargrafodaLista"/>
              <w:numPr>
                <w:ilvl w:val="0"/>
                <w:numId w:val="4"/>
              </w:numPr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informações que permitam verificar a identidade e o local de residência da pessoa em causa, </w:t>
            </w:r>
          </w:p>
          <w:p w14:paraId="191B2329" w14:textId="6C2EB82F" w:rsidR="005E3114" w:rsidRPr="00EE52F9" w:rsidRDefault="00CE7113" w:rsidP="000A4609">
            <w:pPr>
              <w:pStyle w:val="PargrafodaLista"/>
              <w:numPr>
                <w:ilvl w:val="0"/>
                <w:numId w:val="4"/>
              </w:numPr>
              <w:spacing w:line="24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outras informações necessárias para facilitar o controlo correto e eficaz das medidas de controlo</w:t>
            </w:r>
          </w:p>
        </w:tc>
      </w:tr>
    </w:tbl>
    <w:p w14:paraId="367D3CF8" w14:textId="7C31D142" w:rsidR="002C2AB1" w:rsidRPr="00EE52F9" w:rsidRDefault="0096751E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14:paraId="1E35BAB4" w14:textId="78048A85" w:rsidR="00210A69" w:rsidRPr="00EE52F9" w:rsidRDefault="00CE7113" w:rsidP="00FF4AF3">
      <w:pPr>
        <w:spacing w:line="240" w:lineRule="auto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>Q4:</w:t>
      </w:r>
      <w:r w:rsidRPr="00EE52F9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Encontre as autoridades competentes dos dois países envolvidos na possível transferência da supervisão das obrigações impostas ao infrator A.W.</w:t>
      </w:r>
    </w:p>
    <w:p w14:paraId="20CEF7EA" w14:textId="77777777" w:rsidR="002C2AB1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>Nos termos dos Artigos 6.º e 7.º da DQC, cada EM pode, de acordo com a legislação nacional, designar as autoridades competentes, tal como requerido pelo instrumento jurídico.</w:t>
      </w:r>
    </w:p>
    <w:p w14:paraId="697F403A" w14:textId="5182FBDE" w:rsidR="002C2AB1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As autoridades competentes podem ser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judiciais </w:t>
      </w: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ou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não judiciais </w:t>
      </w: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(com exceção das disposições em que é obrigatório designar uma autoridade judiciária competente – por exemplo, o n.º 1, alínea c), do Artigo 18.º da DQC). </w:t>
      </w:r>
    </w:p>
    <w:p w14:paraId="30DDE24F" w14:textId="0182C89E" w:rsidR="002C2AB1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Cada Estado-Membro pode designar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uma autoridade central </w:t>
      </w: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ou, quando o seu ordenamento jurídico o preveja,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mais do que uma autoridade central </w:t>
      </w:r>
      <w:r w:rsidRPr="00EE52F9">
        <w:rPr>
          <w:rFonts w:ascii="Times New Roman" w:eastAsia="Calibri" w:hAnsi="Times New Roman" w:cs="Times New Roman"/>
          <w:sz w:val="28"/>
          <w:szCs w:val="28"/>
        </w:rPr>
        <w:t>para assistir as suas autoridades competentes.</w:t>
      </w:r>
    </w:p>
    <w:p w14:paraId="2A69244D" w14:textId="4EADC139" w:rsidR="0068103A" w:rsidRPr="00EE52F9" w:rsidRDefault="00CE7113" w:rsidP="0068103A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lastRenderedPageBreak/>
        <w:t>Um Estado-Membro pode, se a organização do seu sistema judiciário interno o exigir, tornar a(s) sua(s)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autoridade(s) central(</w:t>
      </w:r>
      <w:proofErr w:type="spellStart"/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>is</w:t>
      </w:r>
      <w:proofErr w:type="spellEnd"/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) </w:t>
      </w:r>
      <w:r w:rsidRPr="00EE52F9">
        <w:rPr>
          <w:rFonts w:ascii="Times New Roman" w:eastAsia="Calibri" w:hAnsi="Times New Roman" w:cs="Times New Roman"/>
          <w:sz w:val="28"/>
          <w:szCs w:val="28"/>
        </w:rPr>
        <w:t>responsável(eis) pela transmissão e receção administrativas das decisões sobre medidas de controlo, juntamente com as certidões referidas no Artigo 10.º, bem como por toda a restante correspondência oficial com elas relacionada. Consequentemente, todas as comunicações, consultas, trocas de informações, inquéritos e notificações entre autoridades competentes podem ser tratadas, se for caso disso, com o auxílio da(s) autoridade(s) central(ais) do Estado-Membro em causa (n.º 4 do Artigo 7.º da DQC).</w:t>
      </w:r>
    </w:p>
    <w:tbl>
      <w:tblPr>
        <w:tblW w:w="9006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830A36" w:rsidRPr="00EE52F9" w14:paraId="1D51C8DD" w14:textId="77777777" w:rsidTr="0006125A">
        <w:trPr>
          <w:trHeight w:val="756"/>
        </w:trPr>
        <w:tc>
          <w:tcPr>
            <w:tcW w:w="9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1EA260BC" w14:textId="1C72CE0B" w:rsidR="0068103A" w:rsidRPr="00EE52F9" w:rsidRDefault="00CE7113">
            <w:pPr>
              <w:suppressAutoHyphens/>
              <w:autoSpaceDN w:val="0"/>
              <w:spacing w:after="0" w:line="240" w:lineRule="auto"/>
              <w:ind w:left="12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/>
                <w:sz w:val="28"/>
                <w:szCs w:val="28"/>
              </w:rPr>
              <w:t xml:space="preserve">As autoridades competentes </w:t>
            </w:r>
            <w:hyperlink r:id="rId14" w:history="1">
              <w:r w:rsidRPr="00EE52F9">
                <w:rPr>
                  <w:rStyle w:val="Hiperligao"/>
                  <w:rFonts w:ascii="Times New Roman" w:eastAsia="Calibri" w:hAnsi="Times New Roman" w:cs="Times New Roman"/>
                  <w:sz w:val="28"/>
                  <w:szCs w:val="28"/>
                </w:rPr>
                <w:t>podem ser encontradas aqui</w:t>
              </w:r>
            </w:hyperlink>
            <w:r w:rsidRPr="00EE52F9">
              <w:rPr>
                <w:rFonts w:ascii="Times New Roman" w:hAnsi="Times New Roman"/>
                <w:sz w:val="28"/>
                <w:szCs w:val="28"/>
              </w:rPr>
              <w:t xml:space="preserve"> (notificações de cada um dos EM ao implementar a DQC).</w:t>
            </w:r>
          </w:p>
          <w:p w14:paraId="5665E011" w14:textId="46557D17" w:rsidR="0068103A" w:rsidRPr="00EE52F9" w:rsidRDefault="0096751E">
            <w:pPr>
              <w:suppressAutoHyphens/>
              <w:autoSpaceDN w:val="0"/>
              <w:spacing w:after="0" w:line="240" w:lineRule="auto"/>
              <w:ind w:left="12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6C1776AE" w14:textId="77777777" w:rsidR="0068103A" w:rsidRPr="00EE52F9" w:rsidRDefault="0096751E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14:paraId="341BCD35" w14:textId="5299F642" w:rsidR="006F5C89" w:rsidRPr="00EE52F9" w:rsidRDefault="00CE7113" w:rsidP="000A4609">
      <w:pPr>
        <w:pStyle w:val="PargrafodaLista"/>
        <w:numPr>
          <w:ilvl w:val="0"/>
          <w:numId w:val="5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autoridade competente romena </w:t>
      </w:r>
      <w:r w:rsidRPr="00EE52F9">
        <w:rPr>
          <w:rFonts w:ascii="Times New Roman" w:hAnsi="Times New Roman" w:cs="Times New Roman"/>
          <w:sz w:val="28"/>
          <w:szCs w:val="28"/>
        </w:rPr>
        <w:t>deve transmitir a decisão sobre as medidas de controlo, de acordo com a legislação nacional de aplicação da DQC 2009/829/JAI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, a autoridade judiciária que tomou a decisão sobre a medida de controlo </w:t>
      </w:r>
      <w:r w:rsidRPr="00EE52F9">
        <w:rPr>
          <w:rFonts w:ascii="Times New Roman" w:hAnsi="Times New Roman" w:cs="Times New Roman"/>
          <w:sz w:val="28"/>
          <w:szCs w:val="28"/>
        </w:rPr>
        <w:t xml:space="preserve">(neste caso, o procurador da Delegação do Ministério Público adstrita ao Tribunal de Primeira Instância de </w:t>
      </w:r>
      <w:proofErr w:type="spellStart"/>
      <w:r w:rsidRPr="00EE52F9">
        <w:rPr>
          <w:rFonts w:ascii="Times New Roman" w:hAnsi="Times New Roman" w:cs="Times New Roman"/>
          <w:sz w:val="28"/>
          <w:szCs w:val="28"/>
        </w:rPr>
        <w:t>Brașov</w:t>
      </w:r>
      <w:proofErr w:type="spellEnd"/>
      <w:r w:rsidRPr="00EE52F9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9D2C357" w14:textId="318DB995" w:rsidR="00600CBA" w:rsidRPr="00EE52F9" w:rsidRDefault="00CE7113" w:rsidP="00CC73A0">
      <w:pPr>
        <w:pStyle w:val="PargrafodaLista"/>
        <w:numPr>
          <w:ilvl w:val="0"/>
          <w:numId w:val="5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As </w:t>
      </w:r>
      <w:r w:rsidRPr="00EE52F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autoridades competentes austríacas </w:t>
      </w: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para os pedidos recebidos para controlar as medidas de controlo são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>os Tribunais Regionais</w:t>
      </w:r>
      <w:r w:rsidRPr="00EE52F9">
        <w:rPr>
          <w:rFonts w:ascii="Times New Roman" w:eastAsia="Calibri" w:hAnsi="Times New Roman" w:cs="Times New Roman"/>
          <w:sz w:val="28"/>
          <w:szCs w:val="28"/>
        </w:rPr>
        <w:t xml:space="preserve">. A certidão deve ser apresentada juntamente com os documentos necessários do Tribunal Regional em cuja jurisdição </w:t>
      </w: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 pessoa em causa tem o seu domicílio ou residência permanente </w:t>
      </w:r>
      <w:r w:rsidRPr="00EE52F9">
        <w:rPr>
          <w:rFonts w:ascii="Times New Roman" w:eastAsia="Calibri" w:hAnsi="Times New Roman" w:cs="Times New Roman"/>
          <w:sz w:val="28"/>
          <w:szCs w:val="28"/>
        </w:rPr>
        <w:t>ou, nos casos previstos no n.º 2 do Artigo 9.º, do Tribunal Regional em cuja jurisdição existem laços específicos com a pessoa em causa.</w:t>
      </w:r>
    </w:p>
    <w:tbl>
      <w:tblPr>
        <w:tblW w:w="8931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1"/>
      </w:tblGrid>
      <w:tr w:rsidR="00830A36" w:rsidRPr="00EE52F9" w14:paraId="3E903334" w14:textId="77777777" w:rsidTr="00FF4AF3">
        <w:trPr>
          <w:trHeight w:val="1856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4881B" w14:textId="4C90E302" w:rsidR="008E444F" w:rsidRPr="00EE52F9" w:rsidRDefault="00CE7113" w:rsidP="00FF4AF3">
            <w:pPr>
              <w:suppressAutoHyphens/>
              <w:autoSpaceDN w:val="0"/>
              <w:spacing w:line="240" w:lineRule="auto"/>
              <w:ind w:left="108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/>
                <w:sz w:val="28"/>
                <w:szCs w:val="28"/>
              </w:rPr>
              <w:t xml:space="preserve">As informações relativas às autoridades competentes como autoridades competentes emissoras ou executoras podem ser consultadas no sítio Web da RJE – </w:t>
            </w:r>
            <w:hyperlink r:id="rId15" w:history="1">
              <w:r w:rsidRPr="00EE52F9">
                <w:rPr>
                  <w:rFonts w:ascii="Times New Roman" w:hAnsi="Times New Roman"/>
                  <w:color w:val="0563C1"/>
                  <w:sz w:val="28"/>
                  <w:szCs w:val="28"/>
                  <w:u w:val="single"/>
                </w:rPr>
                <w:t>www.ejn-crimjust.europa.eu</w:t>
              </w:r>
            </w:hyperlink>
            <w:r w:rsidRPr="00EE52F9">
              <w:rPr>
                <w:rFonts w:ascii="Times New Roman" w:hAnsi="Times New Roman"/>
                <w:sz w:val="28"/>
                <w:szCs w:val="28"/>
              </w:rPr>
              <w:t xml:space="preserve"> (informações fornecidas para cada EM):</w:t>
            </w:r>
          </w:p>
          <w:p w14:paraId="52DFAA99" w14:textId="6D61A0DC" w:rsidR="005B13D0" w:rsidRPr="00EE52F9" w:rsidRDefault="00CE7113" w:rsidP="00FF4AF3">
            <w:pPr>
              <w:suppressAutoHyphens/>
              <w:autoSpaceDN w:val="0"/>
              <w:spacing w:line="240" w:lineRule="auto"/>
              <w:ind w:left="108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Roménia – </w:t>
            </w:r>
            <w:hyperlink r:id="rId16" w:history="1">
              <w:r w:rsidRPr="00EE52F9">
                <w:rPr>
                  <w:rStyle w:val="Hiperligao"/>
                  <w:rFonts w:ascii="Times New Roman" w:eastAsia="Calibri" w:hAnsi="Times New Roman" w:cs="Times New Roman"/>
                  <w:b/>
                  <w:bCs/>
                  <w:sz w:val="28"/>
                  <w:szCs w:val="28"/>
                </w:rPr>
                <w:t>a informação é encontrada aqui</w:t>
              </w:r>
            </w:hyperlink>
            <w:r w:rsidRPr="00EE52F9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.</w:t>
            </w:r>
          </w:p>
          <w:p w14:paraId="6F9B942B" w14:textId="4D391678" w:rsidR="00AB34DD" w:rsidRPr="00EE52F9" w:rsidRDefault="00CE7113" w:rsidP="000A4609">
            <w:pPr>
              <w:suppressAutoHyphens/>
              <w:autoSpaceDN w:val="0"/>
              <w:spacing w:line="240" w:lineRule="auto"/>
              <w:ind w:left="108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Áustria – </w:t>
            </w:r>
            <w:hyperlink r:id="rId17" w:history="1">
              <w:r w:rsidRPr="00EE52F9">
                <w:rPr>
                  <w:rStyle w:val="Hiperligao"/>
                  <w:rFonts w:ascii="Times New Roman" w:eastAsia="Calibri" w:hAnsi="Times New Roman" w:cs="Times New Roman"/>
                  <w:b/>
                  <w:bCs/>
                  <w:sz w:val="28"/>
                  <w:szCs w:val="28"/>
                </w:rPr>
                <w:t>a informação é encontrada aqui</w:t>
              </w:r>
            </w:hyperlink>
            <w:r w:rsidRPr="00EE52F9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.</w:t>
            </w:r>
          </w:p>
        </w:tc>
      </w:tr>
    </w:tbl>
    <w:p w14:paraId="20981C5F" w14:textId="7D1A345E" w:rsidR="002C2AB1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EE52F9">
        <w:rPr>
          <w:rFonts w:ascii="Times New Roman" w:hAnsi="Times New Roman"/>
          <w:sz w:val="28"/>
          <w:szCs w:val="28"/>
        </w:rPr>
        <w:t xml:space="preserve">Para consultar a autoridade competente austríaca, utilizar-se-á o </w:t>
      </w:r>
      <w:r w:rsidRPr="00EE52F9">
        <w:rPr>
          <w:rFonts w:ascii="Times New Roman" w:hAnsi="Times New Roman"/>
          <w:b/>
          <w:bCs/>
          <w:i/>
          <w:iCs/>
          <w:sz w:val="28"/>
          <w:szCs w:val="28"/>
        </w:rPr>
        <w:t xml:space="preserve">Atlas </w:t>
      </w:r>
      <w:r w:rsidRPr="00EE52F9">
        <w:rPr>
          <w:rFonts w:ascii="Times New Roman" w:hAnsi="Times New Roman"/>
          <w:sz w:val="28"/>
          <w:szCs w:val="28"/>
        </w:rPr>
        <w:t xml:space="preserve">disponível no sítio Web da RJE – </w:t>
      </w:r>
      <w:hyperlink r:id="rId18" w:history="1">
        <w:r w:rsidRPr="00EE52F9">
          <w:rPr>
            <w:rFonts w:ascii="Times New Roman" w:hAnsi="Times New Roman"/>
            <w:color w:val="0563C1"/>
            <w:sz w:val="28"/>
            <w:szCs w:val="28"/>
            <w:u w:val="single"/>
          </w:rPr>
          <w:t>www.ejn-crimjust.europa.eu</w:t>
        </w:r>
      </w:hyperlink>
      <w:r w:rsidRPr="00EE52F9">
        <w:rPr>
          <w:rFonts w:ascii="Times New Roman" w:hAnsi="Times New Roman"/>
          <w:sz w:val="28"/>
          <w:szCs w:val="28"/>
        </w:rPr>
        <w:t xml:space="preserve">, selecionando a Áustria como país de execução e </w:t>
      </w:r>
      <w:r w:rsidRPr="00EE52F9">
        <w:rPr>
          <w:rFonts w:ascii="Times New Roman" w:hAnsi="Times New Roman"/>
          <w:i/>
          <w:iCs/>
          <w:sz w:val="28"/>
          <w:szCs w:val="28"/>
        </w:rPr>
        <w:t xml:space="preserve">905. </w:t>
      </w:r>
      <w:proofErr w:type="spellStart"/>
      <w:r w:rsidRPr="00EE52F9">
        <w:rPr>
          <w:rFonts w:ascii="Times New Roman" w:hAnsi="Times New Roman"/>
          <w:sz w:val="28"/>
          <w:szCs w:val="28"/>
        </w:rPr>
        <w:t>Execution</w:t>
      </w:r>
      <w:proofErr w:type="spellEnd"/>
      <w:r w:rsidRPr="00EE52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sz w:val="28"/>
          <w:szCs w:val="28"/>
        </w:rPr>
        <w:t>of</w:t>
      </w:r>
      <w:proofErr w:type="spellEnd"/>
      <w:r w:rsidRPr="00EE52F9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Pr="00EE52F9">
        <w:rPr>
          <w:rFonts w:ascii="Times New Roman" w:hAnsi="Times New Roman"/>
          <w:sz w:val="28"/>
          <w:szCs w:val="28"/>
        </w:rPr>
        <w:t>Supervision</w:t>
      </w:r>
      <w:proofErr w:type="spellEnd"/>
      <w:r w:rsidRPr="00EE52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sz w:val="28"/>
          <w:szCs w:val="28"/>
        </w:rPr>
        <w:t>Measure</w:t>
      </w:r>
      <w:proofErr w:type="spellEnd"/>
      <w:r w:rsidRPr="00EE52F9">
        <w:rPr>
          <w:rFonts w:ascii="Times New Roman" w:hAnsi="Times New Roman"/>
          <w:sz w:val="28"/>
          <w:szCs w:val="28"/>
        </w:rPr>
        <w:t xml:space="preserve"> (</w:t>
      </w:r>
      <w:r w:rsidRPr="00EE52F9">
        <w:rPr>
          <w:rFonts w:ascii="Times New Roman" w:hAnsi="Times New Roman"/>
          <w:i/>
          <w:iCs/>
          <w:sz w:val="28"/>
          <w:szCs w:val="28"/>
        </w:rPr>
        <w:t>Execução de uma Medida de Controlo</w:t>
      </w:r>
      <w:r w:rsidRPr="00EE52F9">
        <w:rPr>
          <w:rFonts w:ascii="Times New Roman" w:hAnsi="Times New Roman"/>
          <w:sz w:val="28"/>
          <w:szCs w:val="28"/>
        </w:rPr>
        <w:t>) (</w:t>
      </w:r>
      <w:r w:rsidRPr="00EE52F9">
        <w:rPr>
          <w:rFonts w:ascii="Times New Roman" w:hAnsi="Times New Roman"/>
          <w:b/>
          <w:bCs/>
          <w:sz w:val="28"/>
          <w:szCs w:val="28"/>
          <w:u w:val="single"/>
        </w:rPr>
        <w:t>ver Anexo 3</w:t>
      </w:r>
      <w:r w:rsidRPr="00EE52F9">
        <w:rPr>
          <w:rFonts w:ascii="Times New Roman" w:hAnsi="Times New Roman"/>
          <w:sz w:val="28"/>
          <w:szCs w:val="28"/>
        </w:rPr>
        <w:t>).</w:t>
      </w:r>
    </w:p>
    <w:p w14:paraId="068CF299" w14:textId="77777777" w:rsidR="0006125A" w:rsidRPr="00EE52F9" w:rsidRDefault="00CE7113">
      <w:pPr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3D9AB30C" w14:textId="14B889D8" w:rsidR="002C2AB1" w:rsidRPr="00EE52F9" w:rsidRDefault="00CE7113" w:rsidP="009708DE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sz w:val="28"/>
          <w:szCs w:val="28"/>
        </w:rPr>
        <w:lastRenderedPageBreak/>
        <w:t>O resultado deve ser o seguinte:</w:t>
      </w:r>
    </w:p>
    <w:tbl>
      <w:tblPr>
        <w:tblW w:w="900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0"/>
      </w:tblGrid>
      <w:tr w:rsidR="00830A36" w:rsidRPr="00EE52F9" w14:paraId="51FB8AA9" w14:textId="77777777" w:rsidTr="007B45FE">
        <w:trPr>
          <w:trHeight w:val="2830"/>
        </w:trPr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08ACB" w14:textId="2DCDB0D5" w:rsidR="00B6613C" w:rsidRPr="00EE52F9" w:rsidRDefault="00CE7113" w:rsidP="00FF4AF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Nome:</w:t>
            </w:r>
            <w:r w:rsidRPr="00EE52F9">
              <w:rPr>
                <w:rFonts w:ascii="Times New Roman" w:eastAsia="Calibri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proofErr w:type="spellStart"/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>Staatsanwaltschaft</w:t>
            </w:r>
            <w:proofErr w:type="spellEnd"/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>Vienna</w:t>
            </w:r>
            <w:proofErr w:type="spellEnd"/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8094F88" w14:textId="1CE6783D" w:rsidR="00B6613C" w:rsidRPr="00EE52F9" w:rsidRDefault="00CE7113" w:rsidP="00FF4AF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Morada:</w:t>
            </w:r>
            <w:r w:rsidRPr="00EE52F9">
              <w:rPr>
                <w:rFonts w:ascii="Times New Roman" w:eastAsia="Calibri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proofErr w:type="spellStart"/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>Landesgerichtsstraße</w:t>
            </w:r>
            <w:proofErr w:type="spellEnd"/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11 </w:t>
            </w:r>
          </w:p>
          <w:p w14:paraId="183D00AE" w14:textId="77777777" w:rsidR="00B6613C" w:rsidRPr="00EE52F9" w:rsidRDefault="00CE7113" w:rsidP="00FF4AF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Departamento (Divisão): </w:t>
            </w:r>
          </w:p>
          <w:p w14:paraId="774FD8D1" w14:textId="1F9F8779" w:rsidR="00B6613C" w:rsidRPr="00EE52F9" w:rsidRDefault="00CE7113" w:rsidP="008E302E">
            <w:pPr>
              <w:tabs>
                <w:tab w:val="left" w:pos="1932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Cidade:</w:t>
            </w:r>
            <w:r w:rsidRPr="00EE52F9">
              <w:rPr>
                <w:rFonts w:ascii="Times New Roman" w:eastAsia="Calibri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Viena </w:t>
            </w:r>
          </w:p>
          <w:p w14:paraId="5507969A" w14:textId="5CA2DD3C" w:rsidR="00B6613C" w:rsidRPr="00EE52F9" w:rsidRDefault="00CE7113" w:rsidP="00FF4AF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Código postal: </w:t>
            </w:r>
            <w:r w:rsidRPr="00EE52F9">
              <w:rPr>
                <w:rFonts w:ascii="Times New Roman" w:eastAsia="Calibri" w:hAnsi="Times New Roman" w:cs="Times New Roman"/>
                <w:color w:val="2F5496" w:themeColor="accent1" w:themeShade="BF"/>
                <w:sz w:val="28"/>
                <w:szCs w:val="28"/>
              </w:rPr>
              <w:tab/>
            </w:r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1082 </w:t>
            </w:r>
          </w:p>
          <w:p w14:paraId="1FEA9E85" w14:textId="7D628F89" w:rsidR="00B6613C" w:rsidRPr="00EE52F9" w:rsidRDefault="00CE7113" w:rsidP="00FF4AF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Número de telefone:</w:t>
            </w:r>
            <w:r w:rsidRPr="00EE52F9">
              <w:rPr>
                <w:rFonts w:ascii="Times New Roman" w:eastAsia="Calibri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+43 1 40127 0 </w:t>
            </w:r>
          </w:p>
          <w:p w14:paraId="1F296E1C" w14:textId="7CB752A6" w:rsidR="00B6613C" w:rsidRPr="00EE52F9" w:rsidRDefault="00CE7113" w:rsidP="00FF4AF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  <w:r w:rsidRPr="00EE52F9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Telemóvel: </w:t>
            </w:r>
          </w:p>
          <w:p w14:paraId="79F5184E" w14:textId="3A4F23A8" w:rsidR="00B6613C" w:rsidRPr="00EE52F9" w:rsidRDefault="00CE7113" w:rsidP="00FF4AF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Número de fax:</w:t>
            </w:r>
            <w:r w:rsidRPr="00EE52F9">
              <w:rPr>
                <w:rFonts w:ascii="Times New Roman" w:eastAsia="Calibri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+43 1 40127 306950 </w:t>
            </w:r>
          </w:p>
          <w:p w14:paraId="2512816A" w14:textId="18364833" w:rsidR="00481CDE" w:rsidRPr="00EE52F9" w:rsidRDefault="00CE7113" w:rsidP="00FF4AF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E52F9">
              <w:rPr>
                <w:rFonts w:ascii="Times New Roman" w:eastAsia="Calibri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>Endereço de Correio Eletrónico:</w:t>
            </w:r>
          </w:p>
        </w:tc>
      </w:tr>
    </w:tbl>
    <w:p w14:paraId="60889753" w14:textId="25154F7D" w:rsidR="0006125A" w:rsidRPr="00EE52F9" w:rsidRDefault="00CE7113" w:rsidP="00CC73A0">
      <w:pPr>
        <w:suppressAutoHyphens/>
        <w:autoSpaceDN w:val="0"/>
        <w:spacing w:before="16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E a ligação para </w:t>
      </w:r>
      <w:hyperlink r:id="rId19" w:history="1">
        <w:r w:rsidRPr="00EE52F9">
          <w:rPr>
            <w:rStyle w:val="Hiperligao"/>
            <w:rFonts w:ascii="Times New Roman" w:eastAsia="Calibri" w:hAnsi="Times New Roman" w:cs="Times New Roman"/>
            <w:sz w:val="28"/>
            <w:szCs w:val="28"/>
          </w:rPr>
          <w:t>o resultado encontra-se aqui</w:t>
        </w:r>
      </w:hyperlink>
      <w:r w:rsidRPr="00EE52F9">
        <w:rPr>
          <w:rFonts w:ascii="Times New Roman" w:hAnsi="Times New Roman"/>
          <w:sz w:val="28"/>
          <w:szCs w:val="28"/>
        </w:rPr>
        <w:t>.</w:t>
      </w:r>
    </w:p>
    <w:p w14:paraId="395FACD1" w14:textId="4446A0D3" w:rsidR="003838F4" w:rsidRPr="00EE52F9" w:rsidRDefault="00CE7113" w:rsidP="009708D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>Q5:</w:t>
      </w:r>
      <w:r w:rsidRPr="00EE52F9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Como irão proceder neste caso a autoridade competente emissora e a autoridade competente de execução?</w:t>
      </w:r>
    </w:p>
    <w:p w14:paraId="7CFFAC15" w14:textId="47C8E3B9" w:rsidR="003838F4" w:rsidRPr="00EE52F9" w:rsidRDefault="00CE7113" w:rsidP="00FF4AF3">
      <w:pPr>
        <w:pStyle w:val="PargrafodaLista"/>
        <w:numPr>
          <w:ilvl w:val="0"/>
          <w:numId w:val="7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sz w:val="28"/>
          <w:szCs w:val="28"/>
        </w:rPr>
        <w:t>Autoridade competente emissora:</w:t>
      </w:r>
    </w:p>
    <w:p w14:paraId="69053B8D" w14:textId="678806F6" w:rsidR="00AB3782" w:rsidRPr="00EE52F9" w:rsidRDefault="00CE7113" w:rsidP="000A4609">
      <w:pPr>
        <w:pStyle w:val="PargrafodaLista"/>
        <w:numPr>
          <w:ilvl w:val="0"/>
          <w:numId w:val="6"/>
        </w:numPr>
        <w:suppressAutoHyphens/>
        <w:autoSpaceDN w:val="0"/>
        <w:spacing w:line="240" w:lineRule="auto"/>
        <w:ind w:left="709" w:hanging="425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Se possível, entrar em consulta prévia com a autoridade competente do EM de execução, nos termos do Artigo 22.º da DQC, antes de decidir transmitir a decisão sobre a medida de controlo e recolher informações valiosas da autoridade de execução</w:t>
      </w:r>
      <w:r w:rsidRPr="00EE52F9">
        <w:rPr>
          <w:rFonts w:ascii="Times New Roman" w:hAnsi="Times New Roman" w:cs="Times New Roman"/>
          <w:i/>
          <w:iCs/>
        </w:rPr>
        <w:t xml:space="preserve">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sobre a possibilidade de controlo do suspeito.</w:t>
      </w:r>
    </w:p>
    <w:p w14:paraId="5BE71320" w14:textId="3DFDD9EF" w:rsidR="00AB3782" w:rsidRPr="00EE52F9" w:rsidRDefault="00CE7113" w:rsidP="000A4609">
      <w:pPr>
        <w:pStyle w:val="PargrafodaLista"/>
        <w:numPr>
          <w:ilvl w:val="0"/>
          <w:numId w:val="6"/>
        </w:numPr>
        <w:suppressAutoHyphens/>
        <w:autoSpaceDN w:val="0"/>
        <w:spacing w:line="240" w:lineRule="auto"/>
        <w:ind w:left="709" w:hanging="426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Tomar o consentimento do suspeito nos termos do Artigo 9.º da DQC em caso de transmissão da decisão sobre medidas de controlo ao EM </w:t>
      </w:r>
      <w:proofErr w:type="spellStart"/>
      <w:r w:rsidRPr="00EE52F9">
        <w:rPr>
          <w:rFonts w:ascii="Times New Roman" w:hAnsi="Times New Roman" w:cs="Times New Roman"/>
          <w:i/>
          <w:iCs/>
          <w:sz w:val="28"/>
          <w:szCs w:val="28"/>
        </w:rPr>
        <w:t>em</w:t>
      </w:r>
      <w:proofErr w:type="spellEnd"/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 que reside legalmente.</w:t>
      </w:r>
    </w:p>
    <w:p w14:paraId="6BD2F9CC" w14:textId="59CBF1C3" w:rsidR="00AB3782" w:rsidRPr="00EE52F9" w:rsidRDefault="00CE7113" w:rsidP="000A4609">
      <w:pPr>
        <w:pStyle w:val="PargrafodaLista"/>
        <w:numPr>
          <w:ilvl w:val="0"/>
          <w:numId w:val="6"/>
        </w:numPr>
        <w:suppressAutoHyphens/>
        <w:autoSpaceDN w:val="0"/>
        <w:spacing w:line="240" w:lineRule="auto"/>
        <w:ind w:left="709" w:hanging="426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Verificar a residência legal e habitual do suspeito em conformidade com o n.º 1 do Artigo 9.º ou os casos em que o EM de execução, com exceção daquele em que o suspeito reside legal e habitualmente, consente em tal envio (n</w:t>
      </w:r>
      <w:r w:rsidRPr="00EE52F9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os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 2-4 do Artigo 9.º da DQC).</w:t>
      </w:r>
    </w:p>
    <w:p w14:paraId="24397BFD" w14:textId="461CF723" w:rsidR="00AB3782" w:rsidRPr="00EE52F9" w:rsidRDefault="00CE7113" w:rsidP="000A4609">
      <w:pPr>
        <w:pStyle w:val="PargrafodaLista"/>
        <w:numPr>
          <w:ilvl w:val="0"/>
          <w:numId w:val="6"/>
        </w:numPr>
        <w:suppressAutoHyphens/>
        <w:autoSpaceDN w:val="0"/>
        <w:spacing w:line="240" w:lineRule="auto"/>
        <w:ind w:left="709" w:hanging="426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Identificar a autoridade competente do EM de execução para enviar a Certidão e a decisão sobre medidas de controlo (n.º</w:t>
      </w:r>
      <w:r w:rsidR="008E302E"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6 do Artigo 10 da DQC).</w:t>
      </w:r>
    </w:p>
    <w:p w14:paraId="2D57BBC6" w14:textId="6262FAD6" w:rsidR="00AB3782" w:rsidRPr="00EE52F9" w:rsidRDefault="00CE7113" w:rsidP="000A4609">
      <w:pPr>
        <w:pStyle w:val="PargrafodaLista"/>
        <w:numPr>
          <w:ilvl w:val="0"/>
          <w:numId w:val="6"/>
        </w:numPr>
        <w:suppressAutoHyphens/>
        <w:autoSpaceDN w:val="0"/>
        <w:spacing w:line="240" w:lineRule="auto"/>
        <w:ind w:left="709" w:hanging="426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Preencher a Certidão fornecida no Anexo I da DQC e enviá-lo diretamente à autoridade competente do EM de execução juntamente com a decisão sobre a medida de controlo (que deve ser executória de acordo com a legislação nacional do EM emissor – ver Artigo 4.º-A) da DQC).</w:t>
      </w:r>
    </w:p>
    <w:p w14:paraId="28072CED" w14:textId="202C885E" w:rsidR="003838F4" w:rsidRPr="00EE52F9" w:rsidRDefault="00CE7113" w:rsidP="000A4609">
      <w:pPr>
        <w:pStyle w:val="PargrafodaLista"/>
        <w:numPr>
          <w:ilvl w:val="0"/>
          <w:numId w:val="6"/>
        </w:numPr>
        <w:suppressAutoHyphens/>
        <w:autoSpaceDN w:val="0"/>
        <w:spacing w:line="240" w:lineRule="auto"/>
        <w:ind w:left="709" w:hanging="426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Continuar a monitorizar as medidas de controlo até ser informado pelas autoridades dos EM de execução sobre a decisão de reconhecer a decisão relativa às medidas de controlo (n.º 1 do Artigo 11.º da DQC)</w:t>
      </w:r>
    </w:p>
    <w:p w14:paraId="34CBE197" w14:textId="29E7BFCB" w:rsidR="00D13BDB" w:rsidRPr="00EE52F9" w:rsidRDefault="00CE7113" w:rsidP="000A4609">
      <w:pPr>
        <w:pStyle w:val="PargrafodaLista"/>
        <w:numPr>
          <w:ilvl w:val="0"/>
          <w:numId w:val="7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sz w:val="28"/>
          <w:szCs w:val="28"/>
        </w:rPr>
        <w:t>Autoridade competente de execução:</w:t>
      </w:r>
    </w:p>
    <w:p w14:paraId="701BB97A" w14:textId="7A046BA0" w:rsidR="009C640B" w:rsidRPr="00EE52F9" w:rsidRDefault="00CE7113" w:rsidP="000A4609">
      <w:pPr>
        <w:pStyle w:val="PargrafodaLista"/>
        <w:numPr>
          <w:ilvl w:val="0"/>
          <w:numId w:val="8"/>
        </w:numPr>
        <w:suppressAutoHyphens/>
        <w:autoSpaceDN w:val="0"/>
        <w:spacing w:line="24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lastRenderedPageBreak/>
        <w:t>Após receber uma decisão sobre medidas de controlo, de uma autoridade de execução que não tem competência para reconhecer, transmite a decisão juntamente com a certidão à autoridade competente e informa a autoridade competente do Estado de emissão a qual transmitiu essa decisão.</w:t>
      </w:r>
    </w:p>
    <w:p w14:paraId="4531314A" w14:textId="33433F54" w:rsidR="00475482" w:rsidRPr="00EE52F9" w:rsidRDefault="00CE7113" w:rsidP="000A4609">
      <w:pPr>
        <w:pStyle w:val="PargrafodaLista"/>
        <w:numPr>
          <w:ilvl w:val="0"/>
          <w:numId w:val="8"/>
        </w:numPr>
        <w:suppressAutoHyphens/>
        <w:autoSpaceDN w:val="0"/>
        <w:spacing w:line="24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Tomar uma decisão no prazo de 20 dias úteis a contar da receção da decisão sobre medidas de controlo (o limite pode ser prorrogado por mais 20 dias úteis se tiver sido introduzido um recurso judicial contra a decisão relativa ao reconhecimento).</w:t>
      </w:r>
    </w:p>
    <w:p w14:paraId="228C7852" w14:textId="19F7BDD8" w:rsidR="000F2378" w:rsidRPr="00EE52F9" w:rsidRDefault="00CE7113" w:rsidP="000A4609">
      <w:pPr>
        <w:pStyle w:val="PargrafodaLista"/>
        <w:numPr>
          <w:ilvl w:val="0"/>
          <w:numId w:val="8"/>
        </w:numPr>
        <w:suppressAutoHyphens/>
        <w:autoSpaceDN w:val="0"/>
        <w:spacing w:line="24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Se não for possível, em circunstâncias excecionais, cumprir os prazos, informará imediatamente a autoridade competente do Estado emissor, por qualquer meio, indicando os motivos do atraso e o tempo que espera demorar a emitir uma decisão final.</w:t>
      </w:r>
    </w:p>
    <w:p w14:paraId="0DEB6894" w14:textId="74BCC62F" w:rsidR="006E2221" w:rsidRPr="00EE52F9" w:rsidRDefault="00CE7113" w:rsidP="000A4609">
      <w:pPr>
        <w:pStyle w:val="PargrafodaLista"/>
        <w:numPr>
          <w:ilvl w:val="0"/>
          <w:numId w:val="8"/>
        </w:numPr>
        <w:suppressAutoHyphens/>
        <w:autoSpaceDN w:val="0"/>
        <w:spacing w:line="24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Adiar a decisão de reconhecimento da decisão sobre medidas de controlo quando a certidão recebida estiver incompleta ou não corresponder manifestamente à decisão sobre medidas de controlo, até que seja fixado um prazo razoável para que a certidão seja preenchida ou corrigida.</w:t>
      </w:r>
    </w:p>
    <w:p w14:paraId="388389F2" w14:textId="417E6DC6" w:rsidR="0006125A" w:rsidRPr="00EE52F9" w:rsidRDefault="00CE7113" w:rsidP="0006125A">
      <w:pPr>
        <w:pStyle w:val="PargrafodaLista"/>
        <w:numPr>
          <w:ilvl w:val="0"/>
          <w:numId w:val="8"/>
        </w:numPr>
        <w:suppressAutoHyphens/>
        <w:autoSpaceDN w:val="0"/>
        <w:spacing w:line="24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sz w:val="28"/>
          <w:szCs w:val="28"/>
        </w:rPr>
        <w:t>Informar a autoridade competente do Estado de emissão da decisão final de reconhecer a decisão sobre as medidas de controlo e tomar todas as medidas necessárias para monitorizar as medidas de controlo.</w:t>
      </w:r>
    </w:p>
    <w:p w14:paraId="1B466E22" w14:textId="7A8541FE" w:rsidR="00600CBA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t>Q6:</w:t>
      </w:r>
      <w:r w:rsidRPr="00EE52F9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Que desafios podem enfrentar as autoridades competentes de emissão e de execução e como podem ser ultrapassados?</w:t>
      </w:r>
    </w:p>
    <w:p w14:paraId="657E2317" w14:textId="3B87064F" w:rsidR="00181C74" w:rsidRPr="00EE52F9" w:rsidRDefault="00CE7113" w:rsidP="00181C74">
      <w:pPr>
        <w:pStyle w:val="PargrafodaLista"/>
        <w:numPr>
          <w:ilvl w:val="0"/>
          <w:numId w:val="13"/>
        </w:numPr>
        <w:suppressAutoHyphens/>
        <w:autoSpaceDN w:val="0"/>
        <w:spacing w:line="240" w:lineRule="auto"/>
        <w:ind w:left="0" w:firstLine="0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28"/>
          <w:u w:val="single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28"/>
          <w:u w:val="single"/>
        </w:rPr>
        <w:t>Autoridade competente emissora</w:t>
      </w:r>
    </w:p>
    <w:p w14:paraId="6EB40FD2" w14:textId="505FAE17" w:rsidR="009224D4" w:rsidRPr="00EE52F9" w:rsidRDefault="00CE7113" w:rsidP="000A4609">
      <w:pPr>
        <w:pStyle w:val="PargrafodaLista"/>
        <w:numPr>
          <w:ilvl w:val="0"/>
          <w:numId w:val="3"/>
        </w:numPr>
        <w:suppressAutoHyphens/>
        <w:autoSpaceDN w:val="0"/>
        <w:spacing w:line="24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EE52F9">
        <w:rPr>
          <w:rFonts w:ascii="Times New Roman" w:hAnsi="Times New Roman"/>
          <w:b/>
          <w:bCs/>
          <w:i/>
          <w:iCs/>
          <w:sz w:val="28"/>
          <w:szCs w:val="28"/>
        </w:rPr>
        <w:t>Sem conhecimento da Decisão-Quadro 2009/829 do Conselho</w:t>
      </w:r>
    </w:p>
    <w:p w14:paraId="08341369" w14:textId="23963765" w:rsidR="009224D4" w:rsidRPr="00EE52F9" w:rsidRDefault="00CE7113" w:rsidP="000A4609">
      <w:pPr>
        <w:jc w:val="both"/>
        <w:rPr>
          <w:rFonts w:ascii="Times New Roman" w:hAnsi="Times New Roman" w:cs="Times New Roman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Embora a DQC 2009/829 esteja em vigor desde 1.12.2012, o instrumento jurídico ainda não é muito utilizado a nível europeu (na maioria das vezes é utilizado apenas a nível regional ou entre EM com uma tradição de cooperação com procedimentos de supervisão). Uma das razões para tal é a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 xml:space="preserve">falta de conhecimento </w:t>
      </w:r>
      <w:r w:rsidRPr="00EE52F9">
        <w:rPr>
          <w:rFonts w:ascii="Times New Roman" w:hAnsi="Times New Roman" w:cs="Times New Roman"/>
          <w:sz w:val="28"/>
          <w:szCs w:val="28"/>
        </w:rPr>
        <w:t xml:space="preserve">entre as autoridades competentes, os profissionais da justiça e os suspeitos. </w:t>
      </w:r>
    </w:p>
    <w:tbl>
      <w:tblPr>
        <w:tblW w:w="9108" w:type="dxa"/>
        <w:tblInd w:w="-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08"/>
      </w:tblGrid>
      <w:tr w:rsidR="00830A36" w:rsidRPr="00EE52F9" w14:paraId="16F2A846" w14:textId="77777777" w:rsidTr="007B45FE">
        <w:trPr>
          <w:trHeight w:val="949"/>
        </w:trPr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F3CD" w14:textId="4795B87D" w:rsidR="009224D4" w:rsidRPr="00EE52F9" w:rsidRDefault="00CE7113" w:rsidP="000A4609">
            <w:pPr>
              <w:pStyle w:val="PargrafodaLista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Sensibilização das autoridades competentes, tanto como autoridades emissoras como executoras, para o instrumento jurídico.</w:t>
            </w:r>
          </w:p>
          <w:p w14:paraId="3B787378" w14:textId="2A462836" w:rsidR="00D905DF" w:rsidRPr="00EE52F9" w:rsidRDefault="00CE7113" w:rsidP="000A4609">
            <w:pPr>
              <w:pStyle w:val="PargrafodaLista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Disponibilizar informação para suspeitos e advogados (por exemplo, sítios Web, formações).</w:t>
            </w:r>
          </w:p>
        </w:tc>
      </w:tr>
    </w:tbl>
    <w:p w14:paraId="7FB781E0" w14:textId="35A51C27" w:rsidR="009224D4" w:rsidRPr="00EE52F9" w:rsidRDefault="00CE7113" w:rsidP="000A4609">
      <w:pPr>
        <w:pStyle w:val="PargrafodaLista"/>
        <w:numPr>
          <w:ilvl w:val="0"/>
          <w:numId w:val="9"/>
        </w:numPr>
        <w:suppressAutoHyphens/>
        <w:autoSpaceDN w:val="0"/>
        <w:spacing w:line="24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Não conhecer o outro sistema judiciário</w:t>
      </w:r>
    </w:p>
    <w:p w14:paraId="3DFE7A7E" w14:textId="60816CF1" w:rsidR="009224D4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As autoridades judiciárias competentes dos EM emissores são geralmente relutantes quando se trata de solicitar a transferência da decisão sobre medidas de </w:t>
      </w:r>
      <w:r w:rsidRPr="00EE52F9">
        <w:rPr>
          <w:rFonts w:ascii="Times New Roman" w:hAnsi="Times New Roman" w:cs="Times New Roman"/>
          <w:sz w:val="28"/>
          <w:szCs w:val="28"/>
        </w:rPr>
        <w:lastRenderedPageBreak/>
        <w:t>controlo. O desconhecimento do outro sistema judiciário é um dos desafios para a autoridade emissora do EM.</w:t>
      </w:r>
    </w:p>
    <w:p w14:paraId="3C6A276F" w14:textId="07844457" w:rsidR="009224D4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Se tiver dúvidas sobre o outro sistema judiciário envolvido, a autoridade competente emissora tem diversas fontes de informação. </w:t>
      </w:r>
    </w:p>
    <w:tbl>
      <w:tblPr>
        <w:tblW w:w="9036" w:type="dxa"/>
        <w:tblInd w:w="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830A36" w:rsidRPr="00EE52F9" w14:paraId="5917F312" w14:textId="77777777" w:rsidTr="003E17A1">
        <w:trPr>
          <w:trHeight w:val="1051"/>
        </w:trPr>
        <w:tc>
          <w:tcPr>
            <w:tcW w:w="9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A40E2" w14:textId="6EB2DB24" w:rsidR="001640EF" w:rsidRPr="00EE52F9" w:rsidRDefault="00CE7113" w:rsidP="003E17A1">
            <w:pPr>
              <w:pStyle w:val="PargrafodaLista"/>
              <w:numPr>
                <w:ilvl w:val="0"/>
                <w:numId w:val="12"/>
              </w:numPr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/>
                <w:sz w:val="28"/>
                <w:szCs w:val="28"/>
              </w:rPr>
              <w:t xml:space="preserve">Na secção </w:t>
            </w:r>
            <w:hyperlink r:id="rId20" w:history="1">
              <w:r w:rsidRPr="00EE52F9">
                <w:rPr>
                  <w:rStyle w:val="Hiperligao"/>
                  <w:rFonts w:ascii="Times New Roman" w:hAnsi="Times New Roman" w:cs="Times New Roman"/>
                  <w:sz w:val="28"/>
                  <w:szCs w:val="28"/>
                </w:rPr>
                <w:t>dedicada à DQC 2009/928</w:t>
              </w:r>
            </w:hyperlink>
            <w:r w:rsidRPr="00EE52F9">
              <w:rPr>
                <w:rFonts w:ascii="Times New Roman" w:hAnsi="Times New Roman"/>
                <w:sz w:val="28"/>
                <w:szCs w:val="28"/>
              </w:rPr>
              <w:t xml:space="preserve">, o sítio Web da RJE fornece informações valiosas sobre o sistema judiciário de todos os EM (por exemplo, legislação nacional, notificações, declarações, relatórios, etc.). </w:t>
            </w:r>
          </w:p>
        </w:tc>
      </w:tr>
    </w:tbl>
    <w:p w14:paraId="2DA14334" w14:textId="603D44C6" w:rsidR="009224D4" w:rsidRPr="00EE52F9" w:rsidRDefault="00CE7113" w:rsidP="003E17A1">
      <w:pPr>
        <w:spacing w:before="160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Além disso, deve ter-se em mente que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 xml:space="preserve">todos os EM </w:t>
      </w:r>
      <w:r w:rsidRPr="00EE52F9">
        <w:rPr>
          <w:rFonts w:ascii="Times New Roman" w:hAnsi="Times New Roman" w:cs="Times New Roman"/>
          <w:sz w:val="28"/>
          <w:szCs w:val="28"/>
        </w:rPr>
        <w:t xml:space="preserve">(exceto a Irlanda – com o processo de implementação em curso) </w:t>
      </w:r>
      <w:r w:rsidRPr="00EE52F9">
        <w:rPr>
          <w:rFonts w:ascii="Times New Roman" w:hAnsi="Times New Roman" w:cs="Times New Roman"/>
          <w:sz w:val="28"/>
          <w:szCs w:val="28"/>
          <w:u w:val="single"/>
        </w:rPr>
        <w:t>implementaram a DQC</w:t>
      </w:r>
      <w:r w:rsidRPr="00EE52F9">
        <w:rPr>
          <w:rFonts w:ascii="Times New Roman" w:hAnsi="Times New Roman" w:cs="Times New Roman"/>
          <w:sz w:val="28"/>
          <w:szCs w:val="28"/>
        </w:rPr>
        <w:t>, o que significa que as medidas de vigilância previstas no n.º 1 do Artigo 8.º da DQC estão disponíveis e podem ser controladas em todos os EM (exceto quando um EM tiver notificado ou declarado que não se aplicará aquando da transferência da vigilância da pena).</w:t>
      </w:r>
    </w:p>
    <w:p w14:paraId="6536B189" w14:textId="503EB106" w:rsidR="00181C74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O n.º 2 do Artigo 8.º da DQC estipula que cada Estado-Membro notificará o Secretariado-Geral do Conselho, aquando da aplicação da presente decisão-quadro, das medidas de controlo, para além das </w:t>
      </w:r>
      <w:r w:rsidRPr="00EE52F9">
        <w:rPr>
          <w:rFonts w:ascii="Times New Roman" w:hAnsi="Times New Roman" w:cs="Times New Roman"/>
          <w:i/>
          <w:iCs/>
          <w:sz w:val="28"/>
          <w:szCs w:val="28"/>
        </w:rPr>
        <w:t>referidas no nº 1, que está disposto a controlar</w:t>
      </w:r>
      <w:r w:rsidRPr="00EE52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8E44BD" w14:textId="68AEAEC0" w:rsidR="009224D4" w:rsidRPr="00EE52F9" w:rsidRDefault="00CE7113" w:rsidP="000A4609">
      <w:pPr>
        <w:pStyle w:val="PargrafodaLista"/>
        <w:numPr>
          <w:ilvl w:val="0"/>
          <w:numId w:val="9"/>
        </w:numPr>
        <w:suppressAutoHyphens/>
        <w:autoSpaceDN w:val="0"/>
        <w:spacing w:line="24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Não confiar no outro sistema judiciário</w:t>
      </w:r>
    </w:p>
    <w:p w14:paraId="238DCE76" w14:textId="101A0B99" w:rsidR="009172F7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Muitas vezes, as autoridades competentes emissoras têm outras dúvidas, tais como a falta de confiança no outro sistema judiciário, e não iniciam um pedido de transferência de uma decisão sobre medidas de controlo, especialmente porque não há nenhuma obrigação explicitamente prevista na DQC. </w:t>
      </w:r>
    </w:p>
    <w:tbl>
      <w:tblPr>
        <w:tblW w:w="9012" w:type="dxa"/>
        <w:tblInd w:w="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2"/>
      </w:tblGrid>
      <w:tr w:rsidR="00830A36" w:rsidRPr="00EE52F9" w14:paraId="0022AD92" w14:textId="77777777" w:rsidTr="007B45FE">
        <w:trPr>
          <w:trHeight w:val="1835"/>
        </w:trPr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5E6C4" w14:textId="591A702E" w:rsidR="009224D4" w:rsidRPr="00EE52F9" w:rsidRDefault="00CE7113" w:rsidP="000A4609">
            <w:pPr>
              <w:pStyle w:val="PargrafodaLista"/>
              <w:numPr>
                <w:ilvl w:val="0"/>
                <w:numId w:val="12"/>
              </w:numPr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Recolher informações da autoridade de execução</w:t>
            </w:r>
            <w:r w:rsidRPr="00EE52F9">
              <w:rPr>
                <w:rFonts w:ascii="Times New Roman" w:hAnsi="Times New Roman" w:cs="Times New Roman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sobre a possibilidade de controlo do suspeito nos outros EM, consultando a autoridade de execução competente durante a preparação, ou, pelo menos, antes de transmitir uma decisão sobre medidas de controlo, juntamente com a certidão (Artigo 22.º da DQC)</w:t>
            </w:r>
          </w:p>
        </w:tc>
      </w:tr>
    </w:tbl>
    <w:p w14:paraId="39D603DE" w14:textId="457F1CF5" w:rsidR="009172F7" w:rsidRPr="00EE52F9" w:rsidRDefault="0096751E" w:rsidP="003E17A1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2A5F300" w14:textId="1D4B3453" w:rsidR="009172F7" w:rsidRPr="00EE52F9" w:rsidRDefault="00CE7113" w:rsidP="003E17A1">
      <w:pPr>
        <w:pStyle w:val="PargrafodaLista"/>
        <w:numPr>
          <w:ilvl w:val="0"/>
          <w:numId w:val="9"/>
        </w:numPr>
        <w:suppressAutoHyphens/>
        <w:autoSpaceDN w:val="0"/>
        <w:spacing w:line="24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Difícil estabelecer os critérios previstos no Artigo 9.º da DQC</w:t>
      </w:r>
    </w:p>
    <w:p w14:paraId="34AB1645" w14:textId="56669AE0" w:rsidR="009224D4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Normalmente, as informações sobre a residência legal e habitual do suspeito estão à disposição da autoridade competente do EM emissor na peça processual, a fim de determinar onde se dirigir de acordo com o Artigo 10.º da DQC.</w:t>
      </w:r>
    </w:p>
    <w:p w14:paraId="07522A6B" w14:textId="395070D9" w:rsidR="00A52158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Para os demais critérios e condições previstos no n.º 2 do Artigo 9.º da DQC, a autoridade competente emissora deve recolher informações.</w:t>
      </w:r>
    </w:p>
    <w:tbl>
      <w:tblPr>
        <w:tblW w:w="9036" w:type="dxa"/>
        <w:tblInd w:w="4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830A36" w:rsidRPr="00EE52F9" w14:paraId="006E2D81" w14:textId="77777777" w:rsidTr="007B45FE">
        <w:trPr>
          <w:trHeight w:val="699"/>
        </w:trPr>
        <w:tc>
          <w:tcPr>
            <w:tcW w:w="9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38C66" w14:textId="5E05F6C4" w:rsidR="009224D4" w:rsidRPr="00EE52F9" w:rsidRDefault="00CE7113" w:rsidP="000A4609">
            <w:pPr>
              <w:pStyle w:val="PargrafodaLista"/>
              <w:numPr>
                <w:ilvl w:val="0"/>
                <w:numId w:val="12"/>
              </w:numPr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O Artigo 22.º da DQC prevê que as autoridades competentes do Estado de emissão e do Estado de execução se consultem mutuamente durante a preparação, ou, pelo menos, antes de transmitirem uma decisão sobre medidas de controlo, juntamente com as informações da certidão que permitam verificar a identidade e o local de residência da pessoa em causa ou outras informações necessárias para avaliar as condições previstas nos </w:t>
            </w:r>
            <w:proofErr w:type="spellStart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EE52F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os</w:t>
            </w:r>
            <w:proofErr w:type="spellEnd"/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2 a 4 do Artigo 9.º.</w:t>
            </w:r>
          </w:p>
        </w:tc>
      </w:tr>
    </w:tbl>
    <w:p w14:paraId="0F8F4973" w14:textId="77777777" w:rsidR="009172F7" w:rsidRPr="00EE52F9" w:rsidRDefault="0096751E" w:rsidP="009172F7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0DB0257" w14:textId="47FD441D" w:rsidR="00600CBA" w:rsidRPr="00EE52F9" w:rsidRDefault="00CE7113" w:rsidP="007B45FE">
      <w:pPr>
        <w:pStyle w:val="PargrafodaLista"/>
        <w:numPr>
          <w:ilvl w:val="0"/>
          <w:numId w:val="9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Não saber para onde enviar a Certidão e a decisão sobre as medidas de controlo</w:t>
      </w:r>
    </w:p>
    <w:p w14:paraId="1CA4C213" w14:textId="1D00E5F3" w:rsidR="000D4CC8" w:rsidRPr="00EE52F9" w:rsidRDefault="00CE7113" w:rsidP="000A4609">
      <w:pPr>
        <w:jc w:val="both"/>
        <w:rPr>
          <w:rFonts w:ascii="Times New Roman" w:hAnsi="Times New Roman" w:cs="Times New Roman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Encontrar a autoridade competente no EM de execução não é uma tarefa difícil, especialmente porque o </w:t>
      </w: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Atlas </w:t>
      </w:r>
      <w:r w:rsidRPr="00EE52F9">
        <w:rPr>
          <w:rFonts w:ascii="Times New Roman" w:hAnsi="Times New Roman" w:cs="Times New Roman"/>
          <w:sz w:val="28"/>
          <w:szCs w:val="28"/>
        </w:rPr>
        <w:t>do sítio Web da RJE ajuda os profissionais da justiça a identificar a autoridade de execução competente para os outros EM (como se viu no ponto 4 acima).</w:t>
      </w:r>
    </w:p>
    <w:tbl>
      <w:tblPr>
        <w:tblW w:w="8982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82"/>
      </w:tblGrid>
      <w:tr w:rsidR="00830A36" w:rsidRPr="00EE52F9" w14:paraId="39F5E03E" w14:textId="77777777" w:rsidTr="007B45FE">
        <w:trPr>
          <w:trHeight w:val="4416"/>
        </w:trPr>
        <w:tc>
          <w:tcPr>
            <w:tcW w:w="8982" w:type="dxa"/>
            <w:shd w:val="clear" w:color="auto" w:fill="B4C6E7" w:themeFill="accent1" w:themeFillTint="66"/>
          </w:tcPr>
          <w:p w14:paraId="42C899AA" w14:textId="5C411E69" w:rsidR="000D4CC8" w:rsidRPr="00EE52F9" w:rsidRDefault="00CE7113" w:rsidP="000A4609">
            <w:pPr>
              <w:pStyle w:val="PargrafodaLista"/>
              <w:numPr>
                <w:ilvl w:val="0"/>
                <w:numId w:val="12"/>
              </w:numPr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Se a autoridade competente do Estado de execução não for conhecida da autoridade competente do Estado de emissão, esta última procederá a todas as averiguações necessárias, </w:t>
            </w: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inclusive através dos pontos de contacto da Rede Judiciária Europeia criada pela Ação Comum 98/428/JAI do Conselho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, a fim de obter as informações do Estado de execução (n.º 7 do Artigo 10.º da DQC).</w:t>
            </w:r>
          </w:p>
          <w:p w14:paraId="0FD35879" w14:textId="486DFB0C" w:rsidR="000D4CC8" w:rsidRPr="00EE52F9" w:rsidRDefault="00CE7113" w:rsidP="000A4609">
            <w:pPr>
              <w:pStyle w:val="PargrafodaLista"/>
              <w:numPr>
                <w:ilvl w:val="0"/>
                <w:numId w:val="12"/>
              </w:numPr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Quando uma autoridade do Estado de execução que recebe uma decisão sobre medidas de controlo, juntamente com a certidão, não tem competência para a reconhecer e tomar as medidas necessárias à fiscalização da medida de vigilância ou da sanção alternativa, </w:t>
            </w: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transmite-a </w:t>
            </w:r>
            <w:proofErr w:type="spellStart"/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ex</w:t>
            </w:r>
            <w:proofErr w:type="spellEnd"/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officio</w:t>
            </w:r>
            <w:proofErr w:type="spellEnd"/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à autoridade competente e informa sem demora a autoridade competente do Estado de emissão em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conformidade, por qualquer meio que deixe um registo escrito (n.º 8 do Artigo 10.º da DQC).</w:t>
            </w:r>
          </w:p>
        </w:tc>
      </w:tr>
    </w:tbl>
    <w:p w14:paraId="35D29FDC" w14:textId="2691C32E" w:rsidR="003E17A1" w:rsidRPr="00EE52F9" w:rsidRDefault="0096751E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015B4C7B" w14:textId="41ABE23E" w:rsidR="00C06687" w:rsidRPr="00EE52F9" w:rsidRDefault="00CE7113" w:rsidP="003E17A1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EE52F9">
        <w:rPr>
          <w:rFonts w:ascii="Times New Roman" w:hAnsi="Times New Roman" w:cs="Times New Roman"/>
          <w:i/>
          <w:iCs/>
          <w:color w:val="FF0000"/>
          <w:sz w:val="28"/>
          <w:szCs w:val="28"/>
        </w:rPr>
        <w:br w:type="page"/>
      </w:r>
    </w:p>
    <w:p w14:paraId="037509A8" w14:textId="526A3F86" w:rsidR="00BD138F" w:rsidRPr="00EE52F9" w:rsidRDefault="00CE7113" w:rsidP="000A4609">
      <w:pPr>
        <w:pStyle w:val="PargrafodaLista"/>
        <w:numPr>
          <w:ilvl w:val="0"/>
          <w:numId w:val="9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Tempo necessário para tomar uma decisão sobre as medidas de controlo</w:t>
      </w:r>
    </w:p>
    <w:p w14:paraId="4221E2D7" w14:textId="5113C7B4" w:rsidR="00F06031" w:rsidRPr="00EE52F9" w:rsidRDefault="00CE7113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As autoridades competentes emissoras encontram-se numa situação em que têm de decidir tomar uma decisão sobre medidas de controlo como alternativa à decisão provisória numa questão de horas depois de uma infração ter sido cometida. Isto não dará tempo suficiente para entrar em consulta com as autoridades competentes dos outros EM.</w:t>
      </w:r>
    </w:p>
    <w:tbl>
      <w:tblPr>
        <w:tblW w:w="9072" w:type="dxa"/>
        <w:tblInd w:w="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2"/>
      </w:tblGrid>
      <w:tr w:rsidR="00830A36" w:rsidRPr="00EE52F9" w14:paraId="221E0E67" w14:textId="77777777" w:rsidTr="007B45FE">
        <w:trPr>
          <w:trHeight w:val="2537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B5238" w14:textId="3E44C517" w:rsidR="009224D4" w:rsidRPr="00EE52F9" w:rsidRDefault="00CE7113" w:rsidP="000A4609">
            <w:pPr>
              <w:pStyle w:val="PargrafodaLista"/>
              <w:numPr>
                <w:ilvl w:val="0"/>
                <w:numId w:val="14"/>
              </w:numPr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Se uma decisão sobre medidas de controlo tiver de ser tomada rapidamente de acordo com a legislação nacional, nada impede a autoridade competente emissora de tomar tal decisão como em todos os casos nacionais semelhantes. Após a decisão ter sido tomada, esta decisão sobre medidas de controlo pode ser </w:t>
            </w:r>
            <w:r w:rsidRPr="00EE52F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posteriormente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 transferida para outro EM e as medidas de controlo adaptadas de acordo com o Artigo 13.º da DQC por consenso entre os dois EM envolvidos.</w:t>
            </w:r>
          </w:p>
        </w:tc>
      </w:tr>
    </w:tbl>
    <w:p w14:paraId="67D611D4" w14:textId="7A133418" w:rsidR="009224D4" w:rsidRPr="00EE52F9" w:rsidRDefault="0096751E" w:rsidP="000A4609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23F63CEB" w14:textId="49ACA659" w:rsidR="00842088" w:rsidRPr="00EE52F9" w:rsidRDefault="00CE7113" w:rsidP="00842088">
      <w:pPr>
        <w:pStyle w:val="PargrafodaLista"/>
        <w:numPr>
          <w:ilvl w:val="0"/>
          <w:numId w:val="13"/>
        </w:numPr>
        <w:ind w:left="0" w:firstLine="0"/>
        <w:contextualSpacing w:val="0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28"/>
          <w:u w:val="single"/>
        </w:rPr>
      </w:pPr>
      <w:r w:rsidRPr="00EE52F9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28"/>
          <w:u w:val="single"/>
        </w:rPr>
        <w:t xml:space="preserve">Autoridade competente de execução </w:t>
      </w:r>
    </w:p>
    <w:p w14:paraId="7945BDE6" w14:textId="525BA0FA" w:rsidR="009224D4" w:rsidRPr="00EE52F9" w:rsidRDefault="00CE7113" w:rsidP="007B45FE">
      <w:pPr>
        <w:pStyle w:val="PargrafodaLista"/>
        <w:numPr>
          <w:ilvl w:val="0"/>
          <w:numId w:val="9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Problemas relativos à certidão recebida (informação incompleta, informação confusa, caixas não assinaladas corretamente ou não assinaladas de todo quando eram obrigatórias, etc.)</w:t>
      </w:r>
    </w:p>
    <w:p w14:paraId="25E9EA60" w14:textId="6041CCCF" w:rsidR="00C06687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Estas situações são fornecidas como motivo de recusa do reconhecimento e supervisão, nos termos da alínea a), n.º</w:t>
      </w:r>
      <w:r w:rsidR="008E302E" w:rsidRPr="00EE52F9">
        <w:rPr>
          <w:rFonts w:ascii="Times New Roman" w:hAnsi="Times New Roman" w:cs="Times New Roman"/>
          <w:sz w:val="28"/>
          <w:szCs w:val="28"/>
        </w:rPr>
        <w:t xml:space="preserve"> </w:t>
      </w:r>
      <w:r w:rsidRPr="00EE52F9">
        <w:rPr>
          <w:rFonts w:ascii="Times New Roman" w:hAnsi="Times New Roman" w:cs="Times New Roman"/>
          <w:sz w:val="28"/>
          <w:szCs w:val="28"/>
        </w:rPr>
        <w:t>1. do Artigo 15.º da DQC, pela autoridade competente do EM de execução.</w:t>
      </w:r>
    </w:p>
    <w:tbl>
      <w:tblPr>
        <w:tblW w:w="891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0"/>
      </w:tblGrid>
      <w:tr w:rsidR="00830A36" w:rsidRPr="00EE52F9" w14:paraId="51D9DB86" w14:textId="77777777" w:rsidTr="007B45FE">
        <w:trPr>
          <w:trHeight w:val="1056"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44D8" w14:textId="65BBE607" w:rsidR="009224D4" w:rsidRPr="00EE52F9" w:rsidRDefault="00CE7113" w:rsidP="000A4609">
            <w:pPr>
              <w:pStyle w:val="PargrafodaLista"/>
              <w:numPr>
                <w:ilvl w:val="0"/>
                <w:numId w:val="14"/>
              </w:numPr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A autoridade competente do EM de execução pode adiar a decisão de reconhecimento da decisão sobre medidas de controlo quando a certidão estiver incompleta ou não corresponder obviamente à decisão sobre medidas de controlo, </w:t>
            </w:r>
            <w:r w:rsidRPr="00EE52F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até que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seja fixado um prazo razoável para que a certidão seja completada ou corrigida.</w:t>
            </w:r>
          </w:p>
        </w:tc>
      </w:tr>
    </w:tbl>
    <w:p w14:paraId="4EC30951" w14:textId="77777777" w:rsidR="009224D4" w:rsidRPr="00EE52F9" w:rsidRDefault="0096751E" w:rsidP="000A460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6D8C159" w14:textId="722AA255" w:rsidR="009224D4" w:rsidRPr="00EE52F9" w:rsidRDefault="00CE7113" w:rsidP="000A4609">
      <w:pPr>
        <w:pStyle w:val="PargrafodaLista"/>
        <w:numPr>
          <w:ilvl w:val="0"/>
          <w:numId w:val="9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Problemas no cumprimento dos prazos </w:t>
      </w:r>
    </w:p>
    <w:p w14:paraId="268CDD68" w14:textId="2C06E227" w:rsidR="009224D4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Se não for possível respeitar os prazos previstos no Artigo 12.º da DQC, a autoridade competente do Estado de execução informa imediatamente a autoridade competente do Estado de emissão, por qualquer meio, indicando os motivos do atraso e o tempo estimado necessário para tomar a decisão final</w:t>
      </w:r>
    </w:p>
    <w:p w14:paraId="52F66998" w14:textId="77777777" w:rsidR="00C06687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958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58"/>
      </w:tblGrid>
      <w:tr w:rsidR="00830A36" w:rsidRPr="00EE52F9" w14:paraId="5031C5E9" w14:textId="77777777" w:rsidTr="007B45FE">
        <w:trPr>
          <w:trHeight w:val="1584"/>
        </w:trPr>
        <w:tc>
          <w:tcPr>
            <w:tcW w:w="8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6A12C" w14:textId="77777777" w:rsidR="009224D4" w:rsidRPr="00EE52F9" w:rsidRDefault="00CE7113" w:rsidP="000A4609">
            <w:pPr>
              <w:pStyle w:val="PargrafodaLista"/>
              <w:numPr>
                <w:ilvl w:val="0"/>
                <w:numId w:val="14"/>
              </w:numPr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As razões para o não cumprimento dos prazos previstos no Artigo 12.º da DQC devem ser </w:t>
            </w:r>
            <w:r w:rsidRPr="00EE52F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circunstâncias excecionais e devem limitar-se apenas a situações objetivas</w:t>
            </w: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por exemplo, são necessárias informações adicionais dos EM emissores ou de outras autoridades competentes envolvidas no processo de reconhecimento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14:paraId="6AF0076A" w14:textId="77777777" w:rsidR="00A52158" w:rsidRPr="00EE52F9" w:rsidRDefault="0096751E" w:rsidP="00CC73A0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</w:p>
    <w:p w14:paraId="30730DA1" w14:textId="4CAFB715" w:rsidR="00D043DE" w:rsidRPr="00EE52F9" w:rsidRDefault="00CE7113" w:rsidP="007B45FE">
      <w:pPr>
        <w:pStyle w:val="PargrafodaLista"/>
        <w:numPr>
          <w:ilvl w:val="0"/>
          <w:numId w:val="16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Problemas de adaptação das medidas de controlo</w:t>
      </w:r>
    </w:p>
    <w:p w14:paraId="3F545558" w14:textId="79FE4BFC" w:rsidR="009224D4" w:rsidRPr="00EE52F9" w:rsidRDefault="00CE7113" w:rsidP="008A2531">
      <w:pPr>
        <w:ind w:firstLine="720"/>
        <w:jc w:val="both"/>
        <w:rPr>
          <w:rFonts w:ascii="Times New Roman" w:hAnsi="Times New Roman" w:cs="Times New Roman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Se a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natureza das medidas de controlo</w:t>
      </w:r>
      <w:r w:rsidRPr="00EE52F9">
        <w:rPr>
          <w:rFonts w:ascii="Times New Roman" w:hAnsi="Times New Roman" w:cs="Times New Roman"/>
          <w:sz w:val="28"/>
          <w:szCs w:val="28"/>
        </w:rPr>
        <w:t xml:space="preserve"> for incompatível com a legislação do Estado de execução, a autoridade competente desse Estado-Membro pode adaptá-las em função dos tipos de medidas de controlo aplicáveis, nos termos da legislação do Estado de execução, a infrações equivalentes. A medida de controlo adaptada deve corresponder, tanto quanto possível, à medida imposta no Estado de emissão (n.º 1 do Artigo 13.º da DQC).</w:t>
      </w:r>
    </w:p>
    <w:tbl>
      <w:tblPr>
        <w:tblW w:w="918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830A36" w:rsidRPr="00EE52F9" w14:paraId="31E7FD96" w14:textId="77777777" w:rsidTr="007B45FE">
        <w:trPr>
          <w:trHeight w:val="1844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D63BC" w14:textId="1F1EC1D2" w:rsidR="009224D4" w:rsidRPr="00EE52F9" w:rsidRDefault="00CE7113" w:rsidP="000A4609">
            <w:pPr>
              <w:pStyle w:val="PargrafodaLista"/>
              <w:numPr>
                <w:ilvl w:val="0"/>
                <w:numId w:val="14"/>
              </w:numPr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Por exemplo, 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 xml:space="preserve">a autoridade emissora impôs ao suspeito a obrigação de não entrar em </w:t>
            </w:r>
            <w:r w:rsidRPr="00EE5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determinadas áreas definidas</w:t>
            </w: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, que na legislação do EM de execução têm um significado ligeiramente diferente. A adaptação deve ser feita de acordo com o nacional do EM de execução, depois de informar o EM emissor de acordo com a alínea f) do Artigo 20.º da DQC.</w:t>
            </w:r>
          </w:p>
        </w:tc>
      </w:tr>
    </w:tbl>
    <w:p w14:paraId="5B3819A2" w14:textId="2BB5F351" w:rsidR="009224D4" w:rsidRPr="00EE52F9" w:rsidRDefault="00CE7113" w:rsidP="008A2531">
      <w:pPr>
        <w:spacing w:before="160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Se o </w:t>
      </w:r>
      <w:r w:rsidRPr="00EE52F9">
        <w:rPr>
          <w:rFonts w:ascii="Times New Roman" w:hAnsi="Times New Roman" w:cs="Times New Roman"/>
          <w:b/>
          <w:bCs/>
          <w:sz w:val="28"/>
          <w:szCs w:val="28"/>
        </w:rPr>
        <w:t>período máximo de tempo durante o qual as medidas de controlo podem ser controladas no Estado de execução for inferior ao imposto na decisão sobre medidas de controlo</w:t>
      </w:r>
      <w:r w:rsidRPr="00EE52F9">
        <w:rPr>
          <w:rFonts w:ascii="Times New Roman" w:hAnsi="Times New Roman" w:cs="Times New Roman"/>
          <w:sz w:val="28"/>
          <w:szCs w:val="28"/>
        </w:rPr>
        <w:t>, caso a lei do Estado de execução preveja esse máximo, o período de controlo será efetuado pelo EM de execução nos prazos previstos pela legislação nacional. Em seguida, a supervisão regressará ao EM emissor, de acordo com a alínea d), n.º 2 do Artigo 11.º da DQC.</w:t>
      </w:r>
    </w:p>
    <w:p w14:paraId="1B456D6E" w14:textId="40497BD7" w:rsidR="009224D4" w:rsidRPr="00EE52F9" w:rsidRDefault="0096751E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7FF310A" w14:textId="751C38E3" w:rsidR="00F42B21" w:rsidRPr="00EE52F9" w:rsidRDefault="00CE7113" w:rsidP="007B45FE">
      <w:pPr>
        <w:pStyle w:val="PargrafodaLista"/>
        <w:numPr>
          <w:ilvl w:val="0"/>
          <w:numId w:val="16"/>
        </w:numPr>
        <w:suppressAutoHyphens/>
        <w:autoSpaceDN w:val="0"/>
        <w:spacing w:line="240" w:lineRule="auto"/>
        <w:contextualSpacing w:val="0"/>
        <w:jc w:val="both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Impossível controlar o suspeito</w:t>
      </w:r>
    </w:p>
    <w:tbl>
      <w:tblPr>
        <w:tblW w:w="0" w:type="auto"/>
        <w:tblInd w:w="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12"/>
      </w:tblGrid>
      <w:tr w:rsidR="00830A36" w:rsidRPr="00EE52F9" w14:paraId="66619835" w14:textId="77777777" w:rsidTr="007B45FE">
        <w:trPr>
          <w:trHeight w:val="1997"/>
        </w:trPr>
        <w:tc>
          <w:tcPr>
            <w:tcW w:w="8712" w:type="dxa"/>
            <w:shd w:val="clear" w:color="auto" w:fill="B4C6E7" w:themeFill="accent1" w:themeFillTint="66"/>
          </w:tcPr>
          <w:p w14:paraId="2F7CEB74" w14:textId="2778D743" w:rsidR="00F42B21" w:rsidRPr="00EE52F9" w:rsidRDefault="00CE7113" w:rsidP="000A4609">
            <w:pPr>
              <w:pStyle w:val="PargrafodaLista"/>
              <w:numPr>
                <w:ilvl w:val="0"/>
                <w:numId w:val="14"/>
              </w:numPr>
              <w:suppressAutoHyphens/>
              <w:autoSpaceDN w:val="0"/>
              <w:spacing w:line="240" w:lineRule="auto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9">
              <w:rPr>
                <w:rFonts w:ascii="Times New Roman" w:hAnsi="Times New Roman" w:cs="Times New Roman"/>
                <w:sz w:val="28"/>
                <w:szCs w:val="28"/>
              </w:rPr>
              <w:t>A autoridade de execução deve informar o Estado de emissão de que é impossível fiscalizar as medidas de controlo pelo facto de, após a transmissão da decisão sobre medidas de controlo e da certidão ao Estado de execução, a pessoa não poder ser encontrada no território do Estado de execução, caso em que não haverá qualquer obrigação do Estado de execução de fiscalizar as medidas de controlo.</w:t>
            </w:r>
          </w:p>
        </w:tc>
      </w:tr>
    </w:tbl>
    <w:p w14:paraId="047D974E" w14:textId="77777777" w:rsidR="009224D4" w:rsidRPr="00EE52F9" w:rsidRDefault="0096751E" w:rsidP="000A4609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01EB695" w14:textId="77777777" w:rsidR="008A2531" w:rsidRPr="00EE52F9" w:rsidRDefault="00CE7113">
      <w:pPr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br w:type="page"/>
      </w:r>
    </w:p>
    <w:p w14:paraId="18D2B732" w14:textId="5AE44334" w:rsidR="0027440C" w:rsidRPr="00EE52F9" w:rsidRDefault="00CE7113" w:rsidP="007B45FE">
      <w:pPr>
        <w:spacing w:line="240" w:lineRule="auto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</w:rPr>
        <w:lastRenderedPageBreak/>
        <w:t>Q7:</w:t>
      </w:r>
      <w:r w:rsidRPr="00EE52F9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 Quais são os benefícios, neste caso, se essa transferência de supervisão for </w:t>
      </w:r>
      <w:r w:rsidR="008E302E" w:rsidRPr="00EE52F9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bem-sucedida</w:t>
      </w:r>
      <w:r w:rsidRPr="00EE52F9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?</w:t>
      </w:r>
    </w:p>
    <w:p w14:paraId="4C44AA73" w14:textId="6DFF2978" w:rsidR="00C0454F" w:rsidRPr="00EE52F9" w:rsidRDefault="00CE7113" w:rsidP="000A4609">
      <w:pPr>
        <w:pStyle w:val="PargrafodaLista"/>
        <w:numPr>
          <w:ilvl w:val="0"/>
          <w:numId w:val="16"/>
        </w:numPr>
        <w:ind w:left="0" w:firstLine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Um melhor acompanhamento dos movimentos do arguido e assim garantir o regular exercício da justiça e, em especial, </w:t>
      </w:r>
      <w:bookmarkStart w:id="3" w:name="_Hlk35100085"/>
      <w:bookmarkStart w:id="4" w:name="_Hlk35100056"/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a comparência da pessoa em causa no julgamento</w:t>
      </w:r>
      <w:bookmarkEnd w:id="3"/>
      <w:r w:rsidRPr="00EE52F9">
        <w:rPr>
          <w:rFonts w:ascii="Times New Roman" w:hAnsi="Times New Roman" w:cs="Times New Roman"/>
          <w:sz w:val="28"/>
          <w:szCs w:val="28"/>
        </w:rPr>
        <w:t xml:space="preserve"> </w:t>
      </w:r>
      <w:bookmarkEnd w:id="4"/>
    </w:p>
    <w:p w14:paraId="4D64E09D" w14:textId="70E6CFA3" w:rsidR="00AD044B" w:rsidRPr="00EE52F9" w:rsidRDefault="00CE7113" w:rsidP="007B45FE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O suspeito será controlado pelas autoridades do EM de execução em que reside legalmente e assim garantir o regular exercício da justiça e a comparência da pessoa em causa no julgamento no EM emissor.</w:t>
      </w:r>
    </w:p>
    <w:p w14:paraId="520D0B1C" w14:textId="14FB1245" w:rsidR="0027440C" w:rsidRPr="00EE52F9" w:rsidRDefault="00CE7113" w:rsidP="000A4609">
      <w:pPr>
        <w:pStyle w:val="PargrafodaLista"/>
        <w:numPr>
          <w:ilvl w:val="0"/>
          <w:numId w:val="15"/>
        </w:numPr>
        <w:suppressAutoHyphens/>
        <w:autoSpaceDN w:val="0"/>
        <w:spacing w:line="240" w:lineRule="auto"/>
        <w:ind w:left="851" w:hanging="851"/>
        <w:contextualSpacing w:val="0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Melhorar a proteção das vítimas e do público em geral</w:t>
      </w:r>
    </w:p>
    <w:p w14:paraId="015682C2" w14:textId="7E4EAFE6" w:rsidR="00AD044B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Um dos objetivos da DQC é melhorar a proteção das vítimas e do público em geral. Na maioria dos casos, a transferência das medidas de controlo para outro EM significa que a pessoa condenada estará longe da vítima, que permanece no EM emissor. </w:t>
      </w:r>
    </w:p>
    <w:p w14:paraId="6EE30977" w14:textId="444D74A2" w:rsidR="00AD044B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Podem surgir problemas quando a vítima vive no EM de execução, mas mesmo nestes casos, nos crimes graves ou nas obrigações relacionadas com a criminalidade baseada no género de não se aproximar das vítimas são fornecidos na sentença inicial e podem ser muito mais facilmente verificados pelas autoridades competentes no EM de execução.</w:t>
      </w:r>
    </w:p>
    <w:p w14:paraId="394F502D" w14:textId="6A8034CE" w:rsidR="0027440C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Além disso, a proteção do público em geral é melhorada porque a pessoa condenada terá laços suficientes com os EM de execução que o ajudarão a reabilitar-se e a reintegrar-se melhor na sociedade.</w:t>
      </w:r>
    </w:p>
    <w:p w14:paraId="476732FC" w14:textId="17A88EE5" w:rsidR="007465E7" w:rsidRPr="00EE52F9" w:rsidRDefault="00CE7113" w:rsidP="000A4609">
      <w:pPr>
        <w:pStyle w:val="PargrafodaLista"/>
        <w:numPr>
          <w:ilvl w:val="0"/>
          <w:numId w:val="15"/>
        </w:numPr>
        <w:ind w:left="0" w:firstLine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Melhores hipóteses de aplicação de uma pena não privativa de liberdade, se for considerado culpado no final do julgamento</w:t>
      </w:r>
    </w:p>
    <w:p w14:paraId="66823444" w14:textId="1A27BD99" w:rsidR="007465E7" w:rsidRPr="00EE52F9" w:rsidRDefault="00CE7113" w:rsidP="000A460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>Se a vigilância do suspeito correr bem no EM de execução, as hipóteses de aplicação de uma pena não privativa de liberdade aumentarão para o suspeito (por exemplo, aplicação de uma pena suspensa e transferência da vigilância de acordo com a DQC 2008/947/JAI).</w:t>
      </w:r>
    </w:p>
    <w:p w14:paraId="7F99E705" w14:textId="07EE3410" w:rsidR="00795BBB" w:rsidRPr="00EE52F9" w:rsidRDefault="00CE7113" w:rsidP="000A4609">
      <w:pPr>
        <w:pStyle w:val="PargrafodaLista"/>
        <w:numPr>
          <w:ilvl w:val="0"/>
          <w:numId w:val="15"/>
        </w:numPr>
        <w:ind w:left="0" w:firstLine="0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Reforçar a confiança mútua e a cooperação entre EM para casos futuros</w:t>
      </w:r>
    </w:p>
    <w:p w14:paraId="70DD46CC" w14:textId="6664706A" w:rsidR="00A508B5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t xml:space="preserve">A cooperação entre EM nos casos abrangidos pela DQC reforçará a confiança mútua para casos futuros. Os casos </w:t>
      </w:r>
      <w:r w:rsidR="008E302E" w:rsidRPr="00EE52F9">
        <w:rPr>
          <w:rFonts w:ascii="Times New Roman" w:hAnsi="Times New Roman" w:cs="Times New Roman"/>
          <w:sz w:val="28"/>
          <w:szCs w:val="28"/>
        </w:rPr>
        <w:t>bem-sucedidos</w:t>
      </w:r>
      <w:r w:rsidRPr="00EE52F9">
        <w:rPr>
          <w:rFonts w:ascii="Times New Roman" w:hAnsi="Times New Roman" w:cs="Times New Roman"/>
          <w:sz w:val="28"/>
          <w:szCs w:val="28"/>
        </w:rPr>
        <w:t xml:space="preserve"> encorajarão ainda mais EM a cooperarem no sentido de melhor atingirem os objetivos previstos no Artigo 2.º da DQC.</w:t>
      </w:r>
    </w:p>
    <w:p w14:paraId="60775629" w14:textId="77777777" w:rsidR="009708DE" w:rsidRPr="00EE52F9" w:rsidRDefault="00CE7113" w:rsidP="009708DE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007A19CC" w14:textId="7FC353EF" w:rsidR="00C95645" w:rsidRPr="00EE52F9" w:rsidRDefault="00CE7113" w:rsidP="009708DE">
      <w:pPr>
        <w:pStyle w:val="Test"/>
        <w:shd w:val="clear" w:color="auto" w:fill="DED888"/>
        <w:spacing w:after="160"/>
        <w:jc w:val="center"/>
        <w:rPr>
          <w:rStyle w:val="Forte"/>
          <w:rFonts w:ascii="Times New Roman" w:hAnsi="Times New Roman"/>
          <w:b/>
          <w:bCs w:val="0"/>
          <w:color w:val="2F5496" w:themeColor="accent1" w:themeShade="BF"/>
          <w:sz w:val="32"/>
          <w:szCs w:val="32"/>
        </w:rPr>
      </w:pPr>
      <w:r w:rsidRPr="00EE52F9">
        <w:rPr>
          <w:rStyle w:val="Forte"/>
          <w:rFonts w:ascii="Times New Roman" w:hAnsi="Times New Roman"/>
          <w:b/>
          <w:color w:val="2F5496" w:themeColor="accent1" w:themeShade="BF"/>
          <w:sz w:val="32"/>
          <w:szCs w:val="32"/>
        </w:rPr>
        <w:lastRenderedPageBreak/>
        <w:t>Anexo. Soluções passo a passo</w:t>
      </w:r>
    </w:p>
    <w:p w14:paraId="2450E9DD" w14:textId="77777777" w:rsidR="00C95645" w:rsidRPr="00EE52F9" w:rsidRDefault="0096751E" w:rsidP="00C95645">
      <w:pPr>
        <w:spacing w:after="0"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F287C88" w14:textId="77777777" w:rsidR="00C95645" w:rsidRPr="00EE52F9" w:rsidRDefault="00CE7113" w:rsidP="008A2531">
      <w:pPr>
        <w:pStyle w:val="PargrafodaLista"/>
        <w:numPr>
          <w:ilvl w:val="0"/>
          <w:numId w:val="35"/>
        </w:numPr>
        <w:spacing w:after="0" w:line="240" w:lineRule="auto"/>
        <w:ind w:left="426" w:hanging="4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FF0000"/>
          <w:sz w:val="28"/>
          <w:szCs w:val="28"/>
        </w:rPr>
        <w:t>Uma autoridade competente alemã quer transferir a supervisão do arguido A.N. que reside legal e habitualmente em Bruxelas, Bélgica.</w:t>
      </w:r>
    </w:p>
    <w:p w14:paraId="5F3E3E8D" w14:textId="77777777" w:rsidR="00C95645" w:rsidRPr="00EE52F9" w:rsidRDefault="0096751E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F29C8F" w14:textId="77777777" w:rsidR="00C95645" w:rsidRPr="00EE52F9" w:rsidRDefault="00CE7113" w:rsidP="00C9564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1. Para identificar a autoridade competente, seleciona-se a </w:t>
      </w:r>
      <w:r w:rsidRPr="00EE52F9">
        <w:rPr>
          <w:rFonts w:ascii="Times New Roman" w:hAnsi="Times New Roman"/>
          <w:b/>
          <w:bCs/>
          <w:sz w:val="28"/>
          <w:szCs w:val="28"/>
        </w:rPr>
        <w:t>Bélgica</w:t>
      </w:r>
      <w:r w:rsidRPr="00EE52F9">
        <w:rPr>
          <w:rFonts w:ascii="Times New Roman" w:hAnsi="Times New Roman"/>
          <w:sz w:val="28"/>
          <w:szCs w:val="28"/>
        </w:rPr>
        <w:t xml:space="preserve"> como o país selecionado (BE). De seguida, seleciona-se a secção </w:t>
      </w:r>
      <w:r w:rsidRPr="00EE52F9">
        <w:rPr>
          <w:rFonts w:ascii="Times New Roman" w:hAnsi="Times New Roman"/>
          <w:b/>
          <w:bCs/>
          <w:sz w:val="28"/>
          <w:szCs w:val="28"/>
        </w:rPr>
        <w:t>Atlas</w:t>
      </w:r>
      <w:r w:rsidRPr="00EE52F9">
        <w:rPr>
          <w:rFonts w:ascii="Times New Roman" w:hAnsi="Times New Roman"/>
          <w:sz w:val="28"/>
          <w:szCs w:val="28"/>
        </w:rPr>
        <w:t>, como ilustrado abaixo.</w:t>
      </w:r>
    </w:p>
    <w:p w14:paraId="115E6DA9" w14:textId="77777777" w:rsidR="00C95645" w:rsidRPr="00EE52F9" w:rsidRDefault="0096751E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A19EE5" w14:textId="1911A4E0" w:rsidR="00C95645" w:rsidRPr="00EE52F9" w:rsidRDefault="00CE7113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34050" cy="4495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93277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8917" w14:textId="2DD7E24A" w:rsidR="00C95645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110DCB" w14:textId="54EEEA62" w:rsidR="00C95645" w:rsidRPr="00EE52F9" w:rsidRDefault="00CE7113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443BE6C8" w14:textId="77777777" w:rsidR="00C95645" w:rsidRPr="00EE52F9" w:rsidRDefault="00CE7113" w:rsidP="00C9564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lastRenderedPageBreak/>
        <w:t xml:space="preserve">2. Seleciona-se a medida </w:t>
      </w:r>
      <w:r w:rsidRPr="00EE52F9">
        <w:rPr>
          <w:rFonts w:ascii="Times New Roman" w:hAnsi="Times New Roman"/>
          <w:b/>
          <w:bCs/>
          <w:sz w:val="28"/>
          <w:szCs w:val="28"/>
        </w:rPr>
        <w:t xml:space="preserve">905.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Execution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of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a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Supervision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Measure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Execução de uma Medida de Controlo</w:t>
      </w:r>
      <w:r w:rsidRPr="00EE52F9">
        <w:rPr>
          <w:rFonts w:ascii="Times New Roman" w:hAnsi="Times New Roman"/>
          <w:sz w:val="28"/>
          <w:szCs w:val="28"/>
        </w:rPr>
        <w:t xml:space="preserve">). De seguida, seleciona-se a secção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Next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Seguinte</w:t>
      </w:r>
      <w:r w:rsidRPr="00EE52F9">
        <w:rPr>
          <w:rFonts w:ascii="Times New Roman" w:hAnsi="Times New Roman"/>
          <w:sz w:val="28"/>
          <w:szCs w:val="28"/>
        </w:rPr>
        <w:t>), como ilustrado abaixo.</w:t>
      </w:r>
    </w:p>
    <w:p w14:paraId="491154F5" w14:textId="77777777" w:rsidR="00C95645" w:rsidRPr="00EE52F9" w:rsidRDefault="0096751E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F50DBA" w14:textId="7DC385A7" w:rsidR="00C95645" w:rsidRPr="00EE52F9" w:rsidRDefault="00CE7113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 wp14:editId="4410C5A2">
            <wp:extent cx="5534025" cy="3594358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85645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01" cy="3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606E" w14:textId="77777777" w:rsidR="00C95645" w:rsidRPr="00EE52F9" w:rsidRDefault="0096751E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AC16DA" w14:textId="6B373F8C" w:rsidR="00C95645" w:rsidRPr="00EE52F9" w:rsidRDefault="00CE7113" w:rsidP="00C9564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3. Introduz-se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Brussels</w:t>
      </w:r>
      <w:proofErr w:type="spellEnd"/>
      <w:r w:rsidRPr="00EE52F9">
        <w:rPr>
          <w:rFonts w:ascii="Times New Roman" w:hAnsi="Times New Roman"/>
          <w:sz w:val="28"/>
          <w:szCs w:val="28"/>
        </w:rPr>
        <w:t xml:space="preserve"> (</w:t>
      </w:r>
      <w:r w:rsidRPr="00EE52F9">
        <w:rPr>
          <w:rFonts w:ascii="Times New Roman" w:hAnsi="Times New Roman"/>
          <w:i/>
          <w:iCs/>
          <w:sz w:val="28"/>
          <w:szCs w:val="28"/>
        </w:rPr>
        <w:t>Bruxelas</w:t>
      </w:r>
      <w:r w:rsidRPr="00EE52F9">
        <w:rPr>
          <w:rFonts w:ascii="Times New Roman" w:hAnsi="Times New Roman"/>
          <w:sz w:val="28"/>
          <w:szCs w:val="28"/>
        </w:rPr>
        <w:t xml:space="preserve">). De seguida, seleciona-se a secção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Next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Seguinte</w:t>
      </w:r>
      <w:r w:rsidRPr="00EE52F9">
        <w:rPr>
          <w:rFonts w:ascii="Times New Roman" w:hAnsi="Times New Roman"/>
          <w:sz w:val="28"/>
          <w:szCs w:val="28"/>
        </w:rPr>
        <w:t>), como ilustrado abaixo.</w:t>
      </w:r>
    </w:p>
    <w:p w14:paraId="7FF5A08D" w14:textId="77777777" w:rsidR="00C95645" w:rsidRPr="00EE52F9" w:rsidRDefault="0096751E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A2969A" w14:textId="527AB6A3" w:rsidR="00C95645" w:rsidRPr="00EE52F9" w:rsidRDefault="00CE7113" w:rsidP="008E3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drawing>
          <wp:inline distT="0" distB="0" distL="0" distR="0" wp14:editId="1EF45806">
            <wp:extent cx="5467350" cy="343298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79156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43" cy="343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55BF6EC3" w14:textId="18EF6CCA" w:rsidR="00C95645" w:rsidRPr="00EE52F9" w:rsidRDefault="00CE7113" w:rsidP="00C9564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lastRenderedPageBreak/>
        <w:t>4. No final, é apresentado o resultado da pesquisa, como ilustrado abaixo.</w:t>
      </w:r>
    </w:p>
    <w:p w14:paraId="2C09060F" w14:textId="77777777" w:rsidR="00C95645" w:rsidRPr="00EE52F9" w:rsidRDefault="0096751E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3A3168" w14:textId="2CEA9C3D" w:rsidR="00C95645" w:rsidRPr="00EE52F9" w:rsidRDefault="00CE7113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24525" cy="47053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05666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FE958" w14:textId="3F78A01C" w:rsidR="00C95645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A324BF" w14:textId="3AC56D4F" w:rsidR="00C95645" w:rsidRPr="00EE52F9" w:rsidRDefault="00CE7113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51070204" w14:textId="77777777" w:rsidR="00C95645" w:rsidRPr="00EE52F9" w:rsidRDefault="00CE7113" w:rsidP="008A2531">
      <w:pPr>
        <w:pStyle w:val="PargrafodaLista"/>
        <w:numPr>
          <w:ilvl w:val="0"/>
          <w:numId w:val="35"/>
        </w:numPr>
        <w:spacing w:after="0" w:line="240" w:lineRule="auto"/>
        <w:ind w:left="426" w:hanging="43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Uma autoridade competente francesa quer transferir a supervisão do arguido B.C. que reside legal e habitualmente em Vigo, Espanha.</w:t>
      </w:r>
    </w:p>
    <w:p w14:paraId="42FF32D6" w14:textId="0C9FEA67" w:rsidR="00C95645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070E94" w14:textId="21538467" w:rsidR="00C95645" w:rsidRPr="00EE52F9" w:rsidRDefault="00CE7113" w:rsidP="00C9564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1. Para identificar a autoridade competente, seleciona-se a </w:t>
      </w:r>
      <w:r w:rsidRPr="00EE52F9">
        <w:rPr>
          <w:rFonts w:ascii="Times New Roman" w:hAnsi="Times New Roman"/>
          <w:b/>
          <w:bCs/>
          <w:sz w:val="28"/>
          <w:szCs w:val="28"/>
        </w:rPr>
        <w:t>Espanha</w:t>
      </w:r>
      <w:r w:rsidRPr="00EE52F9">
        <w:rPr>
          <w:rFonts w:ascii="Times New Roman" w:hAnsi="Times New Roman"/>
          <w:sz w:val="28"/>
          <w:szCs w:val="28"/>
        </w:rPr>
        <w:t xml:space="preserve"> como o país selecionado (ES). De seguida, seleciona-se a secção </w:t>
      </w:r>
      <w:r w:rsidRPr="00EE52F9">
        <w:rPr>
          <w:rFonts w:ascii="Times New Roman" w:hAnsi="Times New Roman"/>
          <w:b/>
          <w:bCs/>
          <w:sz w:val="28"/>
          <w:szCs w:val="28"/>
        </w:rPr>
        <w:t>Atlas</w:t>
      </w:r>
      <w:r w:rsidRPr="00EE52F9">
        <w:rPr>
          <w:rFonts w:ascii="Times New Roman" w:hAnsi="Times New Roman"/>
          <w:sz w:val="28"/>
          <w:szCs w:val="28"/>
        </w:rPr>
        <w:t>, como ilustrado abaixo.</w:t>
      </w:r>
    </w:p>
    <w:p w14:paraId="15C71FC8" w14:textId="7F5EC0D5" w:rsidR="00C95645" w:rsidRPr="00EE52F9" w:rsidRDefault="0096751E" w:rsidP="00C95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1AF13C" w14:textId="4F580904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 wp14:editId="556502A3">
            <wp:extent cx="5629275" cy="3020359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2813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68" cy="30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53968" w14:textId="05EB167C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DE53CF1" w14:textId="46AA85A4" w:rsidR="00C95645" w:rsidRPr="00EE52F9" w:rsidRDefault="00CE7113" w:rsidP="00CC73A0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2. Seleciona-se a medida </w:t>
      </w:r>
      <w:r w:rsidRPr="00EE52F9">
        <w:rPr>
          <w:rFonts w:ascii="Times New Roman" w:hAnsi="Times New Roman"/>
          <w:b/>
          <w:bCs/>
          <w:sz w:val="28"/>
          <w:szCs w:val="28"/>
        </w:rPr>
        <w:t xml:space="preserve">905.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Execution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of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a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Supervision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Measure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Execução de uma Medida de Controlo</w:t>
      </w:r>
      <w:r w:rsidRPr="00EE52F9">
        <w:rPr>
          <w:rFonts w:ascii="Times New Roman" w:hAnsi="Times New Roman"/>
          <w:sz w:val="28"/>
          <w:szCs w:val="28"/>
        </w:rPr>
        <w:t xml:space="preserve">). De seguida, seleciona-se a secção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Next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Seguinte</w:t>
      </w:r>
      <w:r w:rsidRPr="00EE52F9">
        <w:rPr>
          <w:rFonts w:ascii="Times New Roman" w:hAnsi="Times New Roman"/>
          <w:sz w:val="28"/>
          <w:szCs w:val="28"/>
        </w:rPr>
        <w:t>), como ilustrado abaixo.</w:t>
      </w:r>
    </w:p>
    <w:p w14:paraId="6E5FC5C9" w14:textId="680E20B5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34050" cy="34194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98907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4593" w14:textId="342D3B3A" w:rsidR="00C95645" w:rsidRPr="00EE52F9" w:rsidRDefault="00CE7113" w:rsidP="00C9564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lastRenderedPageBreak/>
        <w:t xml:space="preserve">3. Aqui, é necessário selecionar uma de 3 opções. Seleciona-se </w:t>
      </w:r>
      <w:r w:rsidRPr="00EE52F9">
        <w:rPr>
          <w:rFonts w:ascii="Times New Roman" w:hAnsi="Times New Roman"/>
          <w:b/>
          <w:bCs/>
          <w:sz w:val="28"/>
          <w:szCs w:val="28"/>
        </w:rPr>
        <w:t>General regime</w:t>
      </w:r>
      <w:r w:rsidRPr="00EE52F9">
        <w:rPr>
          <w:rFonts w:ascii="Times New Roman" w:hAnsi="Times New Roman"/>
          <w:sz w:val="28"/>
          <w:szCs w:val="28"/>
        </w:rPr>
        <w:t xml:space="preserve"> (</w:t>
      </w:r>
      <w:r w:rsidRPr="00EE52F9">
        <w:rPr>
          <w:rFonts w:ascii="Times New Roman" w:hAnsi="Times New Roman"/>
          <w:i/>
          <w:iCs/>
          <w:sz w:val="28"/>
          <w:szCs w:val="28"/>
        </w:rPr>
        <w:t>Regime Geral</w:t>
      </w:r>
      <w:r w:rsidRPr="00EE52F9">
        <w:rPr>
          <w:rFonts w:ascii="Times New Roman" w:hAnsi="Times New Roman"/>
          <w:sz w:val="28"/>
          <w:szCs w:val="28"/>
        </w:rPr>
        <w:t>),</w:t>
      </w:r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 xml:space="preserve">tal como mencionado nos requisitos do exercício. De seguida, seleciona-se a secção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Next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Seguinte</w:t>
      </w:r>
      <w:r w:rsidRPr="00EE52F9">
        <w:rPr>
          <w:rFonts w:ascii="Times New Roman" w:hAnsi="Times New Roman"/>
          <w:sz w:val="28"/>
          <w:szCs w:val="28"/>
        </w:rPr>
        <w:t>), como ilustrado abaixo.</w:t>
      </w:r>
    </w:p>
    <w:p w14:paraId="136BEE0C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E980D70" w14:textId="75F9B8EA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34050" cy="33051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277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5BAE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4F1DB74" w14:textId="77777777" w:rsidR="00C95645" w:rsidRPr="00EE52F9" w:rsidRDefault="00CE7113" w:rsidP="00C9564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4. Introduz-se </w:t>
      </w:r>
      <w:r w:rsidRPr="00EE52F9">
        <w:rPr>
          <w:rFonts w:ascii="Times New Roman" w:hAnsi="Times New Roman"/>
          <w:b/>
          <w:bCs/>
          <w:sz w:val="28"/>
          <w:szCs w:val="28"/>
        </w:rPr>
        <w:t xml:space="preserve">Vigo,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Spain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Espanha</w:t>
      </w:r>
      <w:r w:rsidRPr="00EE52F9">
        <w:rPr>
          <w:rFonts w:ascii="Times New Roman" w:hAnsi="Times New Roman"/>
          <w:sz w:val="28"/>
          <w:szCs w:val="28"/>
        </w:rPr>
        <w:t xml:space="preserve">). De seguida, seleciona-se a secção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Next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Seguinte</w:t>
      </w:r>
      <w:r w:rsidRPr="00EE52F9">
        <w:rPr>
          <w:rFonts w:ascii="Times New Roman" w:hAnsi="Times New Roman"/>
          <w:sz w:val="28"/>
          <w:szCs w:val="28"/>
        </w:rPr>
        <w:t>), como ilustrado abaixo.</w:t>
      </w:r>
    </w:p>
    <w:p w14:paraId="2D7CE8A7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BF61DA5" w14:textId="648FC68B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24525" cy="35052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04666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07A7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BB8B6B6" w14:textId="4646029A" w:rsidR="00C95645" w:rsidRPr="00EE52F9" w:rsidRDefault="00CE7113" w:rsidP="00C9564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lastRenderedPageBreak/>
        <w:t>5. No final, são apresentados os resultados da pesquisa, como ilustrado abaixo.</w:t>
      </w:r>
    </w:p>
    <w:p w14:paraId="68461C16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4B06C21" w14:textId="32EB0D3B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34050" cy="50863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26026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1CA8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B33A0DC" w14:textId="7E675F41" w:rsidR="00C95645" w:rsidRPr="00EE52F9" w:rsidRDefault="00CE7113">
      <w:pPr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br w:type="page"/>
      </w:r>
    </w:p>
    <w:p w14:paraId="779C7012" w14:textId="06DEA252" w:rsidR="00C95645" w:rsidRPr="00EE52F9" w:rsidRDefault="00CE7113" w:rsidP="008A2531">
      <w:pPr>
        <w:pStyle w:val="PargrafodaLista"/>
        <w:numPr>
          <w:ilvl w:val="0"/>
          <w:numId w:val="35"/>
        </w:numPr>
        <w:spacing w:after="0" w:line="240" w:lineRule="auto"/>
        <w:ind w:left="426" w:hanging="43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52F9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Uma autoridade competente espanhola quer transferir a supervisão do arguido M.M. que reside legal e habitualmente em Viena, Áustria.</w:t>
      </w:r>
    </w:p>
    <w:p w14:paraId="5EBE441C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35E6D53" w14:textId="77777777" w:rsidR="00C95645" w:rsidRPr="00EE52F9" w:rsidRDefault="00CE7113" w:rsidP="00C95645">
      <w:pPr>
        <w:pStyle w:val="PargrafodaList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1. Para identificar a autoridade competente, seleciona-se a </w:t>
      </w:r>
      <w:r w:rsidRPr="00EE52F9">
        <w:rPr>
          <w:rFonts w:ascii="Times New Roman" w:hAnsi="Times New Roman"/>
          <w:b/>
          <w:bCs/>
          <w:sz w:val="28"/>
          <w:szCs w:val="28"/>
        </w:rPr>
        <w:t xml:space="preserve">Áustria </w:t>
      </w:r>
      <w:r w:rsidRPr="00EE52F9">
        <w:rPr>
          <w:rFonts w:ascii="Times New Roman" w:hAnsi="Times New Roman"/>
          <w:sz w:val="28"/>
          <w:szCs w:val="28"/>
        </w:rPr>
        <w:t xml:space="preserve">como o país selecionado (AT). De seguida, seleciona-se a secção </w:t>
      </w:r>
      <w:r w:rsidRPr="00EE52F9">
        <w:rPr>
          <w:rFonts w:ascii="Times New Roman" w:hAnsi="Times New Roman"/>
          <w:b/>
          <w:bCs/>
          <w:sz w:val="28"/>
          <w:szCs w:val="28"/>
        </w:rPr>
        <w:t>Atlas</w:t>
      </w:r>
      <w:r w:rsidRPr="00EE52F9">
        <w:rPr>
          <w:rFonts w:ascii="Times New Roman" w:hAnsi="Times New Roman"/>
          <w:sz w:val="28"/>
          <w:szCs w:val="28"/>
        </w:rPr>
        <w:t>, como ilustrado abaixo.</w:t>
      </w:r>
    </w:p>
    <w:p w14:paraId="08950BAE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8EDD5DF" w14:textId="62AC9C4F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34050" cy="492442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41639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A6AD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D310C72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A320373" w14:textId="12F55C51" w:rsidR="00C95645" w:rsidRPr="00EE52F9" w:rsidRDefault="00CE7113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1434D8F7" w14:textId="77777777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lastRenderedPageBreak/>
        <w:t xml:space="preserve">2. Seleciona-se a medida </w:t>
      </w:r>
      <w:r w:rsidRPr="00EE52F9">
        <w:rPr>
          <w:rFonts w:ascii="Times New Roman" w:hAnsi="Times New Roman"/>
          <w:b/>
          <w:bCs/>
          <w:sz w:val="28"/>
          <w:szCs w:val="28"/>
        </w:rPr>
        <w:t xml:space="preserve">905.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Execution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of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a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Supervision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Measure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Execução de uma Medida de Controlo</w:t>
      </w:r>
      <w:r w:rsidRPr="00EE52F9">
        <w:rPr>
          <w:rFonts w:ascii="Times New Roman" w:hAnsi="Times New Roman"/>
          <w:sz w:val="28"/>
          <w:szCs w:val="28"/>
        </w:rPr>
        <w:t xml:space="preserve">). De seguida, seleciona-se a secção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Next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Seguinte</w:t>
      </w:r>
      <w:r w:rsidRPr="00EE52F9">
        <w:rPr>
          <w:rFonts w:ascii="Times New Roman" w:hAnsi="Times New Roman"/>
          <w:sz w:val="28"/>
          <w:szCs w:val="28"/>
        </w:rPr>
        <w:t>), como ilustrado abaixo.</w:t>
      </w:r>
    </w:p>
    <w:p w14:paraId="4A743BA5" w14:textId="0055D2AA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34050" cy="39433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95881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0075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51B6856" w14:textId="2605C522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3. Introduz-se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Vienna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(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Austria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)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Viena</w:t>
      </w:r>
      <w:r w:rsidRPr="00EE52F9">
        <w:rPr>
          <w:rFonts w:ascii="Times New Roman" w:hAnsi="Times New Roman"/>
          <w:sz w:val="28"/>
          <w:szCs w:val="28"/>
        </w:rPr>
        <w:t xml:space="preserve"> (</w:t>
      </w:r>
      <w:r w:rsidRPr="00EE52F9">
        <w:rPr>
          <w:rFonts w:ascii="Times New Roman" w:hAnsi="Times New Roman"/>
          <w:i/>
          <w:iCs/>
          <w:sz w:val="28"/>
          <w:szCs w:val="28"/>
        </w:rPr>
        <w:t>Áustria</w:t>
      </w:r>
      <w:r w:rsidRPr="00EE52F9">
        <w:rPr>
          <w:rFonts w:ascii="Times New Roman" w:hAnsi="Times New Roman"/>
          <w:sz w:val="28"/>
          <w:szCs w:val="28"/>
        </w:rPr>
        <w:t xml:space="preserve">)). De seguida, seleciona-se a secção </w:t>
      </w:r>
      <w:proofErr w:type="spellStart"/>
      <w:r w:rsidRPr="00EE52F9">
        <w:rPr>
          <w:rFonts w:ascii="Times New Roman" w:hAnsi="Times New Roman"/>
          <w:b/>
          <w:bCs/>
          <w:sz w:val="28"/>
          <w:szCs w:val="28"/>
        </w:rPr>
        <w:t>Next</w:t>
      </w:r>
      <w:proofErr w:type="spellEnd"/>
      <w:r w:rsidRPr="00EE52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52F9">
        <w:rPr>
          <w:rFonts w:ascii="Times New Roman" w:hAnsi="Times New Roman"/>
          <w:sz w:val="28"/>
          <w:szCs w:val="28"/>
        </w:rPr>
        <w:t>(</w:t>
      </w:r>
      <w:r w:rsidRPr="00EE52F9">
        <w:rPr>
          <w:rFonts w:ascii="Times New Roman" w:hAnsi="Times New Roman"/>
          <w:i/>
          <w:iCs/>
          <w:sz w:val="28"/>
          <w:szCs w:val="28"/>
        </w:rPr>
        <w:t>Seguinte</w:t>
      </w:r>
      <w:r w:rsidRPr="00EE52F9">
        <w:rPr>
          <w:rFonts w:ascii="Times New Roman" w:hAnsi="Times New Roman"/>
          <w:sz w:val="28"/>
          <w:szCs w:val="28"/>
        </w:rPr>
        <w:t>), como ilustrado abaixo.</w:t>
      </w:r>
    </w:p>
    <w:p w14:paraId="177E914C" w14:textId="016E707A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34050" cy="34194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14476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D338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366EE8A" w14:textId="46687CAC" w:rsidR="00C95645" w:rsidRPr="00EE52F9" w:rsidRDefault="00CE7113" w:rsidP="00C9564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>4. No final, são apresentados os resultados da pesquisa, como ilustrado abaixo.</w:t>
      </w:r>
    </w:p>
    <w:p w14:paraId="1ED9D164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542B814" w14:textId="77777777" w:rsidR="00C95645" w:rsidRPr="00EE52F9" w:rsidRDefault="0096751E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B9CAD70" w14:textId="0F42F097" w:rsidR="00C95645" w:rsidRPr="00EE52F9" w:rsidRDefault="00CE7113" w:rsidP="00C95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52F9">
        <w:drawing>
          <wp:inline distT="0" distB="0" distL="0" distR="0">
            <wp:extent cx="5734050" cy="47244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95703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34C31" w14:textId="4FEED98E" w:rsidR="00C95645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1CE9B1" w14:textId="053DDB42" w:rsidR="00C95645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88B7A2" w14:textId="5036C38E" w:rsidR="00C95645" w:rsidRPr="00EE52F9" w:rsidRDefault="00CE7113" w:rsidP="003E6963">
      <w:pPr>
        <w:rPr>
          <w:rFonts w:ascii="Times New Roman" w:hAnsi="Times New Roman" w:cs="Times New Roman"/>
          <w:sz w:val="28"/>
          <w:szCs w:val="28"/>
        </w:rPr>
      </w:pPr>
      <w:r w:rsidRPr="00EE52F9">
        <w:rPr>
          <w:rFonts w:ascii="Times New Roman" w:hAnsi="Times New Roman" w:cs="Times New Roman"/>
          <w:sz w:val="28"/>
          <w:szCs w:val="28"/>
        </w:rPr>
        <w:br w:type="page"/>
      </w:r>
    </w:p>
    <w:p w14:paraId="17F98118" w14:textId="2D8E22F0" w:rsidR="00C95645" w:rsidRPr="00EE52F9" w:rsidRDefault="00CE7113" w:rsidP="008A2531">
      <w:pPr>
        <w:spacing w:line="256" w:lineRule="auto"/>
        <w:jc w:val="center"/>
        <w:rPr>
          <w:rFonts w:ascii="Times New Roman" w:hAnsi="Times New Roman" w:cs="Times New Roman"/>
          <w:b/>
          <w:bCs/>
          <w:i/>
          <w:sz w:val="32"/>
          <w:szCs w:val="28"/>
        </w:rPr>
      </w:pPr>
      <w:r w:rsidRPr="00EE52F9">
        <w:rPr>
          <w:rFonts w:ascii="Times New Roman" w:hAnsi="Times New Roman"/>
          <w:b/>
          <w:bCs/>
          <w:i/>
          <w:iCs/>
          <w:sz w:val="32"/>
          <w:szCs w:val="28"/>
        </w:rPr>
        <w:lastRenderedPageBreak/>
        <w:t>Solução para a questão 4 do cenário de caso.</w:t>
      </w:r>
    </w:p>
    <w:p w14:paraId="2AF1F064" w14:textId="59DA34E2" w:rsidR="00C95645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F01E5D" w14:textId="77777777" w:rsidR="003E6963" w:rsidRPr="00EE52F9" w:rsidRDefault="00CE7113" w:rsidP="003E6963">
      <w:pPr>
        <w:suppressAutoHyphens/>
        <w:autoSpaceDN w:val="0"/>
        <w:spacing w:after="0" w:line="240" w:lineRule="auto"/>
        <w:ind w:left="1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hAnsi="Times New Roman"/>
          <w:sz w:val="28"/>
          <w:szCs w:val="28"/>
        </w:rPr>
        <w:t xml:space="preserve">As informações relativas às autoridades competentes como autoridades competentes emissoras ou executoras podem ser consultadas no sítio Web da RJE – </w:t>
      </w:r>
      <w:hyperlink r:id="rId34" w:history="1">
        <w:r w:rsidRPr="00EE52F9">
          <w:rPr>
            <w:rStyle w:val="Hiperligao"/>
            <w:rFonts w:ascii="Times New Roman" w:eastAsia="Calibri" w:hAnsi="Times New Roman" w:cs="Times New Roman"/>
            <w:color w:val="0563C1"/>
            <w:sz w:val="28"/>
            <w:szCs w:val="28"/>
          </w:rPr>
          <w:t>www.ejn-crimjust.europa.eu</w:t>
        </w:r>
      </w:hyperlink>
      <w:r w:rsidRPr="00EE52F9">
        <w:rPr>
          <w:rFonts w:ascii="Times New Roman" w:hAnsi="Times New Roman"/>
          <w:sz w:val="28"/>
          <w:szCs w:val="28"/>
        </w:rPr>
        <w:t xml:space="preserve"> (informações fornecidas para cada EM):</w:t>
      </w:r>
    </w:p>
    <w:p w14:paraId="4CC9A954" w14:textId="77777777" w:rsidR="003E6963" w:rsidRPr="00EE52F9" w:rsidRDefault="0096751E" w:rsidP="003E6963">
      <w:pPr>
        <w:suppressAutoHyphens/>
        <w:autoSpaceDN w:val="0"/>
        <w:spacing w:after="0" w:line="240" w:lineRule="auto"/>
        <w:ind w:left="108"/>
        <w:jc w:val="both"/>
        <w:textAlignment w:val="baseline"/>
        <w:rPr>
          <w:rFonts w:ascii="Calibri" w:eastAsia="Calibri" w:hAnsi="Calibri" w:cs="Times New Roman"/>
        </w:rPr>
      </w:pPr>
    </w:p>
    <w:p w14:paraId="6F71E9A8" w14:textId="77777777" w:rsidR="003E6963" w:rsidRPr="00EE52F9" w:rsidRDefault="00CE7113" w:rsidP="003E6963">
      <w:pPr>
        <w:suppressAutoHyphens/>
        <w:autoSpaceDN w:val="0"/>
        <w:spacing w:after="0" w:line="240" w:lineRule="auto"/>
        <w:ind w:left="108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>Roménia – informações fornecidas abaixo</w:t>
      </w:r>
      <w:r w:rsidRPr="00EE52F9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01DD2B0" w14:textId="77777777" w:rsidR="003E6963" w:rsidRPr="00EE52F9" w:rsidRDefault="0096751E" w:rsidP="003E6963">
      <w:pPr>
        <w:suppressAutoHyphens/>
        <w:autoSpaceDN w:val="0"/>
        <w:spacing w:after="0" w:line="240" w:lineRule="auto"/>
        <w:ind w:left="108"/>
        <w:jc w:val="both"/>
        <w:textAlignment w:val="baseline"/>
        <w:rPr>
          <w:rFonts w:ascii="Times New Roman" w:hAnsi="Times New Roman"/>
          <w:color w:val="0563C1"/>
          <w:sz w:val="28"/>
          <w:szCs w:val="28"/>
        </w:rPr>
      </w:pPr>
      <w:hyperlink r:id="rId35" w:history="1">
        <w:r w:rsidR="00CE7113" w:rsidRPr="00EE52F9">
          <w:rPr>
            <w:rStyle w:val="Hiperligao"/>
            <w:rFonts w:ascii="Times New Roman" w:hAnsi="Times New Roman"/>
            <w:sz w:val="28"/>
            <w:szCs w:val="28"/>
          </w:rPr>
          <w:t>https://www.ejn-crimjust.europa.eu/ejn/libdocumentproperties.aspx?Id=1229</w:t>
        </w:r>
      </w:hyperlink>
    </w:p>
    <w:p w14:paraId="132858C5" w14:textId="77777777" w:rsidR="003E6963" w:rsidRPr="00EE52F9" w:rsidRDefault="0096751E" w:rsidP="003E6963">
      <w:pPr>
        <w:suppressAutoHyphens/>
        <w:autoSpaceDN w:val="0"/>
        <w:spacing w:after="0" w:line="240" w:lineRule="auto"/>
        <w:ind w:left="108"/>
        <w:jc w:val="both"/>
        <w:textAlignment w:val="baseline"/>
        <w:rPr>
          <w:rFonts w:ascii="Times New Roman" w:hAnsi="Times New Roman"/>
          <w:color w:val="0563C1"/>
          <w:sz w:val="28"/>
          <w:szCs w:val="28"/>
          <w:u w:val="single"/>
        </w:rPr>
      </w:pPr>
    </w:p>
    <w:p w14:paraId="232BAC2A" w14:textId="5D78922F" w:rsidR="00C95645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EB0F3F" w14:textId="6EB54FE1" w:rsidR="00C95645" w:rsidRPr="00EE52F9" w:rsidRDefault="00CE7113" w:rsidP="000A4609">
      <w:pPr>
        <w:jc w:val="both"/>
        <w:rPr>
          <w:rFonts w:ascii="Times New Roman" w:hAnsi="Times New Roman" w:cs="Times New Roman"/>
          <w:sz w:val="28"/>
          <w:szCs w:val="28"/>
        </w:rPr>
      </w:pPr>
      <w:r w:rsidRPr="00EE52F9">
        <w:drawing>
          <wp:inline distT="0" distB="0" distL="0" distR="0">
            <wp:extent cx="5731510" cy="3495675"/>
            <wp:effectExtent l="0" t="0" r="2540" b="952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65273" name="Picture 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4C72" w14:textId="77777777" w:rsidR="003E6963" w:rsidRPr="00EE52F9" w:rsidRDefault="0096751E" w:rsidP="000A46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B07DC5" w14:textId="65E29827" w:rsidR="003E6963" w:rsidRPr="00EE52F9" w:rsidRDefault="00CE7113" w:rsidP="003E69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E52F9">
        <w:lastRenderedPageBreak/>
        <w:drawing>
          <wp:inline distT="0" distB="0" distL="0" distR="0">
            <wp:extent cx="5734050" cy="40386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08063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92EA" w14:textId="77777777" w:rsidR="003E6963" w:rsidRPr="00EE52F9" w:rsidRDefault="00CE7113" w:rsidP="00CC73A0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EE52F9">
        <w:rPr>
          <w:rFonts w:ascii="Times New Roman" w:eastAsia="Calibri" w:hAnsi="Times New Roman" w:cs="Times New Roman"/>
          <w:b/>
          <w:bCs/>
          <w:sz w:val="28"/>
          <w:szCs w:val="28"/>
        </w:rPr>
        <w:t>Áustria – informações fornecidas abaixo</w:t>
      </w:r>
      <w:r w:rsidRPr="00EE52F9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F05C277" w14:textId="16D5B2E2" w:rsidR="003E6963" w:rsidRPr="00EE52F9" w:rsidRDefault="00CE7113" w:rsidP="00CC73A0">
      <w:pPr>
        <w:suppressAutoHyphens/>
        <w:autoSpaceDN w:val="0"/>
        <w:spacing w:after="0" w:line="240" w:lineRule="auto"/>
        <w:ind w:left="108"/>
        <w:jc w:val="both"/>
        <w:textAlignment w:val="baseline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r w:rsidRPr="00EE52F9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https://www.ejn-crimjust.europa.eu/ejn/libdocumentproperties.aspx?Id=1176</w:t>
      </w:r>
    </w:p>
    <w:p w14:paraId="44777663" w14:textId="1F3C3476" w:rsidR="003E6963" w:rsidRPr="00EE52F9" w:rsidRDefault="00CE7113" w:rsidP="00CC73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E52F9">
        <w:drawing>
          <wp:inline distT="0" distB="0" distL="0" distR="0">
            <wp:extent cx="5734050" cy="42672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49896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963" w:rsidRPr="00EE52F9" w:rsidSect="0074500C">
      <w:footerReference w:type="default" r:id="rId3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A30E3" w14:textId="77777777" w:rsidR="0096751E" w:rsidRDefault="0096751E">
      <w:pPr>
        <w:spacing w:after="0" w:line="240" w:lineRule="auto"/>
      </w:pPr>
      <w:r>
        <w:separator/>
      </w:r>
    </w:p>
  </w:endnote>
  <w:endnote w:type="continuationSeparator" w:id="0">
    <w:p w14:paraId="54C13136" w14:textId="77777777" w:rsidR="0096751E" w:rsidRDefault="00967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55 Roman">
    <w:altName w:val="Malgun Gothic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166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0FF7AA" w14:textId="661AE2B4" w:rsidR="00CD651D" w:rsidRDefault="00CE7113">
        <w:pPr>
          <w:pStyle w:val="Rodap"/>
          <w:jc w:val="right"/>
        </w:pP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b/>
            <w:bCs/>
            <w:noProof/>
            <w:sz w:val="24"/>
          </w:rPr>
          <w:t>2</w:t>
        </w:r>
        <w:r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464681D4" w14:textId="77777777" w:rsidR="00CD651D" w:rsidRDefault="009675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71F98" w14:textId="77777777" w:rsidR="0096751E" w:rsidRDefault="0096751E" w:rsidP="004E789C">
      <w:pPr>
        <w:spacing w:after="0" w:line="240" w:lineRule="auto"/>
      </w:pPr>
      <w:r>
        <w:separator/>
      </w:r>
    </w:p>
  </w:footnote>
  <w:footnote w:type="continuationSeparator" w:id="0">
    <w:p w14:paraId="5AABB690" w14:textId="77777777" w:rsidR="0096751E" w:rsidRDefault="0096751E" w:rsidP="004E789C">
      <w:pPr>
        <w:spacing w:after="0" w:line="240" w:lineRule="auto"/>
      </w:pPr>
      <w:r>
        <w:continuationSeparator/>
      </w:r>
    </w:p>
  </w:footnote>
  <w:footnote w:id="1">
    <w:p w14:paraId="52122A4F" w14:textId="257625F7" w:rsidR="00CD651D" w:rsidRPr="004E789C" w:rsidRDefault="00CE7113">
      <w:pPr>
        <w:pStyle w:val="Textodenotaderodap"/>
        <w:rPr>
          <w:rFonts w:ascii="Times New Roman" w:hAnsi="Times New Roman" w:cs="Times New Roman"/>
          <w:sz w:val="18"/>
          <w:szCs w:val="18"/>
        </w:rPr>
      </w:pPr>
      <w:r>
        <w:rPr>
          <w:rStyle w:val="Refdenotaderodap"/>
          <w:rFonts w:ascii="Times New Roman" w:hAnsi="Times New Roman" w:cs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J.O. L 294, 11.11.2009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6D0"/>
    <w:multiLevelType w:val="hybridMultilevel"/>
    <w:tmpl w:val="5FD26730"/>
    <w:lvl w:ilvl="0" w:tplc="102600BA">
      <w:start w:val="1"/>
      <w:numFmt w:val="upperLetter"/>
      <w:lvlText w:val="%1."/>
      <w:lvlJc w:val="left"/>
      <w:pPr>
        <w:ind w:left="4330" w:hanging="360"/>
      </w:pPr>
      <w:rPr>
        <w:rFonts w:hint="default"/>
      </w:rPr>
    </w:lvl>
    <w:lvl w:ilvl="1" w:tplc="3F3A245C" w:tentative="1">
      <w:start w:val="1"/>
      <w:numFmt w:val="lowerLetter"/>
      <w:lvlText w:val="%2."/>
      <w:lvlJc w:val="left"/>
      <w:pPr>
        <w:ind w:left="5050" w:hanging="360"/>
      </w:pPr>
    </w:lvl>
    <w:lvl w:ilvl="2" w:tplc="6AF833AA" w:tentative="1">
      <w:start w:val="1"/>
      <w:numFmt w:val="lowerRoman"/>
      <w:lvlText w:val="%3."/>
      <w:lvlJc w:val="right"/>
      <w:pPr>
        <w:ind w:left="5770" w:hanging="180"/>
      </w:pPr>
    </w:lvl>
    <w:lvl w:ilvl="3" w:tplc="64161C62" w:tentative="1">
      <w:start w:val="1"/>
      <w:numFmt w:val="decimal"/>
      <w:lvlText w:val="%4."/>
      <w:lvlJc w:val="left"/>
      <w:pPr>
        <w:ind w:left="6490" w:hanging="360"/>
      </w:pPr>
    </w:lvl>
    <w:lvl w:ilvl="4" w:tplc="546C3C58" w:tentative="1">
      <w:start w:val="1"/>
      <w:numFmt w:val="lowerLetter"/>
      <w:lvlText w:val="%5."/>
      <w:lvlJc w:val="left"/>
      <w:pPr>
        <w:ind w:left="7210" w:hanging="360"/>
      </w:pPr>
    </w:lvl>
    <w:lvl w:ilvl="5" w:tplc="8806F5BC" w:tentative="1">
      <w:start w:val="1"/>
      <w:numFmt w:val="lowerRoman"/>
      <w:lvlText w:val="%6."/>
      <w:lvlJc w:val="right"/>
      <w:pPr>
        <w:ind w:left="7930" w:hanging="180"/>
      </w:pPr>
    </w:lvl>
    <w:lvl w:ilvl="6" w:tplc="EC566570" w:tentative="1">
      <w:start w:val="1"/>
      <w:numFmt w:val="decimal"/>
      <w:lvlText w:val="%7."/>
      <w:lvlJc w:val="left"/>
      <w:pPr>
        <w:ind w:left="8650" w:hanging="360"/>
      </w:pPr>
    </w:lvl>
    <w:lvl w:ilvl="7" w:tplc="FC88A07C" w:tentative="1">
      <w:start w:val="1"/>
      <w:numFmt w:val="lowerLetter"/>
      <w:lvlText w:val="%8."/>
      <w:lvlJc w:val="left"/>
      <w:pPr>
        <w:ind w:left="9370" w:hanging="360"/>
      </w:pPr>
    </w:lvl>
    <w:lvl w:ilvl="8" w:tplc="2C505778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1" w15:restartNumberingAfterBreak="0">
    <w:nsid w:val="05B76DAE"/>
    <w:multiLevelType w:val="hybridMultilevel"/>
    <w:tmpl w:val="427C09A8"/>
    <w:lvl w:ilvl="0" w:tplc="12FA5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7A5D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B2C3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BEC3F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ECCDB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125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36A4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70EE0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C8B5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438A2"/>
    <w:multiLevelType w:val="hybridMultilevel"/>
    <w:tmpl w:val="DD6C1E7E"/>
    <w:lvl w:ilvl="0" w:tplc="466280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50A40D0" w:tentative="1">
      <w:start w:val="1"/>
      <w:numFmt w:val="lowerLetter"/>
      <w:lvlText w:val="%2."/>
      <w:lvlJc w:val="left"/>
      <w:pPr>
        <w:ind w:left="1440" w:hanging="360"/>
      </w:pPr>
    </w:lvl>
    <w:lvl w:ilvl="2" w:tplc="ECB21F76" w:tentative="1">
      <w:start w:val="1"/>
      <w:numFmt w:val="lowerRoman"/>
      <w:lvlText w:val="%3."/>
      <w:lvlJc w:val="right"/>
      <w:pPr>
        <w:ind w:left="2160" w:hanging="180"/>
      </w:pPr>
    </w:lvl>
    <w:lvl w:ilvl="3" w:tplc="4EFEFF44" w:tentative="1">
      <w:start w:val="1"/>
      <w:numFmt w:val="decimal"/>
      <w:lvlText w:val="%4."/>
      <w:lvlJc w:val="left"/>
      <w:pPr>
        <w:ind w:left="2880" w:hanging="360"/>
      </w:pPr>
    </w:lvl>
    <w:lvl w:ilvl="4" w:tplc="59B60DF2" w:tentative="1">
      <w:start w:val="1"/>
      <w:numFmt w:val="lowerLetter"/>
      <w:lvlText w:val="%5."/>
      <w:lvlJc w:val="left"/>
      <w:pPr>
        <w:ind w:left="3600" w:hanging="360"/>
      </w:pPr>
    </w:lvl>
    <w:lvl w:ilvl="5" w:tplc="5AACECA8" w:tentative="1">
      <w:start w:val="1"/>
      <w:numFmt w:val="lowerRoman"/>
      <w:lvlText w:val="%6."/>
      <w:lvlJc w:val="right"/>
      <w:pPr>
        <w:ind w:left="4320" w:hanging="180"/>
      </w:pPr>
    </w:lvl>
    <w:lvl w:ilvl="6" w:tplc="67301C1E" w:tentative="1">
      <w:start w:val="1"/>
      <w:numFmt w:val="decimal"/>
      <w:lvlText w:val="%7."/>
      <w:lvlJc w:val="left"/>
      <w:pPr>
        <w:ind w:left="5040" w:hanging="360"/>
      </w:pPr>
    </w:lvl>
    <w:lvl w:ilvl="7" w:tplc="18E2ED54" w:tentative="1">
      <w:start w:val="1"/>
      <w:numFmt w:val="lowerLetter"/>
      <w:lvlText w:val="%8."/>
      <w:lvlJc w:val="left"/>
      <w:pPr>
        <w:ind w:left="5760" w:hanging="360"/>
      </w:pPr>
    </w:lvl>
    <w:lvl w:ilvl="8" w:tplc="2E5AB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221EA"/>
    <w:multiLevelType w:val="hybridMultilevel"/>
    <w:tmpl w:val="6B8C4450"/>
    <w:lvl w:ilvl="0" w:tplc="C89A6EF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9FF049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D607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82E9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622E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9860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EC7D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4E7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C497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861D4"/>
    <w:multiLevelType w:val="hybridMultilevel"/>
    <w:tmpl w:val="9A2E5546"/>
    <w:lvl w:ilvl="0" w:tplc="44F86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DC3D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685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CE9A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56CC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6A96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0E4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495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4A5D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7007F"/>
    <w:multiLevelType w:val="hybridMultilevel"/>
    <w:tmpl w:val="91328EC8"/>
    <w:lvl w:ilvl="0" w:tplc="94608A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B20163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A5CE78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F74EB6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C2EF6C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16253D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3983D1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AF60C3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1DA22B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42125F"/>
    <w:multiLevelType w:val="multilevel"/>
    <w:tmpl w:val="EB6C38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9FD1B80"/>
    <w:multiLevelType w:val="hybridMultilevel"/>
    <w:tmpl w:val="DBA29048"/>
    <w:lvl w:ilvl="0" w:tplc="0150CE9C">
      <w:start w:val="1"/>
      <w:numFmt w:val="upperLetter"/>
      <w:lvlText w:val="%1."/>
      <w:lvlJc w:val="left"/>
      <w:pPr>
        <w:ind w:left="804" w:hanging="444"/>
      </w:pPr>
      <w:rPr>
        <w:rFonts w:hint="default"/>
      </w:rPr>
    </w:lvl>
    <w:lvl w:ilvl="1" w:tplc="ADB0DA34" w:tentative="1">
      <w:start w:val="1"/>
      <w:numFmt w:val="lowerLetter"/>
      <w:lvlText w:val="%2."/>
      <w:lvlJc w:val="left"/>
      <w:pPr>
        <w:ind w:left="1440" w:hanging="360"/>
      </w:pPr>
    </w:lvl>
    <w:lvl w:ilvl="2" w:tplc="8F3098C2" w:tentative="1">
      <w:start w:val="1"/>
      <w:numFmt w:val="lowerRoman"/>
      <w:lvlText w:val="%3."/>
      <w:lvlJc w:val="right"/>
      <w:pPr>
        <w:ind w:left="2160" w:hanging="180"/>
      </w:pPr>
    </w:lvl>
    <w:lvl w:ilvl="3" w:tplc="D64CBFE0" w:tentative="1">
      <w:start w:val="1"/>
      <w:numFmt w:val="decimal"/>
      <w:lvlText w:val="%4."/>
      <w:lvlJc w:val="left"/>
      <w:pPr>
        <w:ind w:left="2880" w:hanging="360"/>
      </w:pPr>
    </w:lvl>
    <w:lvl w:ilvl="4" w:tplc="65DAD21C" w:tentative="1">
      <w:start w:val="1"/>
      <w:numFmt w:val="lowerLetter"/>
      <w:lvlText w:val="%5."/>
      <w:lvlJc w:val="left"/>
      <w:pPr>
        <w:ind w:left="3600" w:hanging="360"/>
      </w:pPr>
    </w:lvl>
    <w:lvl w:ilvl="5" w:tplc="1AD4A348" w:tentative="1">
      <w:start w:val="1"/>
      <w:numFmt w:val="lowerRoman"/>
      <w:lvlText w:val="%6."/>
      <w:lvlJc w:val="right"/>
      <w:pPr>
        <w:ind w:left="4320" w:hanging="180"/>
      </w:pPr>
    </w:lvl>
    <w:lvl w:ilvl="6" w:tplc="7C3A3536" w:tentative="1">
      <w:start w:val="1"/>
      <w:numFmt w:val="decimal"/>
      <w:lvlText w:val="%7."/>
      <w:lvlJc w:val="left"/>
      <w:pPr>
        <w:ind w:left="5040" w:hanging="360"/>
      </w:pPr>
    </w:lvl>
    <w:lvl w:ilvl="7" w:tplc="A502CBE4" w:tentative="1">
      <w:start w:val="1"/>
      <w:numFmt w:val="lowerLetter"/>
      <w:lvlText w:val="%8."/>
      <w:lvlJc w:val="left"/>
      <w:pPr>
        <w:ind w:left="5760" w:hanging="360"/>
      </w:pPr>
    </w:lvl>
    <w:lvl w:ilvl="8" w:tplc="88CEEC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B4CDB"/>
    <w:multiLevelType w:val="hybridMultilevel"/>
    <w:tmpl w:val="1FCE6696"/>
    <w:lvl w:ilvl="0" w:tplc="E2489D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F0863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5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BC79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FA38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7EC3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CEF1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22C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4E42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967F8"/>
    <w:multiLevelType w:val="hybridMultilevel"/>
    <w:tmpl w:val="C7F69DF0"/>
    <w:lvl w:ilvl="0" w:tplc="F2E865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E8CFD6" w:tentative="1">
      <w:start w:val="1"/>
      <w:numFmt w:val="lowerLetter"/>
      <w:lvlText w:val="%2."/>
      <w:lvlJc w:val="left"/>
      <w:pPr>
        <w:ind w:left="1440" w:hanging="360"/>
      </w:pPr>
    </w:lvl>
    <w:lvl w:ilvl="2" w:tplc="C0F89C76" w:tentative="1">
      <w:start w:val="1"/>
      <w:numFmt w:val="lowerRoman"/>
      <w:lvlText w:val="%3."/>
      <w:lvlJc w:val="right"/>
      <w:pPr>
        <w:ind w:left="2160" w:hanging="180"/>
      </w:pPr>
    </w:lvl>
    <w:lvl w:ilvl="3" w:tplc="F36C1340" w:tentative="1">
      <w:start w:val="1"/>
      <w:numFmt w:val="decimal"/>
      <w:lvlText w:val="%4."/>
      <w:lvlJc w:val="left"/>
      <w:pPr>
        <w:ind w:left="2880" w:hanging="360"/>
      </w:pPr>
    </w:lvl>
    <w:lvl w:ilvl="4" w:tplc="0544683C" w:tentative="1">
      <w:start w:val="1"/>
      <w:numFmt w:val="lowerLetter"/>
      <w:lvlText w:val="%5."/>
      <w:lvlJc w:val="left"/>
      <w:pPr>
        <w:ind w:left="3600" w:hanging="360"/>
      </w:pPr>
    </w:lvl>
    <w:lvl w:ilvl="5" w:tplc="402AFB70" w:tentative="1">
      <w:start w:val="1"/>
      <w:numFmt w:val="lowerRoman"/>
      <w:lvlText w:val="%6."/>
      <w:lvlJc w:val="right"/>
      <w:pPr>
        <w:ind w:left="4320" w:hanging="180"/>
      </w:pPr>
    </w:lvl>
    <w:lvl w:ilvl="6" w:tplc="BF7A1DBE" w:tentative="1">
      <w:start w:val="1"/>
      <w:numFmt w:val="decimal"/>
      <w:lvlText w:val="%7."/>
      <w:lvlJc w:val="left"/>
      <w:pPr>
        <w:ind w:left="5040" w:hanging="360"/>
      </w:pPr>
    </w:lvl>
    <w:lvl w:ilvl="7" w:tplc="866ECEA4" w:tentative="1">
      <w:start w:val="1"/>
      <w:numFmt w:val="lowerLetter"/>
      <w:lvlText w:val="%8."/>
      <w:lvlJc w:val="left"/>
      <w:pPr>
        <w:ind w:left="5760" w:hanging="360"/>
      </w:pPr>
    </w:lvl>
    <w:lvl w:ilvl="8" w:tplc="F4005E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A3037"/>
    <w:multiLevelType w:val="hybridMultilevel"/>
    <w:tmpl w:val="FA2291D2"/>
    <w:lvl w:ilvl="0" w:tplc="2F4CC6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7A8B4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703D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40B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6A5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561E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787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5226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D089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C6440"/>
    <w:multiLevelType w:val="hybridMultilevel"/>
    <w:tmpl w:val="8514C6AE"/>
    <w:lvl w:ilvl="0" w:tplc="34366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415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A8E3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8E6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3898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F0E5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5CB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F4FF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52D5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524FF"/>
    <w:multiLevelType w:val="hybridMultilevel"/>
    <w:tmpl w:val="2D8EFD48"/>
    <w:lvl w:ilvl="0" w:tplc="92F09A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7E58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E95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108B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2254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CE08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EA5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6C09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4B6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94B3F"/>
    <w:multiLevelType w:val="hybridMultilevel"/>
    <w:tmpl w:val="74323D1E"/>
    <w:lvl w:ilvl="0" w:tplc="A7E68C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610C5C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2CA9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D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BC3E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DE5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28F1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A62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30C5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D1551"/>
    <w:multiLevelType w:val="hybridMultilevel"/>
    <w:tmpl w:val="BAD4E2C6"/>
    <w:lvl w:ilvl="0" w:tplc="3BD239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E94C284" w:tentative="1">
      <w:start w:val="1"/>
      <w:numFmt w:val="lowerLetter"/>
      <w:lvlText w:val="%2."/>
      <w:lvlJc w:val="left"/>
      <w:pPr>
        <w:ind w:left="1440" w:hanging="360"/>
      </w:pPr>
    </w:lvl>
    <w:lvl w:ilvl="2" w:tplc="DC2E7274" w:tentative="1">
      <w:start w:val="1"/>
      <w:numFmt w:val="lowerRoman"/>
      <w:lvlText w:val="%3."/>
      <w:lvlJc w:val="right"/>
      <w:pPr>
        <w:ind w:left="2160" w:hanging="180"/>
      </w:pPr>
    </w:lvl>
    <w:lvl w:ilvl="3" w:tplc="5F18B28C" w:tentative="1">
      <w:start w:val="1"/>
      <w:numFmt w:val="decimal"/>
      <w:lvlText w:val="%4."/>
      <w:lvlJc w:val="left"/>
      <w:pPr>
        <w:ind w:left="2880" w:hanging="360"/>
      </w:pPr>
    </w:lvl>
    <w:lvl w:ilvl="4" w:tplc="2656339E" w:tentative="1">
      <w:start w:val="1"/>
      <w:numFmt w:val="lowerLetter"/>
      <w:lvlText w:val="%5."/>
      <w:lvlJc w:val="left"/>
      <w:pPr>
        <w:ind w:left="3600" w:hanging="360"/>
      </w:pPr>
    </w:lvl>
    <w:lvl w:ilvl="5" w:tplc="7D3CD09C" w:tentative="1">
      <w:start w:val="1"/>
      <w:numFmt w:val="lowerRoman"/>
      <w:lvlText w:val="%6."/>
      <w:lvlJc w:val="right"/>
      <w:pPr>
        <w:ind w:left="4320" w:hanging="180"/>
      </w:pPr>
    </w:lvl>
    <w:lvl w:ilvl="6" w:tplc="747885CC" w:tentative="1">
      <w:start w:val="1"/>
      <w:numFmt w:val="decimal"/>
      <w:lvlText w:val="%7."/>
      <w:lvlJc w:val="left"/>
      <w:pPr>
        <w:ind w:left="5040" w:hanging="360"/>
      </w:pPr>
    </w:lvl>
    <w:lvl w:ilvl="7" w:tplc="534E6BA0" w:tentative="1">
      <w:start w:val="1"/>
      <w:numFmt w:val="lowerLetter"/>
      <w:lvlText w:val="%8."/>
      <w:lvlJc w:val="left"/>
      <w:pPr>
        <w:ind w:left="5760" w:hanging="360"/>
      </w:pPr>
    </w:lvl>
    <w:lvl w:ilvl="8" w:tplc="5B64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3043C"/>
    <w:multiLevelType w:val="hybridMultilevel"/>
    <w:tmpl w:val="90D01562"/>
    <w:lvl w:ilvl="0" w:tplc="8074833A">
      <w:start w:val="1"/>
      <w:numFmt w:val="bullet"/>
      <w:lvlText w:val=""/>
      <w:lvlJc w:val="left"/>
      <w:pPr>
        <w:ind w:left="708" w:hanging="360"/>
      </w:pPr>
      <w:rPr>
        <w:rFonts w:ascii="Wingdings" w:hAnsi="Wingdings" w:hint="default"/>
      </w:rPr>
    </w:lvl>
    <w:lvl w:ilvl="1" w:tplc="BD5E57EE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BA3AB51C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671C0DA2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5FEC4588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E33CEF60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F36AECF8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6EECB750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233401BC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6" w15:restartNumberingAfterBreak="0">
    <w:nsid w:val="47CC1918"/>
    <w:multiLevelType w:val="hybridMultilevel"/>
    <w:tmpl w:val="EC982866"/>
    <w:lvl w:ilvl="0" w:tplc="E0E8A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60E5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60D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418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A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72A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8885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BC8B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3EC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B0222"/>
    <w:multiLevelType w:val="hybridMultilevel"/>
    <w:tmpl w:val="566253F2"/>
    <w:lvl w:ilvl="0" w:tplc="C4BCDA36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00C390E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BFC84C8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6A383D80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DF4E3CF4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D7CADD0E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DF6EFF6E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CEF2CC6E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5D8EDE6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4E7F26BB"/>
    <w:multiLevelType w:val="hybridMultilevel"/>
    <w:tmpl w:val="C7F69DF0"/>
    <w:lvl w:ilvl="0" w:tplc="5A3C2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F24E4E" w:tentative="1">
      <w:start w:val="1"/>
      <w:numFmt w:val="lowerLetter"/>
      <w:lvlText w:val="%2."/>
      <w:lvlJc w:val="left"/>
      <w:pPr>
        <w:ind w:left="1440" w:hanging="360"/>
      </w:pPr>
    </w:lvl>
    <w:lvl w:ilvl="2" w:tplc="6ACC96E6" w:tentative="1">
      <w:start w:val="1"/>
      <w:numFmt w:val="lowerRoman"/>
      <w:lvlText w:val="%3."/>
      <w:lvlJc w:val="right"/>
      <w:pPr>
        <w:ind w:left="2160" w:hanging="180"/>
      </w:pPr>
    </w:lvl>
    <w:lvl w:ilvl="3" w:tplc="75082A9E" w:tentative="1">
      <w:start w:val="1"/>
      <w:numFmt w:val="decimal"/>
      <w:lvlText w:val="%4."/>
      <w:lvlJc w:val="left"/>
      <w:pPr>
        <w:ind w:left="2880" w:hanging="360"/>
      </w:pPr>
    </w:lvl>
    <w:lvl w:ilvl="4" w:tplc="4AD08070" w:tentative="1">
      <w:start w:val="1"/>
      <w:numFmt w:val="lowerLetter"/>
      <w:lvlText w:val="%5."/>
      <w:lvlJc w:val="left"/>
      <w:pPr>
        <w:ind w:left="3600" w:hanging="360"/>
      </w:pPr>
    </w:lvl>
    <w:lvl w:ilvl="5" w:tplc="A6742F5A" w:tentative="1">
      <w:start w:val="1"/>
      <w:numFmt w:val="lowerRoman"/>
      <w:lvlText w:val="%6."/>
      <w:lvlJc w:val="right"/>
      <w:pPr>
        <w:ind w:left="4320" w:hanging="180"/>
      </w:pPr>
    </w:lvl>
    <w:lvl w:ilvl="6" w:tplc="E976F8EC" w:tentative="1">
      <w:start w:val="1"/>
      <w:numFmt w:val="decimal"/>
      <w:lvlText w:val="%7."/>
      <w:lvlJc w:val="left"/>
      <w:pPr>
        <w:ind w:left="5040" w:hanging="360"/>
      </w:pPr>
    </w:lvl>
    <w:lvl w:ilvl="7" w:tplc="FE2A34BA" w:tentative="1">
      <w:start w:val="1"/>
      <w:numFmt w:val="lowerLetter"/>
      <w:lvlText w:val="%8."/>
      <w:lvlJc w:val="left"/>
      <w:pPr>
        <w:ind w:left="5760" w:hanging="360"/>
      </w:pPr>
    </w:lvl>
    <w:lvl w:ilvl="8" w:tplc="159C86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A12334"/>
    <w:multiLevelType w:val="hybridMultilevel"/>
    <w:tmpl w:val="B3BE017E"/>
    <w:lvl w:ilvl="0" w:tplc="0E80B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328CB6" w:tentative="1">
      <w:start w:val="1"/>
      <w:numFmt w:val="lowerLetter"/>
      <w:lvlText w:val="%2."/>
      <w:lvlJc w:val="left"/>
      <w:pPr>
        <w:ind w:left="1440" w:hanging="360"/>
      </w:pPr>
    </w:lvl>
    <w:lvl w:ilvl="2" w:tplc="8AE03014" w:tentative="1">
      <w:start w:val="1"/>
      <w:numFmt w:val="lowerRoman"/>
      <w:lvlText w:val="%3."/>
      <w:lvlJc w:val="right"/>
      <w:pPr>
        <w:ind w:left="2160" w:hanging="180"/>
      </w:pPr>
    </w:lvl>
    <w:lvl w:ilvl="3" w:tplc="C5A862BC" w:tentative="1">
      <w:start w:val="1"/>
      <w:numFmt w:val="decimal"/>
      <w:lvlText w:val="%4."/>
      <w:lvlJc w:val="left"/>
      <w:pPr>
        <w:ind w:left="2880" w:hanging="360"/>
      </w:pPr>
    </w:lvl>
    <w:lvl w:ilvl="4" w:tplc="4FB8C4A6" w:tentative="1">
      <w:start w:val="1"/>
      <w:numFmt w:val="lowerLetter"/>
      <w:lvlText w:val="%5."/>
      <w:lvlJc w:val="left"/>
      <w:pPr>
        <w:ind w:left="3600" w:hanging="360"/>
      </w:pPr>
    </w:lvl>
    <w:lvl w:ilvl="5" w:tplc="BC80EEA4" w:tentative="1">
      <w:start w:val="1"/>
      <w:numFmt w:val="lowerRoman"/>
      <w:lvlText w:val="%6."/>
      <w:lvlJc w:val="right"/>
      <w:pPr>
        <w:ind w:left="4320" w:hanging="180"/>
      </w:pPr>
    </w:lvl>
    <w:lvl w:ilvl="6" w:tplc="C85AAA28" w:tentative="1">
      <w:start w:val="1"/>
      <w:numFmt w:val="decimal"/>
      <w:lvlText w:val="%7."/>
      <w:lvlJc w:val="left"/>
      <w:pPr>
        <w:ind w:left="5040" w:hanging="360"/>
      </w:pPr>
    </w:lvl>
    <w:lvl w:ilvl="7" w:tplc="4490A0E2" w:tentative="1">
      <w:start w:val="1"/>
      <w:numFmt w:val="lowerLetter"/>
      <w:lvlText w:val="%8."/>
      <w:lvlJc w:val="left"/>
      <w:pPr>
        <w:ind w:left="5760" w:hanging="360"/>
      </w:pPr>
    </w:lvl>
    <w:lvl w:ilvl="8" w:tplc="79F2B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6C6D01"/>
    <w:multiLevelType w:val="hybridMultilevel"/>
    <w:tmpl w:val="C7F69DF0"/>
    <w:lvl w:ilvl="0" w:tplc="11D0AF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12EF2E" w:tentative="1">
      <w:start w:val="1"/>
      <w:numFmt w:val="lowerLetter"/>
      <w:lvlText w:val="%2."/>
      <w:lvlJc w:val="left"/>
      <w:pPr>
        <w:ind w:left="1440" w:hanging="360"/>
      </w:pPr>
    </w:lvl>
    <w:lvl w:ilvl="2" w:tplc="73D2A490" w:tentative="1">
      <w:start w:val="1"/>
      <w:numFmt w:val="lowerRoman"/>
      <w:lvlText w:val="%3."/>
      <w:lvlJc w:val="right"/>
      <w:pPr>
        <w:ind w:left="2160" w:hanging="180"/>
      </w:pPr>
    </w:lvl>
    <w:lvl w:ilvl="3" w:tplc="AF4A3EA2" w:tentative="1">
      <w:start w:val="1"/>
      <w:numFmt w:val="decimal"/>
      <w:lvlText w:val="%4."/>
      <w:lvlJc w:val="left"/>
      <w:pPr>
        <w:ind w:left="2880" w:hanging="360"/>
      </w:pPr>
    </w:lvl>
    <w:lvl w:ilvl="4" w:tplc="3160A9E2" w:tentative="1">
      <w:start w:val="1"/>
      <w:numFmt w:val="lowerLetter"/>
      <w:lvlText w:val="%5."/>
      <w:lvlJc w:val="left"/>
      <w:pPr>
        <w:ind w:left="3600" w:hanging="360"/>
      </w:pPr>
    </w:lvl>
    <w:lvl w:ilvl="5" w:tplc="F3A45DF2" w:tentative="1">
      <w:start w:val="1"/>
      <w:numFmt w:val="lowerRoman"/>
      <w:lvlText w:val="%6."/>
      <w:lvlJc w:val="right"/>
      <w:pPr>
        <w:ind w:left="4320" w:hanging="180"/>
      </w:pPr>
    </w:lvl>
    <w:lvl w:ilvl="6" w:tplc="9F282D14" w:tentative="1">
      <w:start w:val="1"/>
      <w:numFmt w:val="decimal"/>
      <w:lvlText w:val="%7."/>
      <w:lvlJc w:val="left"/>
      <w:pPr>
        <w:ind w:left="5040" w:hanging="360"/>
      </w:pPr>
    </w:lvl>
    <w:lvl w:ilvl="7" w:tplc="C9927238" w:tentative="1">
      <w:start w:val="1"/>
      <w:numFmt w:val="lowerLetter"/>
      <w:lvlText w:val="%8."/>
      <w:lvlJc w:val="left"/>
      <w:pPr>
        <w:ind w:left="5760" w:hanging="360"/>
      </w:pPr>
    </w:lvl>
    <w:lvl w:ilvl="8" w:tplc="313E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95DDF"/>
    <w:multiLevelType w:val="hybridMultilevel"/>
    <w:tmpl w:val="DD6C1E7E"/>
    <w:lvl w:ilvl="0" w:tplc="19A089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276954A" w:tentative="1">
      <w:start w:val="1"/>
      <w:numFmt w:val="lowerLetter"/>
      <w:lvlText w:val="%2."/>
      <w:lvlJc w:val="left"/>
      <w:pPr>
        <w:ind w:left="1440" w:hanging="360"/>
      </w:pPr>
    </w:lvl>
    <w:lvl w:ilvl="2" w:tplc="B55E486C" w:tentative="1">
      <w:start w:val="1"/>
      <w:numFmt w:val="lowerRoman"/>
      <w:lvlText w:val="%3."/>
      <w:lvlJc w:val="right"/>
      <w:pPr>
        <w:ind w:left="2160" w:hanging="180"/>
      </w:pPr>
    </w:lvl>
    <w:lvl w:ilvl="3" w:tplc="E2ACA6C6" w:tentative="1">
      <w:start w:val="1"/>
      <w:numFmt w:val="decimal"/>
      <w:lvlText w:val="%4."/>
      <w:lvlJc w:val="left"/>
      <w:pPr>
        <w:ind w:left="2880" w:hanging="360"/>
      </w:pPr>
    </w:lvl>
    <w:lvl w:ilvl="4" w:tplc="957AEB1E" w:tentative="1">
      <w:start w:val="1"/>
      <w:numFmt w:val="lowerLetter"/>
      <w:lvlText w:val="%5."/>
      <w:lvlJc w:val="left"/>
      <w:pPr>
        <w:ind w:left="3600" w:hanging="360"/>
      </w:pPr>
    </w:lvl>
    <w:lvl w:ilvl="5" w:tplc="7C649C16" w:tentative="1">
      <w:start w:val="1"/>
      <w:numFmt w:val="lowerRoman"/>
      <w:lvlText w:val="%6."/>
      <w:lvlJc w:val="right"/>
      <w:pPr>
        <w:ind w:left="4320" w:hanging="180"/>
      </w:pPr>
    </w:lvl>
    <w:lvl w:ilvl="6" w:tplc="7B54E684" w:tentative="1">
      <w:start w:val="1"/>
      <w:numFmt w:val="decimal"/>
      <w:lvlText w:val="%7."/>
      <w:lvlJc w:val="left"/>
      <w:pPr>
        <w:ind w:left="5040" w:hanging="360"/>
      </w:pPr>
    </w:lvl>
    <w:lvl w:ilvl="7" w:tplc="F6F01E28" w:tentative="1">
      <w:start w:val="1"/>
      <w:numFmt w:val="lowerLetter"/>
      <w:lvlText w:val="%8."/>
      <w:lvlJc w:val="left"/>
      <w:pPr>
        <w:ind w:left="5760" w:hanging="360"/>
      </w:pPr>
    </w:lvl>
    <w:lvl w:ilvl="8" w:tplc="6E74C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B1C18"/>
    <w:multiLevelType w:val="multilevel"/>
    <w:tmpl w:val="F8BE54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610C41F3"/>
    <w:multiLevelType w:val="hybridMultilevel"/>
    <w:tmpl w:val="DD6C1E7E"/>
    <w:lvl w:ilvl="0" w:tplc="0276CB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EAF2B8" w:tentative="1">
      <w:start w:val="1"/>
      <w:numFmt w:val="lowerLetter"/>
      <w:lvlText w:val="%2."/>
      <w:lvlJc w:val="left"/>
      <w:pPr>
        <w:ind w:left="1440" w:hanging="360"/>
      </w:pPr>
    </w:lvl>
    <w:lvl w:ilvl="2" w:tplc="435A32DC" w:tentative="1">
      <w:start w:val="1"/>
      <w:numFmt w:val="lowerRoman"/>
      <w:lvlText w:val="%3."/>
      <w:lvlJc w:val="right"/>
      <w:pPr>
        <w:ind w:left="2160" w:hanging="180"/>
      </w:pPr>
    </w:lvl>
    <w:lvl w:ilvl="3" w:tplc="A60E1242" w:tentative="1">
      <w:start w:val="1"/>
      <w:numFmt w:val="decimal"/>
      <w:lvlText w:val="%4."/>
      <w:lvlJc w:val="left"/>
      <w:pPr>
        <w:ind w:left="2880" w:hanging="360"/>
      </w:pPr>
    </w:lvl>
    <w:lvl w:ilvl="4" w:tplc="E648F492" w:tentative="1">
      <w:start w:val="1"/>
      <w:numFmt w:val="lowerLetter"/>
      <w:lvlText w:val="%5."/>
      <w:lvlJc w:val="left"/>
      <w:pPr>
        <w:ind w:left="3600" w:hanging="360"/>
      </w:pPr>
    </w:lvl>
    <w:lvl w:ilvl="5" w:tplc="0FAEC232" w:tentative="1">
      <w:start w:val="1"/>
      <w:numFmt w:val="lowerRoman"/>
      <w:lvlText w:val="%6."/>
      <w:lvlJc w:val="right"/>
      <w:pPr>
        <w:ind w:left="4320" w:hanging="180"/>
      </w:pPr>
    </w:lvl>
    <w:lvl w:ilvl="6" w:tplc="79DC81FA" w:tentative="1">
      <w:start w:val="1"/>
      <w:numFmt w:val="decimal"/>
      <w:lvlText w:val="%7."/>
      <w:lvlJc w:val="left"/>
      <w:pPr>
        <w:ind w:left="5040" w:hanging="360"/>
      </w:pPr>
    </w:lvl>
    <w:lvl w:ilvl="7" w:tplc="F31AC268" w:tentative="1">
      <w:start w:val="1"/>
      <w:numFmt w:val="lowerLetter"/>
      <w:lvlText w:val="%8."/>
      <w:lvlJc w:val="left"/>
      <w:pPr>
        <w:ind w:left="5760" w:hanging="360"/>
      </w:pPr>
    </w:lvl>
    <w:lvl w:ilvl="8" w:tplc="CCA0A2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F134F7"/>
    <w:multiLevelType w:val="multilevel"/>
    <w:tmpl w:val="71B0D9C0"/>
    <w:lvl w:ilvl="0">
      <w:start w:val="5"/>
      <w:numFmt w:val="none"/>
      <w:lvlText w:val="%1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5" w15:restartNumberingAfterBreak="0">
    <w:nsid w:val="6AC30709"/>
    <w:multiLevelType w:val="hybridMultilevel"/>
    <w:tmpl w:val="9796E13C"/>
    <w:lvl w:ilvl="0" w:tplc="6CA67D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D9216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02D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5840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E6B9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16CC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3203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F247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66B1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007D58"/>
    <w:multiLevelType w:val="hybridMultilevel"/>
    <w:tmpl w:val="B4C0B54A"/>
    <w:lvl w:ilvl="0" w:tplc="93140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F61B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C70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7EE9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413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AF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1C27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F4B1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1AC0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E526FF"/>
    <w:multiLevelType w:val="hybridMultilevel"/>
    <w:tmpl w:val="A896F97E"/>
    <w:lvl w:ilvl="0" w:tplc="BD24AF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54A05EC" w:tentative="1">
      <w:start w:val="1"/>
      <w:numFmt w:val="lowerLetter"/>
      <w:lvlText w:val="%2."/>
      <w:lvlJc w:val="left"/>
      <w:pPr>
        <w:ind w:left="1440" w:hanging="360"/>
      </w:pPr>
    </w:lvl>
    <w:lvl w:ilvl="2" w:tplc="A2A88B92" w:tentative="1">
      <w:start w:val="1"/>
      <w:numFmt w:val="lowerRoman"/>
      <w:lvlText w:val="%3."/>
      <w:lvlJc w:val="right"/>
      <w:pPr>
        <w:ind w:left="2160" w:hanging="180"/>
      </w:pPr>
    </w:lvl>
    <w:lvl w:ilvl="3" w:tplc="DCE6EF6A" w:tentative="1">
      <w:start w:val="1"/>
      <w:numFmt w:val="decimal"/>
      <w:lvlText w:val="%4."/>
      <w:lvlJc w:val="left"/>
      <w:pPr>
        <w:ind w:left="2880" w:hanging="360"/>
      </w:pPr>
    </w:lvl>
    <w:lvl w:ilvl="4" w:tplc="65E683F6" w:tentative="1">
      <w:start w:val="1"/>
      <w:numFmt w:val="lowerLetter"/>
      <w:lvlText w:val="%5."/>
      <w:lvlJc w:val="left"/>
      <w:pPr>
        <w:ind w:left="3600" w:hanging="360"/>
      </w:pPr>
    </w:lvl>
    <w:lvl w:ilvl="5" w:tplc="E57A083E" w:tentative="1">
      <w:start w:val="1"/>
      <w:numFmt w:val="lowerRoman"/>
      <w:lvlText w:val="%6."/>
      <w:lvlJc w:val="right"/>
      <w:pPr>
        <w:ind w:left="4320" w:hanging="180"/>
      </w:pPr>
    </w:lvl>
    <w:lvl w:ilvl="6" w:tplc="7F6CAF6C" w:tentative="1">
      <w:start w:val="1"/>
      <w:numFmt w:val="decimal"/>
      <w:lvlText w:val="%7."/>
      <w:lvlJc w:val="left"/>
      <w:pPr>
        <w:ind w:left="5040" w:hanging="360"/>
      </w:pPr>
    </w:lvl>
    <w:lvl w:ilvl="7" w:tplc="474A6914" w:tentative="1">
      <w:start w:val="1"/>
      <w:numFmt w:val="lowerLetter"/>
      <w:lvlText w:val="%8."/>
      <w:lvlJc w:val="left"/>
      <w:pPr>
        <w:ind w:left="5760" w:hanging="360"/>
      </w:pPr>
    </w:lvl>
    <w:lvl w:ilvl="8" w:tplc="C4384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86B36"/>
    <w:multiLevelType w:val="hybridMultilevel"/>
    <w:tmpl w:val="FB906EF6"/>
    <w:lvl w:ilvl="0" w:tplc="BD26DB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CC00EA8" w:tentative="1">
      <w:start w:val="1"/>
      <w:numFmt w:val="lowerLetter"/>
      <w:lvlText w:val="%2."/>
      <w:lvlJc w:val="left"/>
      <w:pPr>
        <w:ind w:left="1440" w:hanging="360"/>
      </w:pPr>
    </w:lvl>
    <w:lvl w:ilvl="2" w:tplc="A12C8CAC" w:tentative="1">
      <w:start w:val="1"/>
      <w:numFmt w:val="lowerRoman"/>
      <w:lvlText w:val="%3."/>
      <w:lvlJc w:val="right"/>
      <w:pPr>
        <w:ind w:left="2160" w:hanging="180"/>
      </w:pPr>
    </w:lvl>
    <w:lvl w:ilvl="3" w:tplc="28189788" w:tentative="1">
      <w:start w:val="1"/>
      <w:numFmt w:val="decimal"/>
      <w:lvlText w:val="%4."/>
      <w:lvlJc w:val="left"/>
      <w:pPr>
        <w:ind w:left="2880" w:hanging="360"/>
      </w:pPr>
    </w:lvl>
    <w:lvl w:ilvl="4" w:tplc="C530387E" w:tentative="1">
      <w:start w:val="1"/>
      <w:numFmt w:val="lowerLetter"/>
      <w:lvlText w:val="%5."/>
      <w:lvlJc w:val="left"/>
      <w:pPr>
        <w:ind w:left="3600" w:hanging="360"/>
      </w:pPr>
    </w:lvl>
    <w:lvl w:ilvl="5" w:tplc="C38C535E" w:tentative="1">
      <w:start w:val="1"/>
      <w:numFmt w:val="lowerRoman"/>
      <w:lvlText w:val="%6."/>
      <w:lvlJc w:val="right"/>
      <w:pPr>
        <w:ind w:left="4320" w:hanging="180"/>
      </w:pPr>
    </w:lvl>
    <w:lvl w:ilvl="6" w:tplc="9088192A" w:tentative="1">
      <w:start w:val="1"/>
      <w:numFmt w:val="decimal"/>
      <w:lvlText w:val="%7."/>
      <w:lvlJc w:val="left"/>
      <w:pPr>
        <w:ind w:left="5040" w:hanging="360"/>
      </w:pPr>
    </w:lvl>
    <w:lvl w:ilvl="7" w:tplc="EA00890A" w:tentative="1">
      <w:start w:val="1"/>
      <w:numFmt w:val="lowerLetter"/>
      <w:lvlText w:val="%8."/>
      <w:lvlJc w:val="left"/>
      <w:pPr>
        <w:ind w:left="5760" w:hanging="360"/>
      </w:pPr>
    </w:lvl>
    <w:lvl w:ilvl="8" w:tplc="AD74F0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D9635A"/>
    <w:multiLevelType w:val="hybridMultilevel"/>
    <w:tmpl w:val="0400CC88"/>
    <w:lvl w:ilvl="0" w:tplc="F54616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CF0819CC" w:tentative="1">
      <w:start w:val="1"/>
      <w:numFmt w:val="lowerLetter"/>
      <w:lvlText w:val="%2."/>
      <w:lvlJc w:val="left"/>
      <w:pPr>
        <w:ind w:left="1440" w:hanging="360"/>
      </w:pPr>
    </w:lvl>
    <w:lvl w:ilvl="2" w:tplc="137493BA" w:tentative="1">
      <w:start w:val="1"/>
      <w:numFmt w:val="lowerRoman"/>
      <w:lvlText w:val="%3."/>
      <w:lvlJc w:val="right"/>
      <w:pPr>
        <w:ind w:left="2160" w:hanging="180"/>
      </w:pPr>
    </w:lvl>
    <w:lvl w:ilvl="3" w:tplc="BB4E49FA" w:tentative="1">
      <w:start w:val="1"/>
      <w:numFmt w:val="decimal"/>
      <w:lvlText w:val="%4."/>
      <w:lvlJc w:val="left"/>
      <w:pPr>
        <w:ind w:left="2880" w:hanging="360"/>
      </w:pPr>
    </w:lvl>
    <w:lvl w:ilvl="4" w:tplc="669AC1F4" w:tentative="1">
      <w:start w:val="1"/>
      <w:numFmt w:val="lowerLetter"/>
      <w:lvlText w:val="%5."/>
      <w:lvlJc w:val="left"/>
      <w:pPr>
        <w:ind w:left="3600" w:hanging="360"/>
      </w:pPr>
    </w:lvl>
    <w:lvl w:ilvl="5" w:tplc="5E0673BA" w:tentative="1">
      <w:start w:val="1"/>
      <w:numFmt w:val="lowerRoman"/>
      <w:lvlText w:val="%6."/>
      <w:lvlJc w:val="right"/>
      <w:pPr>
        <w:ind w:left="4320" w:hanging="180"/>
      </w:pPr>
    </w:lvl>
    <w:lvl w:ilvl="6" w:tplc="140C79B0" w:tentative="1">
      <w:start w:val="1"/>
      <w:numFmt w:val="decimal"/>
      <w:lvlText w:val="%7."/>
      <w:lvlJc w:val="left"/>
      <w:pPr>
        <w:ind w:left="5040" w:hanging="360"/>
      </w:pPr>
    </w:lvl>
    <w:lvl w:ilvl="7" w:tplc="CCAC97F0" w:tentative="1">
      <w:start w:val="1"/>
      <w:numFmt w:val="lowerLetter"/>
      <w:lvlText w:val="%8."/>
      <w:lvlJc w:val="left"/>
      <w:pPr>
        <w:ind w:left="5760" w:hanging="360"/>
      </w:pPr>
    </w:lvl>
    <w:lvl w:ilvl="8" w:tplc="3B06BC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0F6BCF"/>
    <w:multiLevelType w:val="multilevel"/>
    <w:tmpl w:val="55B8E97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336167"/>
    <w:multiLevelType w:val="hybridMultilevel"/>
    <w:tmpl w:val="DD6C1E7E"/>
    <w:lvl w:ilvl="0" w:tplc="79A2B3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A381C32" w:tentative="1">
      <w:start w:val="1"/>
      <w:numFmt w:val="lowerLetter"/>
      <w:lvlText w:val="%2."/>
      <w:lvlJc w:val="left"/>
      <w:pPr>
        <w:ind w:left="1440" w:hanging="360"/>
      </w:pPr>
    </w:lvl>
    <w:lvl w:ilvl="2" w:tplc="0510A16E" w:tentative="1">
      <w:start w:val="1"/>
      <w:numFmt w:val="lowerRoman"/>
      <w:lvlText w:val="%3."/>
      <w:lvlJc w:val="right"/>
      <w:pPr>
        <w:ind w:left="2160" w:hanging="180"/>
      </w:pPr>
    </w:lvl>
    <w:lvl w:ilvl="3" w:tplc="A1A24834" w:tentative="1">
      <w:start w:val="1"/>
      <w:numFmt w:val="decimal"/>
      <w:lvlText w:val="%4."/>
      <w:lvlJc w:val="left"/>
      <w:pPr>
        <w:ind w:left="2880" w:hanging="360"/>
      </w:pPr>
    </w:lvl>
    <w:lvl w:ilvl="4" w:tplc="4D227F82" w:tentative="1">
      <w:start w:val="1"/>
      <w:numFmt w:val="lowerLetter"/>
      <w:lvlText w:val="%5."/>
      <w:lvlJc w:val="left"/>
      <w:pPr>
        <w:ind w:left="3600" w:hanging="360"/>
      </w:pPr>
    </w:lvl>
    <w:lvl w:ilvl="5" w:tplc="22C4424E" w:tentative="1">
      <w:start w:val="1"/>
      <w:numFmt w:val="lowerRoman"/>
      <w:lvlText w:val="%6."/>
      <w:lvlJc w:val="right"/>
      <w:pPr>
        <w:ind w:left="4320" w:hanging="180"/>
      </w:pPr>
    </w:lvl>
    <w:lvl w:ilvl="6" w:tplc="1098F7EA" w:tentative="1">
      <w:start w:val="1"/>
      <w:numFmt w:val="decimal"/>
      <w:lvlText w:val="%7."/>
      <w:lvlJc w:val="left"/>
      <w:pPr>
        <w:ind w:left="5040" w:hanging="360"/>
      </w:pPr>
    </w:lvl>
    <w:lvl w:ilvl="7" w:tplc="6194F462" w:tentative="1">
      <w:start w:val="1"/>
      <w:numFmt w:val="lowerLetter"/>
      <w:lvlText w:val="%8."/>
      <w:lvlJc w:val="left"/>
      <w:pPr>
        <w:ind w:left="5760" w:hanging="360"/>
      </w:pPr>
    </w:lvl>
    <w:lvl w:ilvl="8" w:tplc="F8A6B2E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26"/>
  </w:num>
  <w:num w:numId="4">
    <w:abstractNumId w:val="11"/>
  </w:num>
  <w:num w:numId="5">
    <w:abstractNumId w:val="10"/>
  </w:num>
  <w:num w:numId="6">
    <w:abstractNumId w:val="4"/>
  </w:num>
  <w:num w:numId="7">
    <w:abstractNumId w:val="5"/>
  </w:num>
  <w:num w:numId="8">
    <w:abstractNumId w:val="12"/>
  </w:num>
  <w:num w:numId="9">
    <w:abstractNumId w:val="22"/>
  </w:num>
  <w:num w:numId="10">
    <w:abstractNumId w:val="24"/>
  </w:num>
  <w:num w:numId="11">
    <w:abstractNumId w:val="8"/>
  </w:num>
  <w:num w:numId="12">
    <w:abstractNumId w:val="25"/>
  </w:num>
  <w:num w:numId="13">
    <w:abstractNumId w:val="0"/>
  </w:num>
  <w:num w:numId="14">
    <w:abstractNumId w:val="15"/>
  </w:num>
  <w:num w:numId="15">
    <w:abstractNumId w:val="6"/>
  </w:num>
  <w:num w:numId="16">
    <w:abstractNumId w:val="1"/>
  </w:num>
  <w:num w:numId="17">
    <w:abstractNumId w:val="30"/>
  </w:num>
  <w:num w:numId="18">
    <w:abstractNumId w:val="27"/>
  </w:num>
  <w:num w:numId="19">
    <w:abstractNumId w:val="14"/>
  </w:num>
  <w:num w:numId="20">
    <w:abstractNumId w:val="17"/>
  </w:num>
  <w:num w:numId="21">
    <w:abstractNumId w:val="13"/>
  </w:num>
  <w:num w:numId="22">
    <w:abstractNumId w:val="28"/>
  </w:num>
  <w:num w:numId="23">
    <w:abstractNumId w:val="3"/>
  </w:num>
  <w:num w:numId="24">
    <w:abstractNumId w:val="29"/>
  </w:num>
  <w:num w:numId="25">
    <w:abstractNumId w:val="16"/>
  </w:num>
  <w:num w:numId="26">
    <w:abstractNumId w:val="7"/>
  </w:num>
  <w:num w:numId="27">
    <w:abstractNumId w:val="9"/>
  </w:num>
  <w:num w:numId="28">
    <w:abstractNumId w:val="20"/>
  </w:num>
  <w:num w:numId="29">
    <w:abstractNumId w:val="2"/>
  </w:num>
  <w:num w:numId="30">
    <w:abstractNumId w:val="21"/>
  </w:num>
  <w:num w:numId="31">
    <w:abstractNumId w:val="23"/>
  </w:num>
  <w:num w:numId="32">
    <w:abstractNumId w:val="31"/>
  </w:num>
  <w:num w:numId="33">
    <w:abstractNumId w:val="17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36"/>
    <w:rsid w:val="00830A36"/>
    <w:rsid w:val="008E302E"/>
    <w:rsid w:val="0096751E"/>
    <w:rsid w:val="00CE7113"/>
    <w:rsid w:val="00EE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4E8B0"/>
  <w15:chartTrackingRefBased/>
  <w15:docId w15:val="{00972832-8C48-441D-99FD-EAF71962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rsid w:val="006B4AFF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4E789C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E789C"/>
    <w:rPr>
      <w:sz w:val="20"/>
      <w:szCs w:val="20"/>
      <w:lang w:val="es-ES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4E789C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CA7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A7AF9"/>
    <w:rPr>
      <w:lang w:val="es-ES"/>
    </w:rPr>
  </w:style>
  <w:style w:type="paragraph" w:styleId="Rodap">
    <w:name w:val="footer"/>
    <w:basedOn w:val="Normal"/>
    <w:link w:val="RodapCarter"/>
    <w:uiPriority w:val="99"/>
    <w:unhideWhenUsed/>
    <w:rsid w:val="00CA7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A7AF9"/>
    <w:rPr>
      <w:lang w:val="es-ES"/>
    </w:rPr>
  </w:style>
  <w:style w:type="character" w:styleId="Hiperligao">
    <w:name w:val="Hyperlink"/>
    <w:basedOn w:val="Tipodeletrapredefinidodopargrafo"/>
    <w:uiPriority w:val="99"/>
    <w:unhideWhenUsed/>
    <w:rsid w:val="00E6420B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E6420B"/>
    <w:rPr>
      <w:color w:val="605E5C"/>
      <w:shd w:val="clear" w:color="auto" w:fill="E1DFDD"/>
    </w:rPr>
  </w:style>
  <w:style w:type="character" w:customStyle="1" w:styleId="atlastextcursive">
    <w:name w:val="atlastextcursive"/>
    <w:basedOn w:val="Tipodeletrapredefinidodopargrafo"/>
    <w:rsid w:val="00D17803"/>
  </w:style>
  <w:style w:type="character" w:customStyle="1" w:styleId="labeltextautdatabig">
    <w:name w:val="labeltextautdatabig"/>
    <w:basedOn w:val="Tipodeletrapredefinidodopargrafo"/>
    <w:rsid w:val="00D17803"/>
  </w:style>
  <w:style w:type="character" w:customStyle="1" w:styleId="labeltextautdatasmall3">
    <w:name w:val="labeltextautdatasmall3"/>
    <w:basedOn w:val="Tipodeletrapredefinidodopargrafo"/>
    <w:rsid w:val="00D17803"/>
  </w:style>
  <w:style w:type="character" w:customStyle="1" w:styleId="labeltextautdatasmallpc1">
    <w:name w:val="labeltextautdatasmallpc1"/>
    <w:basedOn w:val="Tipodeletrapredefinidodopargrafo"/>
    <w:rsid w:val="00D17803"/>
  </w:style>
  <w:style w:type="character" w:customStyle="1" w:styleId="labeltextautdatasmall2">
    <w:name w:val="labeltextautdatasmall2"/>
    <w:basedOn w:val="Tipodeletrapredefinidodopargrafo"/>
    <w:rsid w:val="00D17803"/>
  </w:style>
  <w:style w:type="character" w:styleId="Forte">
    <w:name w:val="Strong"/>
    <w:basedOn w:val="Tipodeletrapredefinidodopargrafo"/>
    <w:uiPriority w:val="22"/>
    <w:qFormat/>
    <w:rsid w:val="00C203AA"/>
    <w:rPr>
      <w:b/>
      <w:bCs/>
    </w:rPr>
  </w:style>
  <w:style w:type="paragraph" w:customStyle="1" w:styleId="Test">
    <w:name w:val="Test!"/>
    <w:basedOn w:val="Normal"/>
    <w:rsid w:val="00C203AA"/>
    <w:pPr>
      <w:pBdr>
        <w:top w:val="single" w:sz="4" w:space="1" w:color="000000"/>
        <w:left w:val="single" w:sz="4" w:space="4" w:color="000000"/>
        <w:bottom w:val="single" w:sz="4" w:space="4" w:color="000000"/>
        <w:right w:val="single" w:sz="4" w:space="4" w:color="000000"/>
      </w:pBdr>
      <w:shd w:val="clear" w:color="auto" w:fill="AEAAAA"/>
      <w:tabs>
        <w:tab w:val="center" w:pos="4535"/>
      </w:tabs>
      <w:autoSpaceDN w:val="0"/>
      <w:spacing w:after="300" w:line="276" w:lineRule="auto"/>
    </w:pPr>
    <w:rPr>
      <w:rFonts w:ascii="Frutiger LT 55 Roman" w:eastAsia="Times New Roman" w:hAnsi="Frutiger LT 55 Roman" w:cs="Times New Roman"/>
      <w:b/>
      <w:color w:val="323E4F"/>
      <w:spacing w:val="5"/>
      <w:kern w:val="3"/>
      <w:sz w:val="24"/>
      <w:szCs w:val="24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870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n-crimjust.europa.eu" TargetMode="External"/><Relationship Id="rId13" Type="http://schemas.openxmlformats.org/officeDocument/2006/relationships/hyperlink" Target="mailto:cis.bxl@just.fgov.be" TargetMode="External"/><Relationship Id="rId18" Type="http://schemas.openxmlformats.org/officeDocument/2006/relationships/hyperlink" Target="http://www.ejn-crimjust.europa.eu" TargetMode="External"/><Relationship Id="rId26" Type="http://schemas.openxmlformats.org/officeDocument/2006/relationships/image" Target="media/image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hyperlink" Target="http://www.ejn-crimjust.europa.e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jn-crimjust.europa.eu/ejn/libcategories/EN/39/-1/-1/-1" TargetMode="External"/><Relationship Id="rId17" Type="http://schemas.openxmlformats.org/officeDocument/2006/relationships/hyperlink" Target="https://www.ejn-crimjust.europa.eu/ejn/libdocumentproperties.aspx?Id=1176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www.ejn-crimjust.europa.eu/ejn/libdocumentproperties.aspx?Id=1229" TargetMode="External"/><Relationship Id="rId20" Type="http://schemas.openxmlformats.org/officeDocument/2006/relationships/hyperlink" Target="https://www.ejn-crimjust.europa.eu/ejn/libcategories/EN/39/-1/-1/-1" TargetMode="External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jn-crimjust.europa.eu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jn-crimjust.europa.eu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10" Type="http://schemas.openxmlformats.org/officeDocument/2006/relationships/hyperlink" Target="https://www.ejn-crimjust.europa.eu/ejn/AtlasChooseCountry/EN" TargetMode="External"/><Relationship Id="rId19" Type="http://schemas.openxmlformats.org/officeDocument/2006/relationships/hyperlink" Target="https://www.ejn-crimjust.europa.eu/ejn/AtlasAuthorityData/EN/223/9/908/54/417/2/0/4965/479/0/1/915/1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ejn-crimjust.europa.eu/ejn/EJN_Library_StatusOfImpByCat.aspx?l=EN&amp;CategoryId=39" TargetMode="External"/><Relationship Id="rId14" Type="http://schemas.openxmlformats.org/officeDocument/2006/relationships/hyperlink" Target="https://www.ejn-crimjust.europa.eu/ejn/libcategories/EN/39/-1/-1/-1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www.ejn-crimjust.europa.eu/ejn/libdocumentproperties.aspx?Id=12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8C482-C32C-4FE1-AED2-84A98BC3F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6590</Words>
  <Characters>35586</Characters>
  <Application>Microsoft Office Word</Application>
  <DocSecurity>0</DocSecurity>
  <Lines>296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Maria João</cp:lastModifiedBy>
  <cp:revision>3</cp:revision>
  <cp:lastPrinted>2020-03-12T12:00:00Z</cp:lastPrinted>
  <dcterms:created xsi:type="dcterms:W3CDTF">2021-07-16T17:54:00Z</dcterms:created>
  <dcterms:modified xsi:type="dcterms:W3CDTF">2021-07-19T09:30:00Z</dcterms:modified>
</cp:coreProperties>
</file>