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4700E" w14:textId="77777777" w:rsidR="00D83E42" w:rsidRPr="003E5188" w:rsidRDefault="00D83E42" w:rsidP="00A257D5">
      <w:pPr>
        <w:jc w:val="center"/>
        <w:rPr>
          <w:rFonts w:ascii="Times New Roman" w:hAnsi="Times New Roman"/>
          <w:b/>
          <w:bCs/>
          <w:sz w:val="32"/>
          <w:szCs w:val="28"/>
        </w:rPr>
      </w:pPr>
      <w:bookmarkStart w:id="0" w:name="_Hlk33708632"/>
    </w:p>
    <w:p w14:paraId="740BB32E" w14:textId="77777777" w:rsidR="00D83E42" w:rsidRPr="003E5188" w:rsidRDefault="00D83E42" w:rsidP="00A257D5">
      <w:pPr>
        <w:jc w:val="center"/>
        <w:rPr>
          <w:rFonts w:ascii="Times New Roman" w:hAnsi="Times New Roman"/>
          <w:b/>
          <w:bCs/>
          <w:sz w:val="32"/>
          <w:szCs w:val="28"/>
        </w:rPr>
      </w:pPr>
    </w:p>
    <w:p w14:paraId="7FE5F3B4" w14:textId="57075AAB" w:rsidR="00D83E42" w:rsidRPr="003E5188" w:rsidRDefault="00D83E42" w:rsidP="00A257D5">
      <w:pPr>
        <w:jc w:val="center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b/>
          <w:bCs/>
          <w:sz w:val="36"/>
          <w:szCs w:val="28"/>
          <w:lang w:val="pt-PT"/>
        </w:rPr>
        <w:t>Reconhecimento Mútuo III</w:t>
      </w:r>
    </w:p>
    <w:p w14:paraId="33C3344E" w14:textId="77777777" w:rsidR="006856B3" w:rsidRPr="003E5188" w:rsidRDefault="00246D57" w:rsidP="00A257D5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Decisão-Quadro 2008/947/JAI do Conselho, de 27 de novembro de 2008 </w:t>
      </w:r>
    </w:p>
    <w:p w14:paraId="62BA6E2C" w14:textId="4E02A882" w:rsidR="006856B3" w:rsidRPr="003E5188" w:rsidRDefault="00246D57" w:rsidP="00A257D5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pt-PT"/>
        </w:rPr>
        <w:t>respeitante à aplicação do princípio do reconhecimento mútuo às sentenças e decisões relativas à liberdade condicional para efeitos da fiscalização das medidas de vigilância e das sanções alternativas</w:t>
      </w:r>
      <w:bookmarkEnd w:id="0"/>
    </w:p>
    <w:p w14:paraId="25218605" w14:textId="77777777" w:rsidR="00D83E42" w:rsidRPr="003E5188" w:rsidRDefault="00D83E42" w:rsidP="00A257D5">
      <w:pPr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Conjunto de Estudos de caso – um Guia para formadores</w:t>
      </w:r>
    </w:p>
    <w:p w14:paraId="121F4736" w14:textId="77777777" w:rsidR="006856B3" w:rsidRPr="003E5188" w:rsidRDefault="006856B3" w:rsidP="00A257D5">
      <w:pPr>
        <w:rPr>
          <w:rFonts w:ascii="Times New Roman" w:hAnsi="Times New Roman"/>
          <w:b/>
          <w:bCs/>
          <w:sz w:val="28"/>
          <w:szCs w:val="28"/>
        </w:rPr>
      </w:pPr>
    </w:p>
    <w:p w14:paraId="54FB8A7A" w14:textId="77777777" w:rsidR="00D83E42" w:rsidRPr="003E5188" w:rsidRDefault="00D83E42" w:rsidP="00A257D5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50FC5C6F" w14:textId="77777777" w:rsidR="00D83E42" w:rsidRPr="003E5188" w:rsidRDefault="00D83E42" w:rsidP="00A257D5">
      <w:pPr>
        <w:spacing w:after="0"/>
        <w:rPr>
          <w:rFonts w:ascii="Times New Roman" w:hAnsi="Times New Roman"/>
          <w:bCs/>
          <w:sz w:val="32"/>
          <w:szCs w:val="28"/>
        </w:rPr>
      </w:pPr>
      <w:bookmarkStart w:id="1" w:name="_Hlk54274199"/>
      <w:r>
        <w:rPr>
          <w:rFonts w:ascii="Times New Roman" w:hAnsi="Times New Roman"/>
          <w:sz w:val="32"/>
          <w:szCs w:val="28"/>
          <w:lang w:val="pt-PT"/>
        </w:rPr>
        <w:t>Elaborado por:</w:t>
      </w:r>
    </w:p>
    <w:p w14:paraId="7C7300A9" w14:textId="77777777" w:rsidR="00D83E42" w:rsidRPr="003E5188" w:rsidRDefault="00D83E42" w:rsidP="00A257D5">
      <w:pPr>
        <w:spacing w:after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Daniel Constantin Motoi</w:t>
      </w:r>
    </w:p>
    <w:p w14:paraId="62ED5AA3" w14:textId="77777777" w:rsidR="00D83E42" w:rsidRPr="003E5188" w:rsidRDefault="00D83E42" w:rsidP="00A257D5">
      <w:pPr>
        <w:spacing w:after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Juiz, </w:t>
      </w:r>
    </w:p>
    <w:p w14:paraId="46BB1A2C" w14:textId="77777777" w:rsidR="00D83E42" w:rsidRPr="003E5188" w:rsidRDefault="00D83E42" w:rsidP="00A257D5">
      <w:pPr>
        <w:spacing w:after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Tribunal de Primeira Instância, 4th District, Tribunal de Bucareste, Bucareste</w:t>
      </w:r>
    </w:p>
    <w:p w14:paraId="12E7E699" w14:textId="77777777" w:rsidR="00D83E42" w:rsidRPr="003E5188" w:rsidRDefault="00D83E42" w:rsidP="00A257D5">
      <w:pPr>
        <w:rPr>
          <w:rFonts w:ascii="Times New Roman" w:hAnsi="Times New Roman"/>
          <w:bCs/>
          <w:sz w:val="28"/>
          <w:szCs w:val="28"/>
        </w:rPr>
      </w:pPr>
    </w:p>
    <w:p w14:paraId="6586428A" w14:textId="77777777" w:rsidR="00D83E42" w:rsidRPr="003E5188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Style w:val="Forte"/>
          <w:rFonts w:ascii="Times New Roman" w:hAnsi="Times New Roman"/>
          <w:i/>
          <w:color w:val="000000"/>
          <w:sz w:val="32"/>
          <w:szCs w:val="28"/>
        </w:rPr>
      </w:pPr>
      <w:r>
        <w:rPr>
          <w:rStyle w:val="Forte"/>
          <w:rFonts w:ascii="Times New Roman" w:hAnsi="Times New Roman"/>
          <w:i/>
          <w:iCs/>
          <w:color w:val="000000"/>
          <w:sz w:val="32"/>
          <w:szCs w:val="28"/>
          <w:lang w:val="pt-PT"/>
        </w:rPr>
        <w:t>Índice</w:t>
      </w:r>
    </w:p>
    <w:p w14:paraId="6AB3827E" w14:textId="77777777" w:rsidR="00D83E42" w:rsidRPr="003E5188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Style w:val="Forte"/>
          <w:rFonts w:ascii="Times New Roman" w:hAnsi="Times New Roman"/>
          <w:color w:val="000000"/>
          <w:sz w:val="28"/>
          <w:szCs w:val="28"/>
        </w:rPr>
      </w:pPr>
    </w:p>
    <w:p w14:paraId="03A21E3A" w14:textId="77777777" w:rsidR="00D83E42" w:rsidRPr="003E5188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/>
          <w:color w:val="000000"/>
          <w:sz w:val="28"/>
          <w:szCs w:val="28"/>
        </w:rPr>
      </w:pPr>
      <w:r>
        <w:rPr>
          <w:rStyle w:val="Forte"/>
          <w:rFonts w:ascii="Times New Roman" w:hAnsi="Times New Roman"/>
          <w:color w:val="000000"/>
          <w:sz w:val="28"/>
          <w:szCs w:val="28"/>
          <w:lang w:val="pt-PT"/>
        </w:rPr>
        <w:t xml:space="preserve">A. </w:t>
      </w:r>
      <w:r>
        <w:rPr>
          <w:rStyle w:val="Forte"/>
          <w:rFonts w:ascii="Times New Roman" w:hAnsi="Times New Roman"/>
          <w:color w:val="000000"/>
          <w:sz w:val="28"/>
          <w:szCs w:val="28"/>
          <w:lang w:val="pt-PT"/>
        </w:rPr>
        <w:tab/>
        <w:t>Estudos de caso</w:t>
      </w:r>
      <w:r>
        <w:rPr>
          <w:rStyle w:val="Forte"/>
          <w:rFonts w:ascii="Times New Roman" w:hAnsi="Times New Roman"/>
          <w:color w:val="000000"/>
          <w:sz w:val="28"/>
          <w:szCs w:val="28"/>
          <w:lang w:val="pt-PT"/>
        </w:rPr>
        <w:tab/>
        <w:t>1</w:t>
      </w:r>
    </w:p>
    <w:p w14:paraId="7D6E539C" w14:textId="77777777" w:rsidR="00D83E42" w:rsidRPr="00913648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/>
          <w:b w:val="0"/>
          <w:color w:val="000000"/>
          <w:sz w:val="28"/>
          <w:szCs w:val="28"/>
        </w:rPr>
      </w:pP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 xml:space="preserve">I. </w:t>
      </w: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ab/>
        <w:t xml:space="preserve">Cenário de caso 1; Questões </w:t>
      </w: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ab/>
        <w:t>1</w:t>
      </w:r>
    </w:p>
    <w:p w14:paraId="0C8A7EE3" w14:textId="77777777" w:rsidR="00D83E42" w:rsidRPr="00913648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/>
          <w:b w:val="0"/>
          <w:color w:val="000000"/>
          <w:sz w:val="28"/>
          <w:szCs w:val="28"/>
        </w:rPr>
      </w:pP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 xml:space="preserve">II. </w:t>
      </w: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ab/>
        <w:t>Exercícios</w:t>
      </w: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ab/>
        <w:t>2</w:t>
      </w:r>
    </w:p>
    <w:p w14:paraId="38327DA4" w14:textId="77777777" w:rsidR="00D83E42" w:rsidRPr="003E5188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/>
          <w:b w:val="0"/>
          <w:color w:val="000000"/>
          <w:sz w:val="28"/>
          <w:szCs w:val="28"/>
        </w:rPr>
      </w:pP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 xml:space="preserve">III. </w:t>
      </w: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ab/>
        <w:t>Cenário de Caso 2; Questões</w:t>
      </w: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ab/>
        <w:t>3</w:t>
      </w:r>
    </w:p>
    <w:p w14:paraId="040AD8BE" w14:textId="77777777" w:rsidR="00D83E42" w:rsidRPr="003E5188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/>
          <w:b w:val="0"/>
          <w:color w:val="000000"/>
          <w:sz w:val="28"/>
          <w:szCs w:val="28"/>
        </w:rPr>
      </w:pPr>
    </w:p>
    <w:p w14:paraId="2F29B489" w14:textId="77777777" w:rsidR="00D83E42" w:rsidRPr="003E5188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/>
          <w:color w:val="000000"/>
          <w:sz w:val="28"/>
          <w:szCs w:val="28"/>
        </w:rPr>
      </w:pPr>
      <w:r>
        <w:rPr>
          <w:rStyle w:val="Forte"/>
          <w:rFonts w:ascii="Times New Roman" w:hAnsi="Times New Roman"/>
          <w:color w:val="000000"/>
          <w:sz w:val="28"/>
          <w:szCs w:val="28"/>
          <w:lang w:val="pt-PT"/>
        </w:rPr>
        <w:t>B.</w:t>
      </w:r>
      <w:r>
        <w:rPr>
          <w:rStyle w:val="Forte"/>
          <w:rFonts w:ascii="Times New Roman" w:hAnsi="Times New Roman"/>
          <w:color w:val="000000"/>
          <w:sz w:val="28"/>
          <w:szCs w:val="28"/>
          <w:lang w:val="pt-PT"/>
        </w:rPr>
        <w:tab/>
        <w:t>Notas adicionais para os formadores sobre os casos</w:t>
      </w:r>
      <w:r>
        <w:rPr>
          <w:rStyle w:val="Forte"/>
          <w:rFonts w:ascii="Times New Roman" w:hAnsi="Times New Roman"/>
          <w:color w:val="000000"/>
          <w:sz w:val="28"/>
          <w:szCs w:val="28"/>
          <w:lang w:val="pt-PT"/>
        </w:rPr>
        <w:tab/>
        <w:t>4</w:t>
      </w:r>
    </w:p>
    <w:p w14:paraId="6DFFB87E" w14:textId="77777777" w:rsidR="00D83E42" w:rsidRPr="003E5188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/>
          <w:b w:val="0"/>
          <w:color w:val="000000"/>
          <w:sz w:val="28"/>
          <w:szCs w:val="28"/>
        </w:rPr>
      </w:pPr>
    </w:p>
    <w:p w14:paraId="0655B9FB" w14:textId="77777777" w:rsidR="00D83E42" w:rsidRPr="003E5188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/>
          <w:color w:val="000000"/>
          <w:sz w:val="28"/>
          <w:szCs w:val="28"/>
        </w:rPr>
      </w:pPr>
      <w:r>
        <w:rPr>
          <w:rStyle w:val="Forte"/>
          <w:rFonts w:ascii="Times New Roman" w:hAnsi="Times New Roman"/>
          <w:color w:val="000000"/>
          <w:sz w:val="28"/>
          <w:szCs w:val="28"/>
          <w:lang w:val="pt-PT"/>
        </w:rPr>
        <w:t>C.</w:t>
      </w:r>
      <w:r>
        <w:rPr>
          <w:rStyle w:val="Forte"/>
          <w:rFonts w:ascii="Times New Roman" w:hAnsi="Times New Roman"/>
          <w:color w:val="000000"/>
          <w:sz w:val="28"/>
          <w:szCs w:val="28"/>
          <w:lang w:val="pt-PT"/>
        </w:rPr>
        <w:tab/>
        <w:t>Abordagem metodológica</w:t>
      </w:r>
      <w:r>
        <w:rPr>
          <w:rStyle w:val="Forte"/>
          <w:rFonts w:ascii="Times New Roman" w:hAnsi="Times New Roman"/>
          <w:color w:val="000000"/>
          <w:sz w:val="28"/>
          <w:szCs w:val="28"/>
          <w:lang w:val="pt-PT"/>
        </w:rPr>
        <w:tab/>
        <w:t>5</w:t>
      </w:r>
    </w:p>
    <w:p w14:paraId="21CC7D92" w14:textId="77777777" w:rsidR="00D83E42" w:rsidRPr="003E5188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/>
          <w:b w:val="0"/>
          <w:color w:val="000000"/>
          <w:sz w:val="28"/>
          <w:szCs w:val="28"/>
        </w:rPr>
      </w:pP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>I.</w:t>
      </w: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ab/>
        <w:t>Ideia geral e temas centrais</w:t>
      </w: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ab/>
        <w:t>5</w:t>
      </w:r>
    </w:p>
    <w:p w14:paraId="3CFA0409" w14:textId="77777777" w:rsidR="00D83E42" w:rsidRPr="003E5188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/>
          <w:b w:val="0"/>
          <w:color w:val="000000"/>
          <w:sz w:val="28"/>
          <w:szCs w:val="28"/>
        </w:rPr>
      </w:pP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>II.</w:t>
      </w: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ab/>
        <w:t>Grupos de trabalho e estrutura do seminário</w:t>
      </w: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ab/>
        <w:t>6</w:t>
      </w:r>
    </w:p>
    <w:p w14:paraId="5E79975F" w14:textId="77777777" w:rsidR="00D83E42" w:rsidRPr="003E5188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/>
          <w:b w:val="0"/>
          <w:color w:val="000000"/>
          <w:sz w:val="28"/>
          <w:szCs w:val="28"/>
        </w:rPr>
      </w:pP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>III.</w:t>
      </w: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ab/>
        <w:t>Material adicional</w:t>
      </w: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ab/>
        <w:t>6</w:t>
      </w:r>
    </w:p>
    <w:p w14:paraId="79B10A00" w14:textId="77777777" w:rsidR="00D83E42" w:rsidRPr="003E5188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/>
          <w:b w:val="0"/>
          <w:color w:val="000000"/>
          <w:sz w:val="28"/>
          <w:szCs w:val="28"/>
        </w:rPr>
      </w:pPr>
    </w:p>
    <w:p w14:paraId="17D990D2" w14:textId="77777777" w:rsidR="00D83E42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/>
          <w:color w:val="000000"/>
          <w:sz w:val="28"/>
          <w:szCs w:val="28"/>
        </w:rPr>
      </w:pPr>
      <w:r>
        <w:rPr>
          <w:rStyle w:val="Forte"/>
          <w:rFonts w:ascii="Times New Roman" w:hAnsi="Times New Roman"/>
          <w:color w:val="000000"/>
          <w:sz w:val="28"/>
          <w:szCs w:val="28"/>
          <w:lang w:val="pt-PT"/>
        </w:rPr>
        <w:t xml:space="preserve">D. </w:t>
      </w:r>
      <w:r>
        <w:rPr>
          <w:rStyle w:val="Forte"/>
          <w:rFonts w:ascii="Times New Roman" w:hAnsi="Times New Roman"/>
          <w:color w:val="000000"/>
          <w:sz w:val="28"/>
          <w:szCs w:val="28"/>
          <w:lang w:val="pt-PT"/>
        </w:rPr>
        <w:tab/>
        <w:t>Soluções</w:t>
      </w:r>
      <w:r>
        <w:rPr>
          <w:rStyle w:val="Forte"/>
          <w:rFonts w:ascii="Times New Roman" w:hAnsi="Times New Roman"/>
          <w:color w:val="000000"/>
          <w:sz w:val="28"/>
          <w:szCs w:val="28"/>
          <w:lang w:val="pt-PT"/>
        </w:rPr>
        <w:tab/>
        <w:t>7</w:t>
      </w:r>
    </w:p>
    <w:p w14:paraId="109594A5" w14:textId="77777777" w:rsidR="00761F27" w:rsidRDefault="00761F27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/>
          <w:color w:val="000000"/>
          <w:sz w:val="28"/>
          <w:szCs w:val="28"/>
        </w:rPr>
      </w:pPr>
    </w:p>
    <w:p w14:paraId="557434F0" w14:textId="77777777" w:rsidR="00761F27" w:rsidRPr="003E5188" w:rsidRDefault="00761F27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Style w:val="Forte"/>
          <w:rFonts w:ascii="Times New Roman" w:hAnsi="Times New Roman"/>
          <w:b w:val="0"/>
          <w:bCs w:val="0"/>
          <w:color w:val="000000"/>
          <w:sz w:val="28"/>
          <w:szCs w:val="28"/>
          <w:lang w:val="pt-PT"/>
        </w:rPr>
        <w:tab/>
      </w:r>
      <w:r>
        <w:rPr>
          <w:rStyle w:val="Forte"/>
          <w:rFonts w:ascii="Times New Roman" w:hAnsi="Times New Roman"/>
          <w:color w:val="000000"/>
          <w:sz w:val="28"/>
          <w:szCs w:val="28"/>
          <w:lang w:val="pt-PT"/>
        </w:rPr>
        <w:t>Anexo</w:t>
      </w:r>
      <w:r>
        <w:rPr>
          <w:rStyle w:val="Forte"/>
          <w:rFonts w:ascii="Times New Roman" w:hAnsi="Times New Roman"/>
          <w:color w:val="000000"/>
          <w:sz w:val="28"/>
          <w:szCs w:val="28"/>
          <w:lang w:val="pt-PT"/>
        </w:rPr>
        <w:tab/>
        <w:t>27</w:t>
      </w:r>
    </w:p>
    <w:bookmarkEnd w:id="1"/>
    <w:p w14:paraId="661FC176" w14:textId="77777777" w:rsidR="006856B3" w:rsidRPr="003E5188" w:rsidRDefault="00D83E42" w:rsidP="00A257D5">
      <w:pPr>
        <w:suppressAutoHyphens w:val="0"/>
        <w:autoSpaceDN/>
        <w:textAlignment w:val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pt-PT"/>
        </w:rPr>
        <w:br w:type="page"/>
      </w:r>
    </w:p>
    <w:p w14:paraId="6B4DC9BF" w14:textId="77777777" w:rsidR="00D83E42" w:rsidRPr="003E5188" w:rsidRDefault="00D83E42" w:rsidP="00A257D5">
      <w:pPr>
        <w:pStyle w:val="Test"/>
        <w:shd w:val="clear" w:color="auto" w:fill="DED888"/>
        <w:spacing w:after="160"/>
        <w:jc w:val="center"/>
        <w:rPr>
          <w:rStyle w:val="Forte"/>
          <w:rFonts w:ascii="Times New Roman" w:hAnsi="Times New Roman"/>
          <w:b/>
          <w:bCs w:val="0"/>
          <w:color w:val="2F5496" w:themeColor="accent1" w:themeShade="BF"/>
          <w:sz w:val="32"/>
          <w:szCs w:val="32"/>
        </w:rPr>
      </w:pPr>
      <w:r>
        <w:rPr>
          <w:rStyle w:val="Forte"/>
          <w:rFonts w:ascii="Times New Roman" w:hAnsi="Times New Roman"/>
          <w:b/>
          <w:color w:val="2F5496" w:themeColor="accent1" w:themeShade="BF"/>
          <w:sz w:val="32"/>
          <w:szCs w:val="32"/>
          <w:lang w:val="pt-PT"/>
        </w:rPr>
        <w:lastRenderedPageBreak/>
        <w:t>Reconhecimento Mútuo III.</w:t>
      </w:r>
    </w:p>
    <w:p w14:paraId="22418439" w14:textId="77777777" w:rsidR="00D83E42" w:rsidRPr="003E5188" w:rsidRDefault="00D83E42" w:rsidP="00A257D5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67A3E79" w14:textId="77777777" w:rsidR="006856B3" w:rsidRPr="003E5188" w:rsidRDefault="00246D57" w:rsidP="00A257D5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pt-PT"/>
        </w:rPr>
        <w:t>A. I. Cenário de caso 1:</w:t>
      </w:r>
    </w:p>
    <w:p w14:paraId="5ABB7189" w14:textId="25FA4EC4" w:rsidR="006856B3" w:rsidRPr="003E5188" w:rsidRDefault="00246D57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Um cidadão alemão M.H. (nascido em 23.05.1970) foi condenado pelo Tribunal de Bucareste, Roménia, a 2 anos de pena de prisão por ter cometido um crime informático. A sanção imposta foi suspensa por um período de 4 anos. Durante o período de vigilância, o cidadão alemão deve cumprir as seguintes obrigações: a obrigação da pessoa condenada de informar uma autoridade específica de qualquer mudança de residência ou de local de trabalho, a obrigação da pessoa condenada de informar uma autoridade específica de qualquer mudança de residência ou de local de trabalho, a obrigação de prestar serviço comunitário e a obrigação de cooperar com um agente da liberdade condicional ou com um representante de um serviço social com responsabilidades em relação às pessoas condenadas.</w:t>
      </w:r>
    </w:p>
    <w:p w14:paraId="5B654FC5" w14:textId="0EAC799E" w:rsidR="006856B3" w:rsidRPr="003E5188" w:rsidRDefault="00246D57" w:rsidP="00372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Após a decisão se ter tornado definitiva, o cidadão alemão quer regressar ao seu país, onde reside legal e habitualmente (Hamburgo, Alemanha). Pediu no Serviço de Liberdade Condicional de Bucareste para ser supervisionado na Alemanha onde se encontra a sua família e onde está atualmente empregado.</w:t>
      </w:r>
    </w:p>
    <w:p w14:paraId="58B22895" w14:textId="77777777" w:rsidR="006856B3" w:rsidRPr="003E5188" w:rsidRDefault="00246D57" w:rsidP="00A257D5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pt-PT"/>
        </w:rPr>
        <w:t>Questões:</w:t>
      </w:r>
    </w:p>
    <w:p w14:paraId="45CBCB2C" w14:textId="4E6976B0" w:rsidR="006856B3" w:rsidRPr="003E5188" w:rsidRDefault="00246D57" w:rsidP="00A257D5">
      <w:pPr>
        <w:pStyle w:val="PargrafodaLista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As autoridades romenas podem solicitar a transferência da supervisão das obrigações impostas à pessoa condenada para as autoridades competentes alemãs? Que instrumento jurídico é aplicável neste caso?</w:t>
      </w:r>
    </w:p>
    <w:p w14:paraId="363E382B" w14:textId="41D1BEB5" w:rsidR="006856B3" w:rsidRPr="003E5188" w:rsidRDefault="004215DD" w:rsidP="00A257D5">
      <w:pPr>
        <w:pStyle w:val="PargrafodaLista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Quais são os critérios necessários para transmitir a sentença a outro Estado-Membro? O cidadão alemão tem o direito de solicitar essa transferência de supervisão? É necessário o seu consentimento nesta fase?</w:t>
      </w:r>
    </w:p>
    <w:p w14:paraId="0BFD93A7" w14:textId="268DF6E7" w:rsidR="006856B3" w:rsidRPr="003E5188" w:rsidRDefault="00246D57" w:rsidP="00A257D5">
      <w:pPr>
        <w:pStyle w:val="PargrafodaLista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Encontre as autoridades competentes envolvidas na possível transferência da pessoa condenada (as autoridades romenas e alemãs competentes).</w:t>
      </w:r>
    </w:p>
    <w:p w14:paraId="1A1632D4" w14:textId="77777777" w:rsidR="006856B3" w:rsidRPr="003E5188" w:rsidRDefault="00246D57" w:rsidP="00A257D5">
      <w:pPr>
        <w:pStyle w:val="PargrafodaLista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Como irão proceder neste caso a autoridade competente </w:t>
      </w:r>
      <w:r>
        <w:rPr>
          <w:rFonts w:ascii="Times New Roman" w:hAnsi="Times New Roman"/>
          <w:sz w:val="28"/>
          <w:szCs w:val="28"/>
          <w:lang w:val="pt-PT"/>
        </w:rPr>
        <w:t>emissora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 e a autoridade competente de execução?</w:t>
      </w:r>
    </w:p>
    <w:p w14:paraId="60A8BB97" w14:textId="765BB1CB" w:rsidR="006856B3" w:rsidRPr="003E5188" w:rsidRDefault="00246D57" w:rsidP="00A257D5">
      <w:pPr>
        <w:pStyle w:val="PargrafodaLista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Que desafios pode a autoridade competente emissora enfrentar ao solicitar a transferência da supervisão e como </w:t>
      </w:r>
      <w:bookmarkStart w:id="2" w:name="_Hlk70060509"/>
      <w:r>
        <w:rPr>
          <w:rFonts w:ascii="Times New Roman" w:hAnsi="Times New Roman"/>
          <w:i/>
          <w:iCs/>
          <w:sz w:val="28"/>
          <w:szCs w:val="28"/>
          <w:lang w:val="pt-PT"/>
        </w:rPr>
        <w:t>podem ser ultrapassados</w:t>
      </w:r>
      <w:bookmarkEnd w:id="2"/>
      <w:r>
        <w:rPr>
          <w:rFonts w:ascii="Times New Roman" w:hAnsi="Times New Roman"/>
          <w:i/>
          <w:iCs/>
          <w:sz w:val="28"/>
          <w:szCs w:val="28"/>
          <w:lang w:val="pt-PT"/>
        </w:rPr>
        <w:t>?</w:t>
      </w:r>
    </w:p>
    <w:p w14:paraId="4431821F" w14:textId="31CF82B5" w:rsidR="006856B3" w:rsidRPr="003E5188" w:rsidRDefault="00246D57" w:rsidP="00A257D5">
      <w:pPr>
        <w:pStyle w:val="PargrafodaLista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Que desafios pode a autoridade competente de execução enfrentar durante o processo de reconhecimento e como podem ser ultrapassados?</w:t>
      </w:r>
    </w:p>
    <w:p w14:paraId="3A59B92D" w14:textId="2C8E1168" w:rsidR="006856B3" w:rsidRDefault="00CC0F5B" w:rsidP="00A257D5">
      <w:pPr>
        <w:pStyle w:val="PargrafodaLista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Quais são os benefícios, neste caso, se a transferência da supervisão for concedida pelas autoridades alemãs competentes? </w:t>
      </w:r>
    </w:p>
    <w:p w14:paraId="0DA9919D" w14:textId="77777777" w:rsidR="0037236D" w:rsidRPr="003E5188" w:rsidRDefault="0037236D" w:rsidP="0037236D">
      <w:pPr>
        <w:pStyle w:val="PargrafodaLista"/>
        <w:ind w:left="450"/>
        <w:jc w:val="both"/>
        <w:rPr>
          <w:rFonts w:ascii="Times New Roman" w:hAnsi="Times New Roman"/>
          <w:i/>
          <w:sz w:val="28"/>
          <w:szCs w:val="28"/>
        </w:rPr>
      </w:pPr>
    </w:p>
    <w:p w14:paraId="1F21CBFD" w14:textId="77777777" w:rsidR="006856B3" w:rsidRPr="003E5188" w:rsidRDefault="00F2265A" w:rsidP="00A257D5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pt-PT"/>
        </w:rPr>
        <w:lastRenderedPageBreak/>
        <w:t>A. II. Exercícios:</w:t>
      </w:r>
    </w:p>
    <w:p w14:paraId="5E44794F" w14:textId="78C11EDE" w:rsidR="006856B3" w:rsidRPr="00066071" w:rsidRDefault="00246D57" w:rsidP="00A257D5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pt-PT"/>
        </w:rPr>
        <w:t>Encontre as seguintes autoridades competentes de execução e as línguas a utilizar na Certidão (processos penais gerais):</w:t>
      </w:r>
    </w:p>
    <w:p w14:paraId="03EEBA5F" w14:textId="00D62583" w:rsidR="006856B3" w:rsidRPr="003E5188" w:rsidRDefault="00F2265A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1. Uma autoridade competente alemã quer transferir a supervisão da pessoa condenada A.N. que reside legal e habitualmente em Bruxelas, Bélgica.</w:t>
      </w:r>
    </w:p>
    <w:p w14:paraId="78708CD9" w14:textId="77777777" w:rsidR="00F2265A" w:rsidRPr="003E5188" w:rsidRDefault="00F2265A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Autoridade competente:</w:t>
      </w:r>
    </w:p>
    <w:p w14:paraId="58C75FBD" w14:textId="23CA3618" w:rsidR="00F2265A" w:rsidRPr="00066071" w:rsidRDefault="00F2265A" w:rsidP="000660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Língua:</w:t>
      </w:r>
    </w:p>
    <w:p w14:paraId="73B0BACF" w14:textId="77777777" w:rsidR="006856B3" w:rsidRPr="003E5188" w:rsidRDefault="00F2265A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2.  Uma autoridade competente francesa quer transferir a supervisão da pessoa condenada B.C. que reside legal e habitualmente em Vigo, Espanha.</w:t>
      </w:r>
    </w:p>
    <w:p w14:paraId="5DFB9FA4" w14:textId="77777777" w:rsidR="00F2265A" w:rsidRPr="003E5188" w:rsidRDefault="00F2265A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Autoridade competente:</w:t>
      </w:r>
    </w:p>
    <w:p w14:paraId="3A42D797" w14:textId="1F89EB8C" w:rsidR="00F2265A" w:rsidRPr="00066071" w:rsidRDefault="00F2265A" w:rsidP="000660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Língua:</w:t>
      </w:r>
    </w:p>
    <w:p w14:paraId="315588CF" w14:textId="1CCC83C7" w:rsidR="006856B3" w:rsidRPr="003E5188" w:rsidRDefault="00F2265A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3. Uma autoridade competente espanhola quer transferir a supervisão da pessoa condenada M.M. que reside legalmente e habitualmente em Viena, Áustria.</w:t>
      </w:r>
    </w:p>
    <w:p w14:paraId="396E3595" w14:textId="77777777" w:rsidR="00F2265A" w:rsidRPr="003E5188" w:rsidRDefault="00F2265A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Autoridade competente:</w:t>
      </w:r>
    </w:p>
    <w:p w14:paraId="540A5A70" w14:textId="77777777" w:rsidR="00F2265A" w:rsidRPr="003E5188" w:rsidRDefault="00F2265A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Língua:</w:t>
      </w:r>
    </w:p>
    <w:p w14:paraId="219D6F8E" w14:textId="77777777" w:rsidR="006856B3" w:rsidRPr="003E5188" w:rsidRDefault="00246D57" w:rsidP="00A257D5">
      <w:pPr>
        <w:pStyle w:val="PargrafodaLista"/>
        <w:numPr>
          <w:ilvl w:val="0"/>
          <w:numId w:val="4"/>
        </w:numPr>
        <w:ind w:left="0" w:firstLine="0"/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pt-PT"/>
        </w:rPr>
        <w:t>III. Cenário de caso 2 (continuação do cenário de caso 1):</w:t>
      </w:r>
    </w:p>
    <w:p w14:paraId="2FCD4EE3" w14:textId="2091A892" w:rsidR="006856B3" w:rsidRPr="003E5188" w:rsidRDefault="00246D57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Supondo que as autoridades competentes alemãs tenham concedido a transferência da supervisão da pena suspensa (a partir do cenário de caso 1) e que a supervisão tenha começado em 01.01.2020. Durante o período de supervisão, o cidadão alemão infringiu uma das obrigações impostas. Agora, as autoridades alemãs devem decidir como proceder.</w:t>
      </w:r>
    </w:p>
    <w:p w14:paraId="72582C0F" w14:textId="77777777" w:rsidR="006856B3" w:rsidRPr="003E5188" w:rsidRDefault="006856B3" w:rsidP="00A257D5">
      <w:pPr>
        <w:jc w:val="both"/>
        <w:rPr>
          <w:rFonts w:ascii="Times New Roman" w:hAnsi="Times New Roman"/>
          <w:sz w:val="28"/>
          <w:szCs w:val="28"/>
        </w:rPr>
      </w:pPr>
    </w:p>
    <w:p w14:paraId="3B9F343C" w14:textId="77777777" w:rsidR="006856B3" w:rsidRPr="003E5188" w:rsidRDefault="00246D57" w:rsidP="00A257D5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pt-PT"/>
        </w:rPr>
        <w:t>Questões:</w:t>
      </w:r>
    </w:p>
    <w:p w14:paraId="65A3B424" w14:textId="0EFCB4A5" w:rsidR="006856B3" w:rsidRPr="003E5188" w:rsidRDefault="00246D57" w:rsidP="00A257D5">
      <w:pPr>
        <w:pStyle w:val="PargrafodaLista"/>
        <w:numPr>
          <w:ilvl w:val="0"/>
          <w:numId w:val="5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Que lei é aplicável durante o período de supervisão? </w:t>
      </w:r>
    </w:p>
    <w:p w14:paraId="5442BAD1" w14:textId="77777777" w:rsidR="006856B3" w:rsidRPr="003E5188" w:rsidRDefault="00246D57" w:rsidP="00A257D5">
      <w:pPr>
        <w:pStyle w:val="PargrafodaLista"/>
        <w:numPr>
          <w:ilvl w:val="0"/>
          <w:numId w:val="5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Como irão as autoridades alemãs proceder relativamente à violação de uma das obrigações impostas à pessoa condenada? </w:t>
      </w:r>
    </w:p>
    <w:p w14:paraId="1F05D9CA" w14:textId="77777777" w:rsidR="006856B3" w:rsidRPr="003E5188" w:rsidRDefault="00246D57" w:rsidP="00A257D5">
      <w:pPr>
        <w:pStyle w:val="PargrafodaLista"/>
        <w:numPr>
          <w:ilvl w:val="0"/>
          <w:numId w:val="5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O que acontecerá se a pessoa condenada for confrontada com um novo processo penal no EM emissor? </w:t>
      </w:r>
    </w:p>
    <w:p w14:paraId="3E80E982" w14:textId="77777777" w:rsidR="006856B3" w:rsidRPr="003E5188" w:rsidRDefault="00246D57" w:rsidP="00A257D5">
      <w:pPr>
        <w:pStyle w:val="PargrafodaLista"/>
        <w:numPr>
          <w:ilvl w:val="0"/>
          <w:numId w:val="5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O que acontecerá na eventualidade de se ausentar ou de já não ter residência legal e habitual no Estado de execução?</w:t>
      </w:r>
    </w:p>
    <w:p w14:paraId="728AF2DF" w14:textId="77777777" w:rsidR="00F2265A" w:rsidRPr="003E5188" w:rsidRDefault="00F2265A" w:rsidP="00A257D5">
      <w:pPr>
        <w:suppressAutoHyphens w:val="0"/>
        <w:autoSpaceDN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br w:type="page"/>
      </w:r>
    </w:p>
    <w:p w14:paraId="57943C43" w14:textId="77777777" w:rsidR="006856B3" w:rsidRPr="003E5188" w:rsidRDefault="00F2265A" w:rsidP="00A257D5">
      <w:pPr>
        <w:pStyle w:val="Test"/>
        <w:shd w:val="clear" w:color="auto" w:fill="DED888"/>
        <w:spacing w:after="160"/>
        <w:jc w:val="center"/>
        <w:rPr>
          <w:rStyle w:val="Forte"/>
          <w:rFonts w:ascii="Times New Roman" w:hAnsi="Times New Roman"/>
          <w:b/>
          <w:color w:val="2F5496" w:themeColor="accent1" w:themeShade="BF"/>
          <w:sz w:val="32"/>
          <w:szCs w:val="32"/>
        </w:rPr>
      </w:pPr>
      <w:r>
        <w:rPr>
          <w:rStyle w:val="Forte"/>
          <w:rFonts w:ascii="Times New Roman" w:hAnsi="Times New Roman"/>
          <w:b/>
          <w:color w:val="2F5496" w:themeColor="accent1" w:themeShade="BF"/>
          <w:sz w:val="32"/>
          <w:szCs w:val="32"/>
          <w:lang w:val="pt-PT"/>
        </w:rPr>
        <w:lastRenderedPageBreak/>
        <w:t>Parte B. Notas adicionais para os formadores sobre os casos</w:t>
      </w:r>
    </w:p>
    <w:p w14:paraId="51AC1235" w14:textId="77777777" w:rsidR="003A34DA" w:rsidRPr="003E5188" w:rsidRDefault="00F2265A" w:rsidP="00A257D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pt-PT"/>
        </w:rPr>
        <w:t>A. I. Cenário de caso 1:</w:t>
      </w:r>
    </w:p>
    <w:p w14:paraId="51435E15" w14:textId="203CD013" w:rsidR="00F2265A" w:rsidRPr="003E5188" w:rsidRDefault="00F2265A" w:rsidP="00A257D5">
      <w:pPr>
        <w:numPr>
          <w:ilvl w:val="0"/>
          <w:numId w:val="27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  <w:szCs w:val="24"/>
          <w:lang w:val="pt-PT"/>
        </w:rPr>
        <w:t xml:space="preserve">O país de condenação será alterado para o país onde o seminário está a decorrer. </w:t>
      </w:r>
    </w:p>
    <w:p w14:paraId="207D3BE0" w14:textId="08581749" w:rsidR="00CF3C8E" w:rsidRPr="003E5188" w:rsidRDefault="00F2265A" w:rsidP="00A257D5">
      <w:pPr>
        <w:numPr>
          <w:ilvl w:val="0"/>
          <w:numId w:val="27"/>
        </w:numPr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pt-PT"/>
        </w:rPr>
        <w:t>No seminário que está a decorrer na Alemanha, os países dos cenários de casos 1 e 2 serão trocados e a pessoa condenada será desta vez um cidadão romeno, com residência legal e habitual em Bucareste, Roménia).</w:t>
      </w:r>
    </w:p>
    <w:p w14:paraId="19EE6393" w14:textId="3D43E3FD" w:rsidR="006856B3" w:rsidRPr="0037236D" w:rsidRDefault="00F2265A" w:rsidP="0037236D">
      <w:pPr>
        <w:pStyle w:val="Test"/>
        <w:shd w:val="clear" w:color="auto" w:fill="DED888"/>
        <w:spacing w:after="160"/>
        <w:jc w:val="center"/>
        <w:rPr>
          <w:rFonts w:ascii="Times New Roman" w:hAnsi="Times New Roman"/>
          <w:b w:val="0"/>
          <w:bCs/>
          <w:color w:val="2F5496" w:themeColor="accent1" w:themeShade="BF"/>
          <w:sz w:val="32"/>
          <w:szCs w:val="32"/>
        </w:rPr>
      </w:pPr>
      <w:r>
        <w:rPr>
          <w:rStyle w:val="Forte"/>
          <w:rFonts w:ascii="Times New Roman" w:hAnsi="Times New Roman"/>
          <w:b/>
          <w:color w:val="2F5496" w:themeColor="accent1" w:themeShade="BF"/>
          <w:sz w:val="32"/>
          <w:szCs w:val="32"/>
          <w:lang w:val="pt-PT"/>
        </w:rPr>
        <w:t>Parte C. Abordagem metodológica</w:t>
      </w:r>
    </w:p>
    <w:p w14:paraId="696EB8FE" w14:textId="77777777" w:rsidR="00F2265A" w:rsidRPr="003E5188" w:rsidRDefault="00246D57" w:rsidP="00A257D5">
      <w:pPr>
        <w:numPr>
          <w:ilvl w:val="0"/>
          <w:numId w:val="7"/>
        </w:numPr>
        <w:suppressAutoHyphens w:val="0"/>
        <w:ind w:left="0" w:firstLine="0"/>
        <w:jc w:val="both"/>
        <w:textAlignment w:val="auto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pt-PT"/>
        </w:rPr>
        <w:t>Ideia geral e temas centrais</w:t>
      </w:r>
    </w:p>
    <w:p w14:paraId="57BBEA1F" w14:textId="325742DF" w:rsidR="006856B3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 ideia deste material de formação é familiarizar os oficiais de justiça dos Estados-Membros com o instrumento jurídico de cooperação judiciária disponível a nível europeu, tendo em vista o controlo das medidas de vigilância e sanções alternativas. </w:t>
      </w:r>
    </w:p>
    <w:p w14:paraId="5F119F25" w14:textId="68EDE846" w:rsidR="006856B3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Os oficiais de justiça desempenham frequentemente tarefas administrativas que vão desde o preenchimento do formulário solicitado pelo instrumento jurídico, identificação da autoridade competente a quem o enviar, tradução do formulário, pedido ou envio de informações adicionais relativas à cooperação judiciária.</w:t>
      </w:r>
    </w:p>
    <w:p w14:paraId="42134042" w14:textId="77777777" w:rsidR="006856B3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Assim sendo, serão abordados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os seguintes aspetos principais</w:t>
      </w:r>
      <w:r>
        <w:rPr>
          <w:rFonts w:ascii="Times New Roman" w:hAnsi="Times New Roman"/>
          <w:sz w:val="28"/>
          <w:szCs w:val="28"/>
          <w:lang w:val="pt-PT"/>
        </w:rPr>
        <w:t xml:space="preserve"> no âmbito dos seminários: </w:t>
      </w:r>
    </w:p>
    <w:p w14:paraId="7794FA71" w14:textId="4E8966CB" w:rsidR="006856B3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1.  Âmbito de aplicação da Decisão-Quadro 2008/947/JAI do Conselho, de 27 de </w:t>
      </w:r>
      <w:r w:rsidR="002E46E4">
        <w:rPr>
          <w:rFonts w:ascii="Times New Roman" w:hAnsi="Times New Roman"/>
          <w:sz w:val="28"/>
          <w:szCs w:val="28"/>
          <w:lang w:val="pt-PT"/>
        </w:rPr>
        <w:t>n</w:t>
      </w:r>
      <w:r>
        <w:rPr>
          <w:rFonts w:ascii="Times New Roman" w:hAnsi="Times New Roman"/>
          <w:sz w:val="28"/>
          <w:szCs w:val="28"/>
          <w:lang w:val="pt-PT"/>
        </w:rPr>
        <w:t xml:space="preserve">ovembro de 2008, respeitante à aplicação do princípio do reconhecimento mútuo às sentenças e decisões relativas à liberdade condicional para efeitos da fiscalização das medidas de vigilância e das sanções alternativas </w:t>
      </w:r>
    </w:p>
    <w:p w14:paraId="2958B26B" w14:textId="09B59E58" w:rsidR="006856B3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2.  Familiarização com a estrutura geral da Decisão-Quadro 2008/947/JAI do Conselho. </w:t>
      </w:r>
    </w:p>
    <w:p w14:paraId="4AC185F7" w14:textId="4AE790F1" w:rsidR="006856B3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3. Identificação de alguns desafios que a autoridade competente emissora pode enfrentar ao solicitar a transferência da supervisão e como superá-los.</w:t>
      </w:r>
    </w:p>
    <w:p w14:paraId="7D3D3F6D" w14:textId="1FF269C3" w:rsidR="006856B3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4. Identificar alguns dos desafios que a autoridade competente de execução pode enfrentar durante o processo de reconhecimento e como superá-los.</w:t>
      </w:r>
    </w:p>
    <w:p w14:paraId="31B72B9D" w14:textId="7484A672" w:rsidR="006856B3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>4. Realçar os benefícios da transferência da supervisão.</w:t>
      </w:r>
    </w:p>
    <w:p w14:paraId="5B10F8FB" w14:textId="77777777" w:rsidR="006856B3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>5. Compreender algumas questões práticas que podem surgir antes e depois da transferência da supervisão.</w:t>
      </w:r>
    </w:p>
    <w:p w14:paraId="352C91F2" w14:textId="31D02B8B" w:rsidR="006856B3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6. Pormenores administrativos: Como deve proceder uma autoridade emissora numa dada situação? Que língua deve ser utilizada? Onde pode a autoridade </w:t>
      </w:r>
      <w:r>
        <w:rPr>
          <w:rFonts w:ascii="Times New Roman" w:hAnsi="Times New Roman"/>
          <w:sz w:val="28"/>
          <w:szCs w:val="28"/>
          <w:lang w:val="pt-PT"/>
        </w:rPr>
        <w:lastRenderedPageBreak/>
        <w:t xml:space="preserve">emissora encontrar a autoridade competente do Estado-Membro de execução à qual o pedido tem de ser dirigido? </w:t>
      </w:r>
    </w:p>
    <w:p w14:paraId="09E7C5D0" w14:textId="77777777" w:rsidR="00FF3892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 </w:t>
      </w:r>
    </w:p>
    <w:p w14:paraId="1B9C6853" w14:textId="77777777" w:rsidR="006856B3" w:rsidRPr="003E5188" w:rsidRDefault="00FF3892" w:rsidP="00A257D5">
      <w:pPr>
        <w:suppressAutoHyphens w:val="0"/>
        <w:autoSpaceDN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br w:type="page"/>
      </w:r>
    </w:p>
    <w:p w14:paraId="5A5AEEA0" w14:textId="77777777" w:rsidR="00F2265A" w:rsidRPr="003E5188" w:rsidRDefault="00246D57" w:rsidP="00A257D5">
      <w:pPr>
        <w:numPr>
          <w:ilvl w:val="0"/>
          <w:numId w:val="7"/>
        </w:numPr>
        <w:suppressAutoHyphens w:val="0"/>
        <w:ind w:left="0" w:firstLine="0"/>
        <w:jc w:val="both"/>
        <w:textAlignment w:val="auto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pt-PT"/>
        </w:rPr>
        <w:lastRenderedPageBreak/>
        <w:t>Grupos de trabalho e estrutura do seminário</w:t>
      </w:r>
    </w:p>
    <w:p w14:paraId="6D814BFC" w14:textId="53AEB834" w:rsidR="006856B3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>O formador fornecerá aos participantes uma breve apresentação (Power point) destacando as importantes características da Decisão-Quadro 2008/947/JAI do Conselho, de 27 de novembro de 2008, respeitante à aplicação do princípio do reconhecimento mútuo às sentenças e decisões relativas à liberdade condicional para efeitos da fiscalização das medidas de vigilância e das sanções alternativas – âmbito, definições, autoridades competentes, tipos de medidas de vigilância, critérios para a transmissão de uma sentença, motivos de recusa, prazos, adaptação, lei aplicável, decisões subsequentes, obrigações para os EM (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cerca de 15-20 min</w:t>
      </w:r>
      <w:r>
        <w:rPr>
          <w:rFonts w:ascii="Times New Roman" w:hAnsi="Times New Roman"/>
          <w:sz w:val="28"/>
          <w:szCs w:val="28"/>
          <w:lang w:val="pt-PT"/>
        </w:rPr>
        <w:t xml:space="preserve">). </w:t>
      </w:r>
    </w:p>
    <w:p w14:paraId="144CF6EA" w14:textId="7CB07BF9" w:rsidR="006856B3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O </w:t>
      </w: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 xml:space="preserve">cenário de caso 1 </w:t>
      </w:r>
      <w:r>
        <w:rPr>
          <w:rFonts w:ascii="Times New Roman" w:hAnsi="Times New Roman"/>
          <w:sz w:val="28"/>
          <w:szCs w:val="28"/>
          <w:lang w:val="pt-PT"/>
        </w:rPr>
        <w:t xml:space="preserve">é a oportunidade de compreender a Decisão-Quadro 2008/947/JAI do Conselho, de 27 de novembro de 2008, respeitante à aplicação do princípio do reconhecimento mútuo às sentenças e decisões relativas à liberdade condicional para efeitos da fiscalização das medidas de vigilância e das sanções alternativas como instrumento para a transferência da supervisão de pessoas condenadas entre diferentes EM que implementaram a DQC. Os participantes trabalharão em grupos de 4-5 e terão um computador portátil ligado à internet por grupo, a fim de resolverem as questões. A resolução do cenário de caso 1 e a resposta às questões deve demorar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aproximadamente 1 hora e 40 minutos</w:t>
      </w:r>
      <w:r>
        <w:rPr>
          <w:rFonts w:ascii="Times New Roman" w:hAnsi="Times New Roman"/>
          <w:sz w:val="28"/>
          <w:szCs w:val="28"/>
          <w:lang w:val="pt-PT"/>
        </w:rPr>
        <w:t>.</w:t>
      </w:r>
    </w:p>
    <w:p w14:paraId="67A925EE" w14:textId="77777777" w:rsidR="006856B3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Recomenda-se um intervalo de 10 minutos neste momento.</w:t>
      </w:r>
    </w:p>
    <w:p w14:paraId="5F20FAC5" w14:textId="77777777" w:rsidR="006856B3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 resolução dos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exercícios</w:t>
      </w:r>
      <w:r>
        <w:rPr>
          <w:rFonts w:ascii="Times New Roman" w:hAnsi="Times New Roman"/>
          <w:sz w:val="28"/>
          <w:szCs w:val="28"/>
          <w:lang w:val="pt-PT"/>
        </w:rPr>
        <w:t xml:space="preserve"> a partir do ponto A.II deve demorar cerca de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10 minutos</w:t>
      </w:r>
      <w:r>
        <w:rPr>
          <w:rFonts w:ascii="Times New Roman" w:hAnsi="Times New Roman"/>
          <w:sz w:val="28"/>
          <w:szCs w:val="28"/>
          <w:lang w:val="pt-PT"/>
        </w:rPr>
        <w:t>, dado que se destinam a auxiliar os participantes na compreensão do mecanismo para encontrar uma autoridade competente e a língua a ser utilizada na Certidão.</w:t>
      </w:r>
    </w:p>
    <w:p w14:paraId="0F413335" w14:textId="77777777" w:rsidR="006856B3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O</w:t>
      </w: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 xml:space="preserve"> cenário de caso 2 </w:t>
      </w:r>
      <w:r>
        <w:rPr>
          <w:rFonts w:ascii="Times New Roman" w:hAnsi="Times New Roman"/>
          <w:sz w:val="28"/>
          <w:szCs w:val="28"/>
          <w:lang w:val="pt-PT"/>
        </w:rPr>
        <w:t xml:space="preserve">permitirá aos participantes aprofundarem a compreensão da aplicação de algumas das disposições da DQC. Os participantes trabalharão em grupos de 4-5 e terão um computador portátil ligado à internet por grupo, a fim de resolverem as questões. A resolução do cenário de caso 2 deve demorar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aproximadamente</w:t>
      </w:r>
      <w:r>
        <w:rPr>
          <w:rFonts w:ascii="Times New Roman" w:hAnsi="Times New Roman"/>
          <w:sz w:val="28"/>
          <w:szCs w:val="28"/>
          <w:lang w:val="pt-PT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40-45 minutos</w:t>
      </w:r>
      <w:r>
        <w:rPr>
          <w:rFonts w:ascii="Times New Roman" w:hAnsi="Times New Roman"/>
          <w:sz w:val="28"/>
          <w:szCs w:val="28"/>
          <w:lang w:val="pt-PT"/>
        </w:rPr>
        <w:t>.</w:t>
      </w:r>
    </w:p>
    <w:p w14:paraId="53563159" w14:textId="77777777" w:rsidR="006856B3" w:rsidRPr="003E5188" w:rsidRDefault="00246D57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Quaisquer questões pendentes devem ser discutidas no final do seminário (durante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aproximadamente 5-10 minutos</w:t>
      </w:r>
      <w:r>
        <w:rPr>
          <w:rFonts w:ascii="Times New Roman" w:hAnsi="Times New Roman"/>
          <w:sz w:val="28"/>
          <w:szCs w:val="28"/>
          <w:lang w:val="pt-PT"/>
        </w:rPr>
        <w:t>).</w:t>
      </w:r>
    </w:p>
    <w:p w14:paraId="2CB00CE8" w14:textId="2D7AF72A" w:rsidR="0022412E" w:rsidRPr="003E5188" w:rsidRDefault="0022412E" w:rsidP="0022412E">
      <w:pPr>
        <w:spacing w:after="0"/>
        <w:jc w:val="both"/>
      </w:pPr>
      <w:r>
        <w:rPr>
          <w:rFonts w:ascii="Times New Roman" w:hAnsi="Times New Roman"/>
          <w:sz w:val="28"/>
          <w:szCs w:val="28"/>
          <w:lang w:val="pt-PT"/>
        </w:rPr>
        <w:t>Os organizadores devem tentar criar grupos de participantes com um nível aproximado de experiência no trabalho com a DQC 2008/947 ao resolverem os cenários de caso.</w:t>
      </w:r>
    </w:p>
    <w:p w14:paraId="78EBF77F" w14:textId="77777777" w:rsidR="006856B3" w:rsidRPr="003E5188" w:rsidRDefault="006856B3" w:rsidP="00A257D5">
      <w:pPr>
        <w:suppressAutoHyphens w:val="0"/>
        <w:jc w:val="both"/>
        <w:textAlignment w:val="auto"/>
        <w:rPr>
          <w:rFonts w:ascii="Times New Roman" w:hAnsi="Times New Roman"/>
          <w:color w:val="2F5496" w:themeColor="accent1" w:themeShade="BF"/>
        </w:rPr>
      </w:pPr>
    </w:p>
    <w:p w14:paraId="0F82AD77" w14:textId="77777777" w:rsidR="00F2265A" w:rsidRPr="003E5188" w:rsidRDefault="00246D57" w:rsidP="00423A89">
      <w:pPr>
        <w:numPr>
          <w:ilvl w:val="0"/>
          <w:numId w:val="7"/>
        </w:numPr>
        <w:suppressAutoHyphens w:val="0"/>
        <w:ind w:left="0" w:firstLine="0"/>
        <w:jc w:val="both"/>
        <w:textAlignment w:val="auto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pt-PT"/>
        </w:rPr>
        <w:t>Materiais adicionais</w:t>
      </w:r>
    </w:p>
    <w:p w14:paraId="2345581E" w14:textId="58B60F8F" w:rsidR="006856B3" w:rsidRDefault="00246D57" w:rsidP="0022412E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  <w:lang w:val="pt-PT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Todos os participantes receberão uma cópia da Decisão-Quadro 2008/947/JAI do Conselho, de 27 de novembro de 2008, respeitante à aplicação do princípio do reconhecimento mútuo às sentenças e decisões relativas à liberdade condicional </w:t>
      </w:r>
      <w:r>
        <w:rPr>
          <w:rFonts w:ascii="Times New Roman" w:hAnsi="Times New Roman"/>
          <w:sz w:val="28"/>
          <w:szCs w:val="28"/>
          <w:lang w:val="pt-PT"/>
        </w:rPr>
        <w:lastRenderedPageBreak/>
        <w:t>para efeitos da fiscalização das medidas de vigilância e das sanções alternativas, incluindo os Formulários nos Anexos I e II. Além disso, os participantes devem trazer consigo ou ter acesso às suas disposições nacionais de aplicação da DQC.</w:t>
      </w:r>
    </w:p>
    <w:p w14:paraId="5B7FBFE2" w14:textId="77777777" w:rsidR="002E46E4" w:rsidRPr="003E5188" w:rsidRDefault="002E46E4" w:rsidP="0022412E">
      <w:pPr>
        <w:suppressAutoHyphens w:val="0"/>
        <w:jc w:val="both"/>
        <w:textAlignment w:val="auto"/>
        <w:rPr>
          <w:rFonts w:ascii="Times New Roman" w:hAnsi="Times New Roman"/>
        </w:rPr>
      </w:pPr>
    </w:p>
    <w:p w14:paraId="36523EFB" w14:textId="77777777" w:rsidR="006856B3" w:rsidRPr="003E5188" w:rsidRDefault="00F2265A" w:rsidP="00423A89">
      <w:pPr>
        <w:pStyle w:val="Test"/>
        <w:shd w:val="clear" w:color="auto" w:fill="DED888"/>
        <w:spacing w:after="160"/>
        <w:jc w:val="center"/>
        <w:rPr>
          <w:rFonts w:ascii="Times New Roman" w:hAnsi="Times New Roman"/>
          <w:color w:val="2F5496" w:themeColor="accent1" w:themeShade="BF"/>
          <w:sz w:val="32"/>
          <w:szCs w:val="32"/>
        </w:rPr>
      </w:pPr>
      <w:r>
        <w:rPr>
          <w:rStyle w:val="Forte"/>
          <w:rFonts w:ascii="Times New Roman" w:hAnsi="Times New Roman"/>
          <w:b/>
          <w:color w:val="2F5496" w:themeColor="accent1" w:themeShade="BF"/>
          <w:sz w:val="32"/>
          <w:szCs w:val="32"/>
          <w:lang w:val="pt-PT"/>
        </w:rPr>
        <w:t>Parte D. Soluções</w:t>
      </w:r>
    </w:p>
    <w:p w14:paraId="0C46F2FC" w14:textId="77777777" w:rsidR="006856B3" w:rsidRPr="003E5188" w:rsidRDefault="00F2265A" w:rsidP="00A257D5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pt-PT"/>
        </w:rPr>
        <w:t>A. I. Cenário de caso 1:</w:t>
      </w:r>
    </w:p>
    <w:p w14:paraId="18E4722F" w14:textId="2A1F82F0" w:rsidR="006856B3" w:rsidRPr="003E5188" w:rsidRDefault="00246D57" w:rsidP="00A257D5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pt-PT"/>
        </w:rPr>
        <w:t>Q1:</w:t>
      </w:r>
      <w:r>
        <w:rPr>
          <w:rFonts w:ascii="Times New Roman" w:hAnsi="Times New Roman"/>
          <w:color w:val="2F5496" w:themeColor="accent1" w:themeShade="BF"/>
          <w:sz w:val="28"/>
          <w:szCs w:val="28"/>
          <w:lang w:val="pt-PT"/>
        </w:rPr>
        <w:t xml:space="preserve"> As autoridades romenas podem solicitar a transferência da supervisão das obrigações impostas à pessoa condenada para as autoridades competentes alemãs? Que instrumento jurídico é aplicável neste caso?</w:t>
      </w:r>
    </w:p>
    <w:p w14:paraId="0EFD373D" w14:textId="187E94C9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Neste caso, as autoridades romenas podem solicitar a transferência da supervisão das obrigações impostas à pessoa condenada para as autoridades alemãs competentes e o instrumento jurídico aplicável é a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Decisão-Quadro 2008/947/JAI</w:t>
      </w:r>
      <w:r>
        <w:rPr>
          <w:rStyle w:val="Refdenotaderodap"/>
          <w:rFonts w:ascii="Times New Roman" w:hAnsi="Times New Roman"/>
          <w:b/>
          <w:bCs/>
          <w:sz w:val="28"/>
          <w:szCs w:val="28"/>
          <w:lang w:val="pt-PT"/>
        </w:rPr>
        <w:footnoteReference w:id="1"/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 do Conselho, de 27 de novembro de 2008</w:t>
      </w:r>
      <w:r>
        <w:rPr>
          <w:rFonts w:ascii="Times New Roman" w:hAnsi="Times New Roman"/>
          <w:sz w:val="28"/>
          <w:szCs w:val="28"/>
          <w:lang w:val="pt-PT"/>
        </w:rPr>
        <w:t>, respeitante à aplicação do princípio do reconhecimento mútuo às sentenças e decisões relativas à liberdade condicional para efeitos da fiscalização das medidas de vigilância e das sanções alternativas.</w:t>
      </w:r>
    </w:p>
    <w:p w14:paraId="233CE18C" w14:textId="519FE13F" w:rsidR="0022412E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A decisão acima referida foi implementada por quase todos os Estados-Membros da União Europeia, com exceção do Reino Unido. A Irlanda está atualmente a implementar a Decisão-Quadro do Conselho embora o período de implementação tenha terminado (a DQC teve de ser implementada até 6 de dezembro de 2011).</w:t>
      </w:r>
    </w:p>
    <w:tbl>
      <w:tblPr>
        <w:tblW w:w="9021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1"/>
      </w:tblGrid>
      <w:tr w:rsidR="006856B3" w:rsidRPr="003E5188" w14:paraId="77719618" w14:textId="77777777" w:rsidTr="00423A89">
        <w:trPr>
          <w:trHeight w:val="1006"/>
        </w:trPr>
        <w:tc>
          <w:tcPr>
            <w:tcW w:w="9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58F26" w14:textId="737FA9C4" w:rsidR="002013FF" w:rsidRPr="00AC1DA0" w:rsidRDefault="00246D57" w:rsidP="00AC1DA0">
            <w:pPr>
              <w:ind w:left="11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O </w:t>
            </w:r>
            <w:hyperlink r:id="rId8" w:history="1">
              <w:r>
                <w:rPr>
                  <w:rStyle w:val="Hiperligao"/>
                  <w:rFonts w:ascii="Times New Roman" w:hAnsi="Times New Roman"/>
                  <w:i/>
                  <w:iCs/>
                  <w:sz w:val="28"/>
                  <w:szCs w:val="28"/>
                  <w:lang w:val="pt-PT"/>
                </w:rPr>
                <w:t xml:space="preserve">estado de implementação </w:t>
              </w:r>
              <w:r>
                <w:rPr>
                  <w:rStyle w:val="Hiperligao"/>
                  <w:rFonts w:ascii="Times New Roman" w:hAnsi="Times New Roman"/>
                  <w:sz w:val="28"/>
                  <w:szCs w:val="28"/>
                  <w:lang w:val="pt-PT"/>
                </w:rPr>
                <w:t>da</w:t>
              </w:r>
              <w:r>
                <w:rPr>
                  <w:rStyle w:val="Hiperligao"/>
                  <w:rFonts w:ascii="Times New Roman" w:hAnsi="Times New Roman"/>
                  <w:i/>
                  <w:iCs/>
                  <w:sz w:val="28"/>
                  <w:szCs w:val="28"/>
                  <w:lang w:val="pt-PT"/>
                </w:rPr>
                <w:t xml:space="preserve"> </w:t>
              </w:r>
              <w:r>
                <w:rPr>
                  <w:rStyle w:val="Hiperligao"/>
                  <w:rFonts w:ascii="Times New Roman" w:hAnsi="Times New Roman"/>
                  <w:sz w:val="28"/>
                  <w:szCs w:val="28"/>
                  <w:lang w:val="pt-PT"/>
                </w:rPr>
                <w:t>Decisão-Quadro 2008/947/JAI do Conselho</w:t>
              </w:r>
            </w:hyperlink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 de 27 de novembro de 2008 está disponível no sítio Web da RJE – </w:t>
            </w:r>
            <w:hyperlink r:id="rId9" w:history="1">
              <w:r>
                <w:rPr>
                  <w:rStyle w:val="Hiperligao"/>
                  <w:rFonts w:ascii="Times New Roman" w:hAnsi="Times New Roman"/>
                  <w:sz w:val="28"/>
                  <w:szCs w:val="28"/>
                  <w:lang w:val="pt-PT"/>
                </w:rPr>
                <w:t>www.ejn-crimjust.europa.eu</w:t>
              </w:r>
            </w:hyperlink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 (na secção dedicada à DQC 2008/947/JAI):</w:t>
            </w:r>
          </w:p>
        </w:tc>
      </w:tr>
    </w:tbl>
    <w:p w14:paraId="5B980922" w14:textId="71E8A49D" w:rsidR="006856B3" w:rsidRPr="003E5188" w:rsidRDefault="00246D57" w:rsidP="00270294">
      <w:pPr>
        <w:spacing w:before="16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 Decisão-quadro aplica-se ao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reconhecimento de sentenças e, quando aplicável, decisões relativas à liberdade condicional </w:t>
      </w:r>
      <w:r>
        <w:rPr>
          <w:rFonts w:ascii="Times New Roman" w:hAnsi="Times New Roman"/>
          <w:sz w:val="28"/>
          <w:szCs w:val="28"/>
          <w:lang w:val="pt-PT"/>
        </w:rPr>
        <w:t xml:space="preserve">e à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transferência da responsabilidade pela supervisão de medidas de vigilância e sanções alternativas </w:t>
      </w:r>
      <w:r>
        <w:rPr>
          <w:rFonts w:ascii="Times New Roman" w:hAnsi="Times New Roman"/>
          <w:sz w:val="28"/>
          <w:szCs w:val="28"/>
          <w:lang w:val="pt-PT"/>
        </w:rPr>
        <w:t>(n.º 2 do Artigo 1.º, da DQC).</w:t>
      </w:r>
    </w:p>
    <w:p w14:paraId="72A34546" w14:textId="77777777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 Decisão-Quadro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não se aplica a</w:t>
      </w:r>
      <w:r>
        <w:rPr>
          <w:rFonts w:ascii="Times New Roman" w:hAnsi="Times New Roman"/>
          <w:sz w:val="28"/>
          <w:szCs w:val="28"/>
          <w:lang w:val="pt-PT"/>
        </w:rPr>
        <w:t>:</w:t>
      </w:r>
    </w:p>
    <w:p w14:paraId="7CA58C28" w14:textId="4825EC57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a) À execução de sentenças em matéria penal que apliquem penas ou medidas privativas de liberdade, abrangidas pelo âmbito de aplicação da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Decisão-Quadro 2008/909/JAI</w:t>
      </w:r>
      <w:r>
        <w:rPr>
          <w:rStyle w:val="Refdenotaderodap"/>
          <w:rFonts w:ascii="Times New Roman" w:hAnsi="Times New Roman"/>
          <w:b/>
          <w:bCs/>
          <w:sz w:val="28"/>
          <w:szCs w:val="28"/>
          <w:lang w:val="pt-PT"/>
        </w:rPr>
        <w:footnoteReference w:id="2"/>
      </w:r>
      <w:r>
        <w:rPr>
          <w:rFonts w:ascii="Times New Roman" w:hAnsi="Times New Roman"/>
          <w:sz w:val="28"/>
          <w:szCs w:val="28"/>
          <w:lang w:val="pt-PT"/>
        </w:rPr>
        <w:t>,</w:t>
      </w:r>
    </w:p>
    <w:p w14:paraId="75FED2F0" w14:textId="0500012B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b) Ao reconhecimento e à execução de sanções pecuniárias e decisões de perda abrangidas pelo âmbito de aplicação da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Decisão-Quadro 2005/214/JAI do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lastRenderedPageBreak/>
        <w:t>Conselho</w:t>
      </w:r>
      <w:r>
        <w:rPr>
          <w:rStyle w:val="Refdenotaderodap"/>
          <w:rFonts w:ascii="Times New Roman" w:hAnsi="Times New Roman"/>
          <w:b/>
          <w:bCs/>
          <w:sz w:val="28"/>
          <w:szCs w:val="28"/>
          <w:lang w:val="pt-PT"/>
        </w:rPr>
        <w:footnoteReference w:id="3"/>
      </w:r>
      <w:r>
        <w:rPr>
          <w:rFonts w:ascii="Times New Roman" w:hAnsi="Times New Roman"/>
          <w:sz w:val="28"/>
          <w:szCs w:val="28"/>
          <w:lang w:val="pt-PT"/>
        </w:rPr>
        <w:t xml:space="preserve">, de 24 de fevereiro de 2005, relativa à aplicação do princípio do reconhecimento mútuo às sanções pecuniárias, e da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Decisão-Quadro 2006/783/JAI do Conselho</w:t>
      </w:r>
      <w:r>
        <w:rPr>
          <w:rStyle w:val="Refdenotaderodap"/>
          <w:rFonts w:ascii="Times New Roman" w:hAnsi="Times New Roman"/>
          <w:b/>
          <w:bCs/>
          <w:sz w:val="28"/>
          <w:szCs w:val="28"/>
          <w:lang w:val="pt-PT"/>
        </w:rPr>
        <w:footnoteReference w:id="4"/>
      </w:r>
      <w:r>
        <w:rPr>
          <w:rFonts w:ascii="Times New Roman" w:hAnsi="Times New Roman"/>
          <w:sz w:val="28"/>
          <w:szCs w:val="28"/>
          <w:lang w:val="pt-PT"/>
        </w:rPr>
        <w:t>, de 6 de outubro de 2006, relativa à aplicação do princípio do reconhecimento mútuo às decisões de perda (n.º 3 do Artigo 1.º).</w:t>
      </w:r>
    </w:p>
    <w:p w14:paraId="4BEF3D7E" w14:textId="72D3E6AF" w:rsidR="006856B3" w:rsidRPr="003E5188" w:rsidRDefault="00246D57" w:rsidP="00A257D5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pt-PT"/>
        </w:rPr>
        <w:t>Q2:</w:t>
      </w:r>
      <w:r>
        <w:rPr>
          <w:rFonts w:ascii="Times New Roman" w:hAnsi="Times New Roman"/>
          <w:color w:val="2F5496" w:themeColor="accent1" w:themeShade="BF"/>
          <w:sz w:val="28"/>
          <w:szCs w:val="28"/>
          <w:lang w:val="pt-PT"/>
        </w:rPr>
        <w:t xml:space="preserve"> Quais são os critérios necessários para transmitir a sentença a outro Estado-Membro? O cidadão alemão tem o direito de solicitar essa transferência de supervisão? É necessário o seu consentimento nesta fase?</w:t>
      </w:r>
    </w:p>
    <w:p w14:paraId="3416F1CD" w14:textId="7F2D621B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Os critérios para o envio de uma sentença e, quando aplicável, de uma decisão relativa à liberdade condicional estão previstos no </w:t>
      </w:r>
      <w:r>
        <w:rPr>
          <w:rFonts w:ascii="Times New Roman" w:hAnsi="Times New Roman"/>
          <w:sz w:val="28"/>
          <w:szCs w:val="28"/>
          <w:u w:val="single"/>
          <w:lang w:val="pt-PT"/>
        </w:rPr>
        <w:t>Artigo 5.º da Decisão-Quadro do Conselho</w:t>
      </w:r>
      <w:r>
        <w:rPr>
          <w:rFonts w:ascii="Times New Roman" w:hAnsi="Times New Roman"/>
          <w:sz w:val="28"/>
          <w:szCs w:val="28"/>
          <w:lang w:val="pt-PT"/>
        </w:rPr>
        <w:t>.</w:t>
      </w:r>
    </w:p>
    <w:p w14:paraId="6F4715F1" w14:textId="6EB858CD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O n.º 1 do Artigo 5.º estabelece que a autoridade competente do Estado de emissão pode transmitir uma sentença e, se for caso disso, uma decisão relativa à liberdade condicional à autoridade competente do </w:t>
      </w: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 xml:space="preserve">Estado-Membro em que a pessoa condenada </w:t>
      </w:r>
      <w:bookmarkStart w:id="3" w:name="_Hlk40109198"/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reside legal e habitualmente</w:t>
      </w:r>
      <w:bookmarkEnd w:id="3"/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, nos casos em que a pessoa condenada tenha regressado ou pretenda regressar a esse Estado</w:t>
      </w:r>
      <w:r>
        <w:rPr>
          <w:rFonts w:ascii="Times New Roman" w:hAnsi="Times New Roman"/>
          <w:sz w:val="28"/>
          <w:szCs w:val="28"/>
          <w:lang w:val="pt-PT"/>
        </w:rPr>
        <w:t>.</w:t>
      </w:r>
    </w:p>
    <w:p w14:paraId="1521C1E7" w14:textId="3133AA02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O n.º 1 do Artigo 1.º estabelece também que a Decisão-Quadro visa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>facilitar a reinserção social da pessoa condenada, melhorar a proteção da vítima e do público em geral, bem como promover a aplicação de medidas de vigilância e sanções alternativas adequadas, no caso dos infratores que não residam no Estado de condenação.</w:t>
      </w:r>
    </w:p>
    <w:p w14:paraId="4B187E6E" w14:textId="260DDA2E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Como se pode ver neste caso, o cidadão alemão tem o direito de solicitar a transferência da supervisão da pena suspensa porque </w:t>
      </w:r>
      <w:r>
        <w:rPr>
          <w:rFonts w:ascii="Times New Roman" w:hAnsi="Times New Roman"/>
          <w:sz w:val="28"/>
          <w:szCs w:val="28"/>
          <w:u w:val="single"/>
          <w:lang w:val="pt-PT"/>
        </w:rPr>
        <w:t xml:space="preserve">reside legal e habitualmente na Alemanha </w:t>
      </w:r>
      <w:r>
        <w:rPr>
          <w:rFonts w:ascii="Times New Roman" w:hAnsi="Times New Roman"/>
          <w:sz w:val="28"/>
          <w:szCs w:val="28"/>
          <w:lang w:val="pt-PT"/>
        </w:rPr>
        <w:t xml:space="preserve">e </w:t>
      </w:r>
      <w:r>
        <w:rPr>
          <w:rFonts w:ascii="Times New Roman" w:hAnsi="Times New Roman"/>
          <w:sz w:val="28"/>
          <w:szCs w:val="28"/>
          <w:u w:val="single"/>
          <w:lang w:val="pt-PT"/>
        </w:rPr>
        <w:t xml:space="preserve">deseja regressar ao seu país de origem </w:t>
      </w:r>
      <w:r>
        <w:rPr>
          <w:rFonts w:ascii="Times New Roman" w:hAnsi="Times New Roman"/>
          <w:sz w:val="28"/>
          <w:szCs w:val="28"/>
          <w:lang w:val="pt-PT"/>
        </w:rPr>
        <w:t>onde tem a sua família e onde tem um emprego.</w:t>
      </w:r>
    </w:p>
    <w:p w14:paraId="05B70EB1" w14:textId="746AE793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Neste caso, a perspetiva de facilitar a reabilitação social da pessoa condenada é clara e as autoridades competentes romenas precisam de pedir às autoridades de execução alemãs competentes o reconhecimento e a supervisão das obrigações impostas.</w:t>
      </w:r>
    </w:p>
    <w:p w14:paraId="5ABB4FC6" w14:textId="037E07EC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Nos termos do Artigo 5.º da DQC,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é sempre necessário o consentimento da pessoa condenada</w:t>
      </w:r>
      <w:r>
        <w:rPr>
          <w:rFonts w:ascii="Times New Roman" w:hAnsi="Times New Roman"/>
          <w:sz w:val="28"/>
          <w:szCs w:val="28"/>
          <w:lang w:val="pt-PT"/>
        </w:rPr>
        <w:t>, a menos que a pessoa tenha regressado ao Estado de execução, quando o seu consentimento está implícito.</w:t>
      </w:r>
    </w:p>
    <w:p w14:paraId="5EF056F7" w14:textId="4335C0F4" w:rsidR="006856B3" w:rsidRPr="003E5188" w:rsidRDefault="004C7175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>O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 </w:t>
      </w:r>
      <w:r>
        <w:rPr>
          <w:rFonts w:ascii="Times New Roman" w:hAnsi="Times New Roman"/>
          <w:sz w:val="28"/>
          <w:szCs w:val="28"/>
          <w:lang w:val="pt-PT"/>
        </w:rPr>
        <w:t xml:space="preserve">n.º 2 do mesmo Artigo estabelece que a autoridade competente do Estado de emissão pode, a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pedido da pessoa condenada, </w:t>
      </w:r>
      <w:r>
        <w:rPr>
          <w:rFonts w:ascii="Times New Roman" w:hAnsi="Times New Roman"/>
          <w:sz w:val="28"/>
          <w:szCs w:val="28"/>
          <w:lang w:val="pt-PT"/>
        </w:rPr>
        <w:t xml:space="preserve">transmitir a sentença e, se for caso disso, a decisão relativa à liberdade condicional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à autoridade competente de um Estado-Membro que não seja aquele em cujo território a pessoa condenada tenha a sua residência legal e habitual, </w:t>
      </w: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se esta última autoridade consentir nessa transmissão.</w:t>
      </w:r>
      <w:r>
        <w:rPr>
          <w:rFonts w:ascii="Times New Roman" w:hAnsi="Times New Roman"/>
          <w:sz w:val="28"/>
          <w:szCs w:val="28"/>
          <w:lang w:val="pt-PT"/>
        </w:rPr>
        <w:t xml:space="preserve"> Os Estados-Membros determinam em que condições as suas </w:t>
      </w:r>
      <w:r>
        <w:rPr>
          <w:rFonts w:ascii="Times New Roman" w:hAnsi="Times New Roman"/>
          <w:sz w:val="28"/>
          <w:szCs w:val="28"/>
          <w:lang w:val="pt-PT"/>
        </w:rPr>
        <w:lastRenderedPageBreak/>
        <w:t>autoridades competentes podem consentir na transmissão de uma sentença e, se for caso disso, de uma decisão relativa à liberdade condicional, nos casos abrangidos pelo n.º 2.</w:t>
      </w:r>
    </w:p>
    <w:p w14:paraId="14B9812A" w14:textId="1860696B" w:rsidR="006856B3" w:rsidRPr="003E5188" w:rsidRDefault="00246D57" w:rsidP="00A257D5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pt-PT"/>
        </w:rPr>
        <w:t>Q3:</w:t>
      </w:r>
      <w:r>
        <w:rPr>
          <w:rFonts w:ascii="Times New Roman" w:hAnsi="Times New Roman"/>
          <w:color w:val="2F5496" w:themeColor="accent1" w:themeShade="BF"/>
          <w:sz w:val="28"/>
          <w:szCs w:val="28"/>
          <w:lang w:val="pt-PT"/>
        </w:rPr>
        <w:t xml:space="preserve"> Encontre as autoridades competentes envolvidas na possível transferência da pessoa condenada (as autoridades romenas e alemãs competentes).</w:t>
      </w:r>
    </w:p>
    <w:p w14:paraId="2B9CF43D" w14:textId="45B8F906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Quanto às autoridades romenas competentes para pedir a transferência da supervisão, estas são, de acordo com a legislação nacional de aplicação da DQC 2008/947/JAI, os tribunais distritais (neste caso, o Tribunal de Bucareste como tribunal que proferiu a pena suspensa). </w:t>
      </w:r>
    </w:p>
    <w:tbl>
      <w:tblPr>
        <w:tblW w:w="8931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31"/>
      </w:tblGrid>
      <w:tr w:rsidR="006856B3" w:rsidRPr="003E5188" w14:paraId="5B6C21BB" w14:textId="77777777" w:rsidTr="009B09F0">
        <w:trPr>
          <w:trHeight w:val="926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282AE" w14:textId="4F35605A" w:rsidR="002013FF" w:rsidRPr="00E00D02" w:rsidRDefault="00DA6E2B" w:rsidP="00E00D02">
            <w:pPr>
              <w:ind w:left="108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647798">
                <w:rPr>
                  <w:rStyle w:val="Hiperligao"/>
                  <w:rFonts w:ascii="Times New Roman" w:hAnsi="Times New Roman"/>
                  <w:sz w:val="28"/>
                  <w:szCs w:val="28"/>
                  <w:lang w:val="pt-PT"/>
                </w:rPr>
                <w:t>As informações relativas às autoridades competentes</w:t>
              </w:r>
            </w:hyperlink>
            <w:r w:rsidR="00647798">
              <w:rPr>
                <w:rFonts w:ascii="Times New Roman" w:hAnsi="Times New Roman"/>
                <w:sz w:val="28"/>
                <w:szCs w:val="28"/>
                <w:lang w:val="pt-PT"/>
              </w:rPr>
              <w:t xml:space="preserve"> como autoridades emissoras podem ser consultadas no sítio Web da RJE – </w:t>
            </w:r>
            <w:hyperlink r:id="rId11" w:history="1">
              <w:r w:rsidR="00647798">
                <w:rPr>
                  <w:rStyle w:val="Hiperligao"/>
                  <w:rFonts w:ascii="Times New Roman" w:hAnsi="Times New Roman"/>
                  <w:sz w:val="28"/>
                  <w:szCs w:val="28"/>
                  <w:lang w:val="pt-PT"/>
                </w:rPr>
                <w:t>www.ejn-crimjust.europa.eu</w:t>
              </w:r>
            </w:hyperlink>
            <w:r w:rsidR="00647798">
              <w:rPr>
                <w:rFonts w:ascii="Times New Roman" w:hAnsi="Times New Roman"/>
                <w:sz w:val="28"/>
                <w:szCs w:val="28"/>
                <w:lang w:val="pt-PT"/>
              </w:rPr>
              <w:t xml:space="preserve"> na Informação Complementar fornecida pelo Secretariado do Conselho disponível na seguinte ligação (informação fornecida para cada EM).</w:t>
            </w:r>
          </w:p>
        </w:tc>
      </w:tr>
    </w:tbl>
    <w:p w14:paraId="7F58E874" w14:textId="05274958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Para ver as autoridades alemãs competentes, utilizaremos o </w:t>
      </w:r>
      <w:hyperlink r:id="rId12" w:history="1">
        <w:r>
          <w:rPr>
            <w:rStyle w:val="Hiperligao"/>
            <w:rFonts w:ascii="Times New Roman" w:hAnsi="Times New Roman"/>
            <w:b/>
            <w:bCs/>
            <w:i/>
            <w:iCs/>
            <w:sz w:val="28"/>
            <w:szCs w:val="28"/>
            <w:lang w:val="pt-PT"/>
          </w:rPr>
          <w:t>Atlas</w:t>
        </w:r>
      </w:hyperlink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 xml:space="preserve"> </w:t>
      </w:r>
      <w:r>
        <w:rPr>
          <w:rFonts w:ascii="Times New Roman" w:hAnsi="Times New Roman"/>
          <w:sz w:val="28"/>
          <w:szCs w:val="28"/>
          <w:lang w:val="pt-PT"/>
        </w:rPr>
        <w:t xml:space="preserve">disponível no sítio Web da RJE – </w:t>
      </w:r>
      <w:hyperlink r:id="rId13" w:history="1">
        <w:r>
          <w:rPr>
            <w:rStyle w:val="Hiperligao"/>
            <w:rFonts w:ascii="Times New Roman" w:hAnsi="Times New Roman"/>
            <w:sz w:val="28"/>
            <w:szCs w:val="28"/>
            <w:lang w:val="pt-PT"/>
          </w:rPr>
          <w:t>www.ejn-crimjust.europa.eu</w:t>
        </w:r>
      </w:hyperlink>
      <w:r>
        <w:rPr>
          <w:rFonts w:ascii="Times New Roman" w:hAnsi="Times New Roman"/>
          <w:sz w:val="28"/>
          <w:szCs w:val="28"/>
          <w:lang w:val="pt-PT"/>
        </w:rPr>
        <w:t xml:space="preserve">, seleciona-se a Alemanha como país de execução e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>904</w:t>
      </w:r>
      <w:r>
        <w:rPr>
          <w:rFonts w:ascii="Times New Roman" w:hAnsi="Times New Roman"/>
          <w:sz w:val="28"/>
          <w:szCs w:val="28"/>
          <w:lang w:val="pt-PT"/>
        </w:rPr>
        <w:t>.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 Probation measures (medidas de vigilância).</w:t>
      </w:r>
    </w:p>
    <w:p w14:paraId="10DAB01E" w14:textId="77777777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O resultado deve ser o seguinte:</w:t>
      </w:r>
    </w:p>
    <w:tbl>
      <w:tblPr>
        <w:tblW w:w="9090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90"/>
      </w:tblGrid>
      <w:tr w:rsidR="006856B3" w:rsidRPr="003E5188" w14:paraId="2B1786C3" w14:textId="77777777" w:rsidTr="009B09F0">
        <w:trPr>
          <w:trHeight w:val="2882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319AF" w14:textId="77777777" w:rsidR="006856B3" w:rsidRPr="00913648" w:rsidRDefault="00246D57" w:rsidP="009B09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Nome: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STAATSANWALTSCHAFT HAMBURG </w:t>
            </w:r>
          </w:p>
          <w:p w14:paraId="7C1D1D8C" w14:textId="77777777" w:rsidR="006856B3" w:rsidRPr="00913648" w:rsidRDefault="00246D57" w:rsidP="009B09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 xml:space="preserve">Morada: 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Gorch-fock-wall 15 </w:t>
            </w:r>
          </w:p>
          <w:p w14:paraId="04036EF0" w14:textId="77777777" w:rsidR="006856B3" w:rsidRPr="003E5188" w:rsidRDefault="00246D57" w:rsidP="009B09F0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 xml:space="preserve">Departamento (Divisão): </w:t>
            </w:r>
          </w:p>
          <w:p w14:paraId="12C39008" w14:textId="2DB63403" w:rsidR="006856B3" w:rsidRPr="003E5188" w:rsidRDefault="00246D57" w:rsidP="002E46E4">
            <w:pPr>
              <w:tabs>
                <w:tab w:val="left" w:pos="2019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 xml:space="preserve">Cidade: 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Hamburgo </w:t>
            </w:r>
          </w:p>
          <w:p w14:paraId="73794823" w14:textId="77777777" w:rsidR="006856B3" w:rsidRPr="003E5188" w:rsidRDefault="00246D57" w:rsidP="009B09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Código postal: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20355 </w:t>
            </w:r>
          </w:p>
          <w:p w14:paraId="0ED160A0" w14:textId="77777777" w:rsidR="006856B3" w:rsidRPr="003E5188" w:rsidRDefault="00246D57" w:rsidP="009B09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Número de telefone: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(+49) 40 428280 </w:t>
            </w:r>
          </w:p>
          <w:p w14:paraId="1174A1FC" w14:textId="77777777" w:rsidR="006856B3" w:rsidRPr="003E5188" w:rsidRDefault="00246D57" w:rsidP="009B09F0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 xml:space="preserve">Telemóvel: </w:t>
            </w:r>
          </w:p>
          <w:p w14:paraId="4276FB71" w14:textId="77777777" w:rsidR="006856B3" w:rsidRPr="003E5188" w:rsidRDefault="00246D57" w:rsidP="009B09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Número de fax: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(+49) 40 428433968 </w:t>
            </w:r>
          </w:p>
          <w:p w14:paraId="6998EF0C" w14:textId="77777777" w:rsidR="006856B3" w:rsidRPr="003E5188" w:rsidRDefault="00246D57" w:rsidP="009B09F0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 xml:space="preserve">Endereço de Correio Eletrónico: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>Poststelle-Staatsanwaltschaft@sta.justiz.hamburg.de</w:t>
            </w:r>
          </w:p>
        </w:tc>
      </w:tr>
    </w:tbl>
    <w:p w14:paraId="63933B20" w14:textId="77777777" w:rsidR="00B62C70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E o </w:t>
      </w:r>
      <w:hyperlink r:id="rId14" w:history="1">
        <w:r>
          <w:rPr>
            <w:rStyle w:val="Hiperligao"/>
            <w:rFonts w:ascii="Times New Roman" w:hAnsi="Times New Roman"/>
            <w:sz w:val="28"/>
            <w:szCs w:val="28"/>
            <w:lang w:val="pt-PT"/>
          </w:rPr>
          <w:t>resultado da pesquisa pode ser encontrado aqui</w:t>
        </w:r>
      </w:hyperlink>
      <w:r>
        <w:rPr>
          <w:rStyle w:val="Hiperligao"/>
          <w:rFonts w:ascii="Times New Roman" w:hAnsi="Times New Roman"/>
          <w:sz w:val="28"/>
          <w:szCs w:val="28"/>
          <w:lang w:val="pt-PT"/>
        </w:rPr>
        <w:t>:</w:t>
      </w:r>
    </w:p>
    <w:p w14:paraId="030FEB4A" w14:textId="284F61AA" w:rsidR="003A0A74" w:rsidRPr="003E5188" w:rsidRDefault="00246D57" w:rsidP="000F2C96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pt-PT"/>
        </w:rPr>
        <w:t>Q4:</w:t>
      </w:r>
      <w:r>
        <w:rPr>
          <w:rFonts w:ascii="Times New Roman" w:hAnsi="Times New Roman"/>
          <w:color w:val="2F5496" w:themeColor="accent1" w:themeShade="BF"/>
          <w:sz w:val="28"/>
          <w:szCs w:val="28"/>
          <w:lang w:val="pt-PT"/>
        </w:rPr>
        <w:t xml:space="preserve"> Como irão proceder neste caso a autoridade competente emissora e a autoridade competente de execução?</w:t>
      </w:r>
    </w:p>
    <w:p w14:paraId="14C22A43" w14:textId="77777777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pt-PT"/>
        </w:rPr>
        <w:t>Autoridade competente emissora</w:t>
      </w:r>
    </w:p>
    <w:p w14:paraId="77DBFE8B" w14:textId="0FADE635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>Com vista a facilitar a reabilitação social da pessoa condenada e tendo o consentimento da mesma, a autoridade romena competente verificará os critérios estabelecidos no n.º 1 do Artigo 5.º da DQC.</w:t>
      </w:r>
    </w:p>
    <w:p w14:paraId="4DC0FFCC" w14:textId="1ED38ABF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 autoridade competente romena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preencherá a Certidão </w:t>
      </w:r>
      <w:r>
        <w:rPr>
          <w:rFonts w:ascii="Times New Roman" w:hAnsi="Times New Roman"/>
          <w:sz w:val="28"/>
          <w:szCs w:val="28"/>
          <w:lang w:val="pt-PT"/>
        </w:rPr>
        <w:t xml:space="preserve">estabelecida no Anexo I da DQC 2008/947 e enviá-la-á juntamente com a sentença diretamente à autoridade de execução competente identificada no ponto 3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>supra</w:t>
      </w:r>
      <w:r>
        <w:rPr>
          <w:rFonts w:ascii="Times New Roman" w:hAnsi="Times New Roman"/>
          <w:sz w:val="28"/>
          <w:szCs w:val="28"/>
          <w:lang w:val="pt-PT"/>
        </w:rPr>
        <w:t>.</w:t>
      </w:r>
    </w:p>
    <w:p w14:paraId="38F72BAB" w14:textId="5BA293D6" w:rsidR="003A0A74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lastRenderedPageBreak/>
        <w:t xml:space="preserve">Nos termos do Artigo 21.º da DQC, a sentença e a certidão devem ser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traduzidas para alemão</w:t>
      </w:r>
      <w:r>
        <w:rPr>
          <w:rFonts w:ascii="Times New Roman" w:hAnsi="Times New Roman"/>
          <w:sz w:val="28"/>
          <w:szCs w:val="28"/>
          <w:lang w:val="pt-PT"/>
        </w:rPr>
        <w:t>.</w:t>
      </w:r>
    </w:p>
    <w:p w14:paraId="7D53204D" w14:textId="77777777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pt-PT"/>
        </w:rPr>
        <w:t>Autoridade competente de execução</w:t>
      </w:r>
    </w:p>
    <w:p w14:paraId="790B28C0" w14:textId="4C2F4CFF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Depois de receber a sentença e a certidão das autoridades romenas,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a autoridade competente alemã </w:t>
      </w:r>
      <w:r>
        <w:rPr>
          <w:rFonts w:ascii="Times New Roman" w:hAnsi="Times New Roman"/>
          <w:sz w:val="28"/>
          <w:szCs w:val="28"/>
          <w:lang w:val="pt-PT"/>
        </w:rPr>
        <w:t xml:space="preserve">terá de tomar a decisão de reconhecer e supervisionar as obrigações impostas nos termos do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Artigo 6.º da DQC.</w:t>
      </w:r>
    </w:p>
    <w:p w14:paraId="3C27347A" w14:textId="77777777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Note-se que os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motivos de recusa do reconhecimento e da fiscalização </w:t>
      </w:r>
      <w:r>
        <w:rPr>
          <w:rFonts w:ascii="Times New Roman" w:hAnsi="Times New Roman"/>
          <w:sz w:val="28"/>
          <w:szCs w:val="28"/>
          <w:lang w:val="pt-PT"/>
        </w:rPr>
        <w:t xml:space="preserve">são limitados e expressamente mencionados no Artigo 11.º da DQC. </w:t>
      </w:r>
    </w:p>
    <w:p w14:paraId="4715075C" w14:textId="77777777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Os prazos </w:t>
      </w:r>
      <w:r>
        <w:rPr>
          <w:rFonts w:ascii="Times New Roman" w:hAnsi="Times New Roman"/>
          <w:sz w:val="28"/>
          <w:szCs w:val="28"/>
          <w:lang w:val="pt-PT"/>
        </w:rPr>
        <w:t xml:space="preserve">para tomar uma tal decisão são mencionados no Artigo 12.º da DQC. </w:t>
      </w:r>
    </w:p>
    <w:p w14:paraId="0CC82280" w14:textId="77777777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As autoridades de execução terão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de informar </w:t>
      </w:r>
      <w:r>
        <w:rPr>
          <w:rFonts w:ascii="Times New Roman" w:hAnsi="Times New Roman"/>
          <w:sz w:val="28"/>
          <w:szCs w:val="28"/>
          <w:lang w:val="pt-PT"/>
        </w:rPr>
        <w:t>a autoridade emissora, tal como previsto no Artigo 18.º da DQC a respeito:</w:t>
      </w:r>
    </w:p>
    <w:p w14:paraId="74E04650" w14:textId="4DA9A342" w:rsidR="006856B3" w:rsidRPr="003E5188" w:rsidRDefault="00246D57" w:rsidP="00A257D5">
      <w:pPr>
        <w:pStyle w:val="PargrafodaLista"/>
        <w:numPr>
          <w:ilvl w:val="0"/>
          <w:numId w:val="10"/>
        </w:numPr>
        <w:ind w:left="1077" w:hanging="357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da transmissão da sentença e, se for caso disso, da decisão relativa à liberdade condicional, acompanhadas da certidão referida no n.º 1 do Artigo 6.º à autoridade competente responsável pelo seu reconhecimento e por tomar as medidas para a fiscalização das medidas de vigilância ou das sanções alternativas, nos termos do n.º 7 do artigo 6.º, quando não tiver competência nos termos da legislação nacional,</w:t>
      </w:r>
    </w:p>
    <w:p w14:paraId="5AF665A5" w14:textId="7FE905E5" w:rsidR="006856B3" w:rsidRPr="003E5188" w:rsidRDefault="00246D57" w:rsidP="00A257D5">
      <w:pPr>
        <w:pStyle w:val="PargrafodaLista"/>
        <w:numPr>
          <w:ilvl w:val="0"/>
          <w:numId w:val="10"/>
        </w:numPr>
        <w:ind w:left="1077" w:hanging="357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da decisão definitiva de reconhecer a sentença e, se for caso disso, a decisão relativa à liberdade condicional e de assumir a responsabilidade pela fiscalização das medidas de vigilância ou das sanções alternativas,</w:t>
      </w:r>
    </w:p>
    <w:p w14:paraId="39A64B13" w14:textId="29942A1D" w:rsidR="006856B3" w:rsidRPr="003E5188" w:rsidRDefault="00246D57" w:rsidP="00A257D5">
      <w:pPr>
        <w:pStyle w:val="PargrafodaLista"/>
        <w:numPr>
          <w:ilvl w:val="0"/>
          <w:numId w:val="10"/>
        </w:numPr>
        <w:ind w:left="1077" w:hanging="357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de qualquer decisão de não reconhecer a sentença e, se for caso disso, a decisão relativa à liberdade condicional, e de não assumir a responsabilidade pela fiscalização das medidas de vigilância e das sanções alternativas, nos termos do Artigo 11.º, acompanhada da respetiva fundamentação,</w:t>
      </w:r>
    </w:p>
    <w:p w14:paraId="3B9AF377" w14:textId="77777777" w:rsidR="006856B3" w:rsidRPr="003E5188" w:rsidRDefault="00246D57" w:rsidP="00A257D5">
      <w:pPr>
        <w:pStyle w:val="PargrafodaLista"/>
        <w:numPr>
          <w:ilvl w:val="0"/>
          <w:numId w:val="10"/>
        </w:numPr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de qualquer decisão de adaptar as medidas de vigilâncias ou as sanções alternativas, nos termos do Artigo 9.º, acompanhada da respetiva fundamentação.</w:t>
      </w:r>
    </w:p>
    <w:p w14:paraId="020B248B" w14:textId="4524AADB" w:rsidR="00E25CD0" w:rsidRPr="0037236D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bookmarkStart w:id="4" w:name="_Hlk34055516"/>
      <w:r>
        <w:rPr>
          <w:rFonts w:ascii="Times New Roman" w:hAnsi="Times New Roman"/>
          <w:sz w:val="28"/>
          <w:szCs w:val="28"/>
          <w:lang w:val="pt-PT"/>
        </w:rPr>
        <w:t xml:space="preserve">Tal como mencionado no Artigo 15.º da DQC, quando e sempre que se considere apropriado, as autoridades competentes do Estado de emissão e do Estado de execução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podem consultar-se mutuamente </w:t>
      </w:r>
      <w:r>
        <w:rPr>
          <w:rFonts w:ascii="Times New Roman" w:hAnsi="Times New Roman"/>
          <w:sz w:val="28"/>
          <w:szCs w:val="28"/>
          <w:lang w:val="pt-PT"/>
        </w:rPr>
        <w:t>com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 </w:t>
      </w:r>
      <w:r>
        <w:rPr>
          <w:rFonts w:ascii="Times New Roman" w:hAnsi="Times New Roman"/>
          <w:sz w:val="28"/>
          <w:szCs w:val="28"/>
          <w:lang w:val="pt-PT"/>
        </w:rPr>
        <w:t>vista a facilitar a aplicação harmoniosa e eficaz da Decisão-Quadro.</w:t>
      </w:r>
    </w:p>
    <w:bookmarkEnd w:id="4"/>
    <w:p w14:paraId="204A764E" w14:textId="58CE929C" w:rsidR="000F2C96" w:rsidRPr="003E5188" w:rsidRDefault="00246D57" w:rsidP="00A257D5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pt-PT"/>
        </w:rPr>
        <w:t>Q5:</w:t>
      </w:r>
      <w:r>
        <w:rPr>
          <w:rFonts w:ascii="Times New Roman" w:hAnsi="Times New Roman"/>
          <w:color w:val="2F5496" w:themeColor="accent1" w:themeShade="BF"/>
          <w:sz w:val="28"/>
          <w:szCs w:val="28"/>
          <w:lang w:val="pt-PT"/>
        </w:rPr>
        <w:t xml:space="preserve"> Que desafios pode a autoridade competente emissora enfrentar ao solicitar a transferência da supervisão e como podem ser ultrapassados?</w:t>
      </w:r>
    </w:p>
    <w:p w14:paraId="63A963BF" w14:textId="77777777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Sem conhecimento do instrumento jurídico</w:t>
      </w:r>
    </w:p>
    <w:p w14:paraId="74648624" w14:textId="511F288F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lastRenderedPageBreak/>
        <w:t xml:space="preserve">Embora a DQC 2008/947 esteja em vigor desde 6.12.2011, o instrumento jurídico ainda não é muito utilizado a nível europeu (na maioria das vezes é utilizado apenas a nível regional ou entre EM com uma tradição de cooperação com procedimentos de supervisão). </w:t>
      </w:r>
    </w:p>
    <w:p w14:paraId="4F7AFCE0" w14:textId="77777777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Uma das razões para tal é a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falta de conhecimento </w:t>
      </w:r>
      <w:r>
        <w:rPr>
          <w:rFonts w:ascii="Times New Roman" w:hAnsi="Times New Roman"/>
          <w:sz w:val="28"/>
          <w:szCs w:val="28"/>
          <w:lang w:val="pt-PT"/>
        </w:rPr>
        <w:t xml:space="preserve">dos profissionais da justiça e das pessoas condenadas (especialmente porque não têm um advogado nesta fase do julgamento – a execução da decisão). </w:t>
      </w:r>
    </w:p>
    <w:p w14:paraId="3C44097F" w14:textId="52A66297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Visto que em alguns países os centros de liberdade condicional estão separados dos tribunais competentes, na maioria das vezes os tribunais competentes para requerer a transferência da supervisão não têm conhecimento da situação após a execução de uma sentença, porque os centros de liberdade condicional só voltam aos tribunais quando existem problemas de interpretação da sentença ou se a pessoa condenada não cumprir as medidas de controlo ou as obrigações que lhe são impostas.</w:t>
      </w:r>
    </w:p>
    <w:tbl>
      <w:tblPr>
        <w:tblW w:w="9108" w:type="dxa"/>
        <w:tblInd w:w="-2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08"/>
      </w:tblGrid>
      <w:tr w:rsidR="006856B3" w:rsidRPr="003E5188" w14:paraId="74DB2F60" w14:textId="77777777" w:rsidTr="003A0A74">
        <w:trPr>
          <w:trHeight w:val="2600"/>
        </w:trPr>
        <w:tc>
          <w:tcPr>
            <w:tcW w:w="9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D2B19" w14:textId="5581DD2D" w:rsidR="006856B3" w:rsidRPr="003E5188" w:rsidRDefault="00246D57" w:rsidP="00A257D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Estas situações podem ser ultrapassadas se,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 xml:space="preserve">por exemplo,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após a sentença se ter tornado definitiva e executória, o tribunal que proferiu a sentença e os centros de liberdade condicional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pt-PT"/>
              </w:rPr>
              <w:t xml:space="preserve">informarem a pessoa condenada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(especialmente as que residem legal e habitualmente noutro Estado-Membro)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pt-PT"/>
              </w:rPr>
              <w:t xml:space="preserve">da possibilidade de solicitar a transferência do controlo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e das condições que têm de ser preenchidas para solicitar e ser-lhe concedida tal transferência. Além disso, as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pt-PT"/>
              </w:rPr>
              <w:t xml:space="preserve">informações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relevantes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pt-PT"/>
              </w:rPr>
              <w:t xml:space="preserve">disponíveis nos sítios Web dos tribunais e dos centros de liberdade condicional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>poderiam ser úteis para a pessoa condenada.</w:t>
            </w:r>
          </w:p>
        </w:tc>
      </w:tr>
    </w:tbl>
    <w:p w14:paraId="27F589A3" w14:textId="720EF62A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Não conhecer o outro sistema judiciário no EM de execução</w:t>
      </w:r>
    </w:p>
    <w:p w14:paraId="11ADFC19" w14:textId="6F979D18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As autoridades judiciárias competentes dos EM emissores são normalmente relutantes quando se trata de pedir a transferência da supervisão da sentença. O desconhecimento do outro sistema judiciário é um dos desafios para a autoridade emissora.</w:t>
      </w:r>
    </w:p>
    <w:p w14:paraId="5AAD024E" w14:textId="158CDA23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Se houver dúvidas sobre o outro sistema judiciário envolvido, a autoridade competente emissora tem muitas fontes para localizar a informação. </w:t>
      </w:r>
    </w:p>
    <w:tbl>
      <w:tblPr>
        <w:tblW w:w="9036" w:type="dxa"/>
        <w:tblInd w:w="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6"/>
      </w:tblGrid>
      <w:tr w:rsidR="006856B3" w:rsidRPr="003E5188" w14:paraId="0109ACB0" w14:textId="77777777" w:rsidTr="00E00D02">
        <w:trPr>
          <w:trHeight w:val="1064"/>
        </w:trPr>
        <w:tc>
          <w:tcPr>
            <w:tcW w:w="9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E3F28" w14:textId="2CAEB3B4" w:rsidR="006430E0" w:rsidRPr="00E00D02" w:rsidRDefault="00246D57" w:rsidP="00E00D02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Por exemplo, na </w:t>
            </w:r>
            <w:hyperlink r:id="rId15" w:history="1">
              <w:r>
                <w:rPr>
                  <w:rStyle w:val="Hiperligao"/>
                  <w:rFonts w:ascii="Times New Roman" w:hAnsi="Times New Roman"/>
                  <w:sz w:val="28"/>
                  <w:szCs w:val="28"/>
                  <w:lang w:val="pt-PT"/>
                </w:rPr>
                <w:t>secção dedicada à DQC 2008/947</w:t>
              </w:r>
            </w:hyperlink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, o sítio Web da RJE fornece informações valiosas sobre o sistema judiciário de todos os EM (por exemplo, legislação nacional, notificações, declarações, relatórios, etc.). </w:t>
            </w:r>
          </w:p>
        </w:tc>
      </w:tr>
    </w:tbl>
    <w:p w14:paraId="0EC5BAE6" w14:textId="500ADD4C" w:rsidR="006856B3" w:rsidRPr="003E5188" w:rsidRDefault="00246D57" w:rsidP="000F2C9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Além disso, deve ter-se em mente que todos os EM (exceto a Irlanda – com o processo de implementação em curso) implementaram a DQC, o que significa que as medidas de vigilância e as sanções alternativas previstas no n.º 1 do Artigo 4.º da DQC estão disponíveis e podem ser controladas em todos os EM (exceto quando um EM tiver notificado ou declarado que não se aplicará aquando da </w:t>
      </w:r>
      <w:r>
        <w:rPr>
          <w:rFonts w:ascii="Times New Roman" w:hAnsi="Times New Roman"/>
          <w:sz w:val="28"/>
          <w:szCs w:val="28"/>
          <w:lang w:val="pt-PT"/>
        </w:rPr>
        <w:lastRenderedPageBreak/>
        <w:t>transferência da vigilância da pena). O n.º 2 do Artigo 4.º da DQC estipula que cada Estado-Membro notifica o Secretariado-Geral do Conselho, aquando da aplicação da presente decisão-quadro, das medidas de vigilância e sanções alternativas,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 para além das referidas no n.º 1, que está disposto a controlar.</w:t>
      </w:r>
      <w:r>
        <w:rPr>
          <w:rFonts w:ascii="Times New Roman" w:hAnsi="Times New Roman"/>
          <w:sz w:val="28"/>
          <w:szCs w:val="28"/>
          <w:lang w:val="pt-PT"/>
        </w:rPr>
        <w:t xml:space="preserve"> </w:t>
      </w:r>
    </w:p>
    <w:p w14:paraId="529FC054" w14:textId="77777777" w:rsidR="003A0A74" w:rsidRPr="003E5188" w:rsidRDefault="003A0A74" w:rsidP="000F2C96">
      <w:pPr>
        <w:jc w:val="both"/>
        <w:rPr>
          <w:rFonts w:ascii="Times New Roman" w:hAnsi="Times New Roman"/>
        </w:rPr>
      </w:pPr>
    </w:p>
    <w:p w14:paraId="55A227E3" w14:textId="77777777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Não confiar no outro sistema judiciário</w:t>
      </w:r>
    </w:p>
    <w:p w14:paraId="48E11358" w14:textId="4BD892A9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Muitas vezes, as autoridades competentes emissoras têm outras dúvidas, tais como a falta de confiança no outro sistema judiciário, e não iniciam um pedido de transferência, especialmente porque não há nenhuma obrigação explicitamente prevista na DQC. </w:t>
      </w:r>
    </w:p>
    <w:tbl>
      <w:tblPr>
        <w:tblW w:w="9012" w:type="dxa"/>
        <w:tblInd w:w="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12"/>
      </w:tblGrid>
      <w:tr w:rsidR="006856B3" w:rsidRPr="003E5188" w14:paraId="1F13555F" w14:textId="77777777" w:rsidTr="000F2C96">
        <w:trPr>
          <w:trHeight w:val="5120"/>
        </w:trPr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FF5AD" w14:textId="45D37B38" w:rsidR="006856B3" w:rsidRPr="003E5188" w:rsidRDefault="00246D57" w:rsidP="00A257D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As autoridades judiciárias competentes têm sempre de pensar nos objetivos da DQC que por vezes ultrapassam uma decisão subjetiva e que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>facilitam a reabilitação social das pessoas condenadas, melhorando a proteção das vítimas e do público em geral, e facilitando a aplicação de medidas de vigilância adequadas e sanções alternativas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>, no caso dos infratores que não vivem no Estado de condenação.</w:t>
            </w:r>
          </w:p>
          <w:p w14:paraId="6270DE77" w14:textId="77777777" w:rsidR="006856B3" w:rsidRPr="003E5188" w:rsidRDefault="00246D57" w:rsidP="00A257D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 xml:space="preserve">O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preâmbulo 8 da DQC afirma que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>o reconhecimento mútuo e a fiscalização de penas suspensas, condenações condicionais, sanções alternativas e de liberdade condicional têm por finalidade promover a reinserção social da pessoa condenada, dando-lhe a possibilidade de manter os seus laços familiares, linguísticos, culturais e outros; por outro lado, pretende-se igualmente melhorar o controlo do cumprimento das medidas de vigilância e das sanções alternativas, com o objetivo de prevenir a reincidência e atender, assim, ao princípio da proteção da vítima e do público em geral.</w:t>
            </w:r>
          </w:p>
        </w:tc>
      </w:tr>
    </w:tbl>
    <w:p w14:paraId="0D584993" w14:textId="5D2AF2A7" w:rsidR="006856B3" w:rsidRPr="0037236D" w:rsidRDefault="00246D57" w:rsidP="0037236D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Além disso, as autoridades competentes emissoras devem ter presente que, para alcançar estes objetivos, alguns dos EM,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>para além do Estado-Membro em que a pessoa condenada reside legal e habitualmente</w:t>
      </w:r>
      <w:r>
        <w:rPr>
          <w:rFonts w:ascii="Times New Roman" w:hAnsi="Times New Roman"/>
          <w:sz w:val="28"/>
          <w:szCs w:val="28"/>
          <w:lang w:val="pt-PT"/>
        </w:rPr>
        <w:t>, declararam que consentem a transmissão da fiscalização (n.º 2 do Artigo 5.º da DQC).</w:t>
      </w:r>
    </w:p>
    <w:p w14:paraId="0F0B35C4" w14:textId="77777777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Difícil estabelecer os critérios previstos no Artigo 5.º da DQC</w:t>
      </w:r>
    </w:p>
    <w:p w14:paraId="3C1A5DDF" w14:textId="00C9ABCC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Normalmente, as informações sobre a residência legal e habitual da pessoa condenada estão à disposição da autoridade competente do EM emissor da peça processual, a fim de determinar onde se dirigir de acordo com o Artigo 6.º da DQC.</w:t>
      </w:r>
    </w:p>
    <w:p w14:paraId="5A8FFA4B" w14:textId="53D07452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Ainda assim, por vezes, quando a pessoa condenada não é da nacionalidade do EM onde a transferência será solicitada, é difícil estabelecer se a pessoa condenada tem o direito de residência ou residência ao abrigo da lei do outro EM. </w:t>
      </w:r>
    </w:p>
    <w:p w14:paraId="6081F79F" w14:textId="6E632D26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lastRenderedPageBreak/>
        <w:t xml:space="preserve">Por vezes, é difícil avaliar, por exemplo, quando a pessoa condenada não é da nacionalidade do EM de execução, que tem o direito de residência ou residência no EM de execução ao abrigo da legislação do outro EM, ou é um dos membros da família de um cidadão nacional ou uma pessoa que tem o direito de residência ou o direito de residência no EM de execução. </w:t>
      </w:r>
    </w:p>
    <w:p w14:paraId="75056992" w14:textId="6DC7F952" w:rsidR="006856B3" w:rsidRPr="003E5188" w:rsidRDefault="005E30B0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Na maioria das vezes, a pessoa condenada fornece informações adicionais a este respeito, devendo sempre provar, por exemplo, que realiza uma atividade lucrativa, estudos ou formação profissional no território do EM de execução.</w:t>
      </w:r>
    </w:p>
    <w:tbl>
      <w:tblPr>
        <w:tblW w:w="9036" w:type="dxa"/>
        <w:tblInd w:w="4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6"/>
      </w:tblGrid>
      <w:tr w:rsidR="006856B3" w:rsidRPr="003E5188" w14:paraId="5BC6C071" w14:textId="77777777" w:rsidTr="00B30DB0">
        <w:trPr>
          <w:trHeight w:val="1980"/>
        </w:trPr>
        <w:tc>
          <w:tcPr>
            <w:tcW w:w="9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00BEF" w14:textId="77777777" w:rsidR="006856B3" w:rsidRPr="003E5188" w:rsidRDefault="00246D57" w:rsidP="00A257D5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O Artigo 15.º da DQC pode aplicar-se perfeitamente nesta fase, uma vez que as autoridades competentes do Estado de emissão e do Estado de execução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 xml:space="preserve">podem consultar-se mutuamente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>onde e sempre que tal for considerado adequado, com vista a facilitar a aplicação harmoniosa e eficaz da decisão-quadro (neste caso, recolhendo informações antes de solicitar a transferência da vigilância da pena suspensa).</w:t>
            </w:r>
          </w:p>
        </w:tc>
      </w:tr>
    </w:tbl>
    <w:p w14:paraId="6B88E3FB" w14:textId="5CAEE089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Não saber para onde enviar a Certidão e a sentença</w:t>
      </w:r>
    </w:p>
    <w:p w14:paraId="7D9F0399" w14:textId="52445C8C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Encontrar a autoridade competente no EM de execução não é uma tarefa difícil, especialmente porque o </w:t>
      </w: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 xml:space="preserve">Atlas </w:t>
      </w:r>
      <w:r>
        <w:rPr>
          <w:rFonts w:ascii="Times New Roman" w:hAnsi="Times New Roman"/>
          <w:sz w:val="28"/>
          <w:szCs w:val="28"/>
          <w:lang w:val="pt-PT"/>
        </w:rPr>
        <w:t>do sítio Web da RJE ajuda os profissionais da justiça a identificarem a autoridade de execução competente para os outros EM (como se viu no ponto 3 acima).</w:t>
      </w:r>
    </w:p>
    <w:p w14:paraId="585A08AE" w14:textId="2BB4BBFF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Além disso, se a autoridade competente do Estado de execução não for conhecida da autoridade competente do Estado de emissão, esta última procederá a todas as averiguações necessárias,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>inclusive através dos pontos de contacto da Rede Judiciária Europeia criada pela Ação Comum 98/428/JAI do Conselho</w:t>
      </w:r>
      <w:r>
        <w:rPr>
          <w:rFonts w:ascii="Times New Roman" w:hAnsi="Times New Roman"/>
          <w:sz w:val="28"/>
          <w:szCs w:val="28"/>
          <w:lang w:val="pt-PT"/>
        </w:rPr>
        <w:t>, a fim de obter as informações do Estado de execução (n.º 6 do Artigo 6.º da DQC).</w:t>
      </w:r>
    </w:p>
    <w:p w14:paraId="0F5215E1" w14:textId="239F4858" w:rsidR="006856B3" w:rsidRPr="0037236D" w:rsidRDefault="00246D57" w:rsidP="0037236D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Sem esquecer que, quando a autoridade do Estado de execução que tenha recebido uma sentença e, se for caso disso, uma decisão relativa à liberdade condicional, acompanhadas da certidão, não for competente para as reconhecer e para assegurar a fiscalização da medida de vigilância ou da sanção alternativa,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transmite-as oficiosamente à autoridade competente e informa do facto sem demora a autoridade competente do Estado de emissão </w:t>
      </w:r>
      <w:r>
        <w:rPr>
          <w:rFonts w:ascii="Times New Roman" w:hAnsi="Times New Roman"/>
          <w:sz w:val="28"/>
          <w:szCs w:val="28"/>
          <w:lang w:val="pt-PT"/>
        </w:rPr>
        <w:t>por qualquer meio que permita conservar registo escrito (n.º 7 do Artigo 6.º da DQC).</w:t>
      </w:r>
    </w:p>
    <w:p w14:paraId="5B1E0FF6" w14:textId="77777777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 xml:space="preserve">O processo está a demorar demasiado tempo </w:t>
      </w:r>
    </w:p>
    <w:p w14:paraId="2B572530" w14:textId="17545C95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Quando confrontados com uma situação de possível transferência de supervisão para outro Estado-Membro, os responsáveis pela supervisão ou as autoridades nacionais competentes julgam frequentemente que o procedimento levará demasiado tempo e será demasiado complicado. Se pensarem que a autoridade nacional competente emissora não concordará com o pedido de transferência ou que a autoridade competente de execução recusará a transferência do procedimento, então a situação ainda se complica mais. </w:t>
      </w:r>
    </w:p>
    <w:p w14:paraId="493A6D97" w14:textId="106DE1D5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lastRenderedPageBreak/>
        <w:t>Os documentos devem ser preenchidos pelos agentes de liberdade condicional que se devem dirigir à autoridade competente do EM emissor. É por isso que temos agora situações em que pessoas que residem ou trabalham noutro EM são supervisionadas, por exemplo, a cada 6 meses no EM em que a pessoa foi condenada. Este tipo de supervisão está fora dos objetivos mencionados na DQC.</w:t>
      </w:r>
    </w:p>
    <w:tbl>
      <w:tblPr>
        <w:tblW w:w="9072" w:type="dxa"/>
        <w:tblInd w:w="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2"/>
      </w:tblGrid>
      <w:tr w:rsidR="006856B3" w:rsidRPr="003E5188" w14:paraId="3090790D" w14:textId="77777777" w:rsidTr="00B30DB0">
        <w:trPr>
          <w:trHeight w:val="2681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B1AD0" w14:textId="1732394B" w:rsidR="006856B3" w:rsidRPr="003E5188" w:rsidRDefault="00246D57" w:rsidP="00A257D5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>Os responsáveis pela supervisão devem estar conscientes dos objetivos da DQC e ter sempre em mente os benefícios, especialmente para a pessoa condenada, se a supervisão for transferida para outro EM. Devem também julgar que é muito mais fácil supervisionar uma pessoa condenada no país onde reside ou estuda de forma legal e habitual, etc. Os motivos de recusa da transferência da supervisão são limitados e expressamente previstos na DQC, o que limita a possibilidade de uma decisão discricionária a este respeito por parte das autoridades competentes de execução.</w:t>
            </w:r>
          </w:p>
        </w:tc>
      </w:tr>
    </w:tbl>
    <w:p w14:paraId="324F7157" w14:textId="65C4AEB8" w:rsidR="006856B3" w:rsidRPr="003E5188" w:rsidRDefault="00246D57" w:rsidP="00A257D5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pt-PT"/>
        </w:rPr>
        <w:t>Q6:</w:t>
      </w:r>
      <w:r>
        <w:rPr>
          <w:rFonts w:ascii="Times New Roman" w:hAnsi="Times New Roman"/>
          <w:color w:val="2F5496" w:themeColor="accent1" w:themeShade="BF"/>
          <w:sz w:val="28"/>
          <w:szCs w:val="28"/>
          <w:lang w:val="pt-PT"/>
        </w:rPr>
        <w:t xml:space="preserve"> Que desafios pode a autoridade competente de execução enfrentar durante o processo de reconhecimento e como podem ser ultrapassados?</w:t>
      </w:r>
    </w:p>
    <w:p w14:paraId="2CBBED13" w14:textId="77777777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Problemas relativos à certidão recebida (informação incompleta, informação confusa, caixas não assinaladas corretamente ou não assinaladas de todo quando eram obrigatórias, etc.)</w:t>
      </w:r>
    </w:p>
    <w:p w14:paraId="4082BCE8" w14:textId="6BF3C95E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Por vezes, a Certidão não é preenchida corretamente pela autoridade emissora, faltam informações, está confusa, ou manifestamente não corresponde ao julgamento ou à decisão relativa à liberdade condicional. </w:t>
      </w:r>
    </w:p>
    <w:p w14:paraId="7295E34D" w14:textId="0280FEA8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Estas situações são fornecidas como motivo de recusa do reconhecimento e supervisão nos termos a alínea a), n.º 1, do Artigo 11.º da DQC, pela autoridade competente do EM de execução.</w:t>
      </w:r>
    </w:p>
    <w:tbl>
      <w:tblPr>
        <w:tblW w:w="8910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10"/>
      </w:tblGrid>
      <w:tr w:rsidR="006856B3" w:rsidRPr="003E5188" w14:paraId="717263B2" w14:textId="77777777" w:rsidTr="00B30DB0">
        <w:trPr>
          <w:trHeight w:val="1056"/>
        </w:trPr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DE4B3" w14:textId="77777777" w:rsidR="006856B3" w:rsidRPr="003E5188" w:rsidRDefault="00246D57" w:rsidP="00A257D5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Antes de decidir recusar o reconhecimento e a supervisão, a autoridade competente de execução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pt-PT"/>
              </w:rPr>
              <w:t xml:space="preserve">deve entrar em contacto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com a autoridade emissora nos termos do Artigo 15.º da DQC e solicitar que a Certidão seja preenchida ou corrigida ou que sejam fornecidas informações adicionais num prazo razoável pela autoridade emissora. </w:t>
            </w:r>
          </w:p>
          <w:p w14:paraId="107B9E3E" w14:textId="4D320C6A" w:rsidR="006856B3" w:rsidRPr="003E5188" w:rsidRDefault="00246D57" w:rsidP="00A257D5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>Apenas se neste período razoável a Certidão não for preenchida ou corrigida ou não forem fornecidas informações adicionais, então o EM de execução pode recusar o reconhecimento e supervisão (o motivo mencionado na alínea a), n.º 1, do Artigo 11.º da DQC).</w:t>
            </w:r>
          </w:p>
        </w:tc>
      </w:tr>
    </w:tbl>
    <w:p w14:paraId="3F5F6976" w14:textId="77777777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 xml:space="preserve">Problemas na compreensão ou aplicação da sentença proferida nos outros EM </w:t>
      </w:r>
    </w:p>
    <w:p w14:paraId="4A5DAE88" w14:textId="21DB65D7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Por vezes, a autoridade competente de execução pode ter dificuldade em compreender ou aplicar a sentença proferida nos outros EM. </w:t>
      </w:r>
    </w:p>
    <w:tbl>
      <w:tblPr>
        <w:tblW w:w="9120" w:type="dxa"/>
        <w:tblInd w:w="-2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20"/>
      </w:tblGrid>
      <w:tr w:rsidR="006856B3" w:rsidRPr="003E5188" w14:paraId="42B21DC9" w14:textId="77777777" w:rsidTr="00B30DB0">
        <w:trPr>
          <w:trHeight w:val="773"/>
        </w:trPr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D6902" w14:textId="77777777" w:rsidR="006856B3" w:rsidRPr="003E5188" w:rsidRDefault="00246D57" w:rsidP="00A257D5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lastRenderedPageBreak/>
              <w:t>Para isso é importante entrar em contacto e consultar a autoridade competente emissora, nos termos do Artigo 15.º da DQC</w:t>
            </w:r>
          </w:p>
        </w:tc>
      </w:tr>
    </w:tbl>
    <w:p w14:paraId="59BC3386" w14:textId="27F53B15" w:rsidR="006856B3" w:rsidRDefault="00246D57" w:rsidP="00CE7D40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 xml:space="preserve">Problemas no cumprimento dos prazos </w:t>
      </w:r>
    </w:p>
    <w:p w14:paraId="2411918B" w14:textId="3ECD1B25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Nos termos do Artigo 12.º da DQC, a autoridade competente do Estado de execução deve decidir o mais rapidamente possível, e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no prazo de 60 dias</w:t>
      </w:r>
      <w:r>
        <w:rPr>
          <w:rFonts w:ascii="Times New Roman" w:hAnsi="Times New Roman"/>
          <w:sz w:val="28"/>
          <w:szCs w:val="28"/>
          <w:lang w:val="pt-PT"/>
        </w:rPr>
        <w:t xml:space="preserve"> após a receção da sentença e, se for caso disso, da decisão relativa à liberdade condicional, acompanhadas da certidão referida no n.º 1 do Artigo 6.º, se reconhece ou não a sentença e, se for caso disso, a decisão relativa à liberdade condicional e se assume a responsabilidade pela fiscalização das medidas de vigilância ou das sanções alternativas.</w:t>
      </w:r>
    </w:p>
    <w:p w14:paraId="5109509F" w14:textId="0AE094F8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Quando a autoridade competente do Estado de execução não puder cumprir os prazos estabelecidos, deve informar do facto, imediatamente e por qualquer meio à sua escolha, a autoridade competente do Estado de emissão, indicando os motivos do atraso e o prazo que considera necessário para tomar uma decisão definitiva</w:t>
      </w:r>
    </w:p>
    <w:tbl>
      <w:tblPr>
        <w:tblW w:w="9168" w:type="dxa"/>
        <w:tblInd w:w="-12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68"/>
      </w:tblGrid>
      <w:tr w:rsidR="006856B3" w:rsidRPr="003E5188" w14:paraId="18709B09" w14:textId="77777777" w:rsidTr="00B30DB0">
        <w:trPr>
          <w:trHeight w:val="1584"/>
        </w:trPr>
        <w:tc>
          <w:tcPr>
            <w:tcW w:w="9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6B668" w14:textId="77777777" w:rsidR="006856B3" w:rsidRPr="003E5188" w:rsidRDefault="00246D57" w:rsidP="00A257D5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As razões para o não cumprimento dos prazos previstos no Artigo 12.º da DQC devem ser 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val="pt-PT"/>
              </w:rPr>
              <w:t>circunstâncias excecionais e devem limitar-se apenas a situações objetivas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>(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>por exemplo, são necessárias informações adicionais dos EM emissores ou de outras autoridades competentes envolvidas no processo de reconhecimento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>).</w:t>
            </w:r>
          </w:p>
        </w:tc>
      </w:tr>
    </w:tbl>
    <w:p w14:paraId="7EA4EBE1" w14:textId="77777777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Problemas de adaptação das medidas de vigilância ou sanções alternativas</w:t>
      </w:r>
    </w:p>
    <w:p w14:paraId="17FA1FC9" w14:textId="5D974297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Talvez o maior desafio para a autoridade competente do Estado de execução seja a adaptação das medidas de vigilância ou sanções alternativas, porque os dois sistemas judiciários envolvidos nem sempre são os mesmos. </w:t>
      </w:r>
    </w:p>
    <w:p w14:paraId="71A21E09" w14:textId="77777777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Podem surgir problemas relacionados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com </w:t>
      </w:r>
      <w:r>
        <w:rPr>
          <w:rFonts w:ascii="Times New Roman" w:hAnsi="Times New Roman"/>
          <w:i/>
          <w:iCs/>
          <w:sz w:val="28"/>
          <w:szCs w:val="28"/>
          <w:u w:val="single"/>
          <w:lang w:val="pt-PT"/>
        </w:rPr>
        <w:t>a natureza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, com a </w:t>
      </w:r>
      <w:r>
        <w:rPr>
          <w:rFonts w:ascii="Times New Roman" w:hAnsi="Times New Roman"/>
          <w:i/>
          <w:iCs/>
          <w:sz w:val="28"/>
          <w:szCs w:val="28"/>
          <w:u w:val="single"/>
          <w:lang w:val="pt-PT"/>
        </w:rPr>
        <w:t>duração das medidas de vigilância ou sanções alternativas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 ou com </w:t>
      </w:r>
      <w:r>
        <w:rPr>
          <w:rFonts w:ascii="Times New Roman" w:hAnsi="Times New Roman"/>
          <w:i/>
          <w:iCs/>
          <w:sz w:val="28"/>
          <w:szCs w:val="28"/>
          <w:u w:val="single"/>
          <w:lang w:val="pt-PT"/>
        </w:rPr>
        <w:t>o período de vigilância</w:t>
      </w:r>
      <w:r>
        <w:rPr>
          <w:rFonts w:ascii="Times New Roman" w:hAnsi="Times New Roman"/>
          <w:sz w:val="28"/>
          <w:szCs w:val="28"/>
          <w:lang w:val="pt-PT"/>
        </w:rPr>
        <w:t>.</w:t>
      </w:r>
    </w:p>
    <w:p w14:paraId="73672C10" w14:textId="77777777" w:rsidR="006856B3" w:rsidRPr="003E5188" w:rsidRDefault="00246D57" w:rsidP="00A257D5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- </w:t>
      </w:r>
      <w:r>
        <w:rPr>
          <w:rFonts w:ascii="Times New Roman" w:hAnsi="Times New Roman"/>
          <w:sz w:val="28"/>
          <w:szCs w:val="28"/>
          <w:lang w:val="pt-PT"/>
        </w:rPr>
        <w:t xml:space="preserve">Quando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a duração da medida de vigilância, da sanção alternativa ou da liberdade condicional exceder a duração máxima prevista pela legislação do Estado de execução</w:t>
      </w:r>
      <w:r>
        <w:rPr>
          <w:rFonts w:ascii="Times New Roman" w:hAnsi="Times New Roman"/>
          <w:sz w:val="28"/>
          <w:szCs w:val="28"/>
          <w:lang w:val="pt-PT"/>
        </w:rPr>
        <w:t xml:space="preserve">, a duração pode ser adaptada e a duração da medida de vigilância, da sanção alternativa ou do período de vigilância adaptada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>não pode ser inferior à duração máxima prevista para infrações equivalentes nos termos da legislação do Estado de execução</w:t>
      </w:r>
      <w:r>
        <w:rPr>
          <w:rFonts w:ascii="Times New Roman" w:hAnsi="Times New Roman"/>
          <w:sz w:val="28"/>
          <w:szCs w:val="28"/>
          <w:lang w:val="pt-PT"/>
        </w:rPr>
        <w:t xml:space="preserve">. Além disso, a medida de vigilância, sanção alternativa ou período de vigilância resultantes da adaptação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>não serão mais severos nem mais longos que a medida de vigilância, sanção alternativa ou período de vigilância inicialmente impostos.</w:t>
      </w:r>
    </w:p>
    <w:tbl>
      <w:tblPr>
        <w:tblW w:w="9072" w:type="dxa"/>
        <w:tblInd w:w="-2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2"/>
      </w:tblGrid>
      <w:tr w:rsidR="006856B3" w:rsidRPr="003E5188" w14:paraId="6750BC51" w14:textId="77777777" w:rsidTr="00B30DB0">
        <w:trPr>
          <w:trHeight w:val="2285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25820" w14:textId="0EE28721" w:rsidR="006856B3" w:rsidRPr="003E5188" w:rsidRDefault="00246D57" w:rsidP="00A257D5">
            <w:pPr>
              <w:pStyle w:val="PargrafodaLista"/>
              <w:numPr>
                <w:ilvl w:val="0"/>
                <w:numId w:val="18"/>
              </w:numPr>
              <w:ind w:left="714" w:hanging="3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lastRenderedPageBreak/>
              <w:t>Por exemplo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, neste caso, a sanção imposta foi suspensa durante 4 anos e se ao abrigo da lei alemã o máximo é de 3 anos de suspensão, então o período de suspensão será reduzido para 3 anos, de acordo com a lei do Estado de execução. Se na Alemanha,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 xml:space="preserve">por exemplo,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o máximo no mesmo caso for de 5 anos, a autoridade de execução deixará 4 anos como imposto na Roménia e não aumentará a duração para 5 anos porque neste caso será mais longo do que o período inicial e agravará a situação da pessoa condenada. </w:t>
            </w:r>
          </w:p>
          <w:p w14:paraId="52CB9645" w14:textId="34E37BE3" w:rsidR="006856B3" w:rsidRPr="003E5188" w:rsidRDefault="00246D57" w:rsidP="00A257D5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Também,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 xml:space="preserve">por exemplo,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se tiver sido imposta uma obrigação de serviço comunitário à pessoa condenada por um período de 1 ano, a autoridade competente de execução pode reduzir este período se a legislação nacional previr um período máximo de 6 meses mas não pode impor a obrigação por um período de 2 anos de acordo com a legislação nacional, porque neste caso será mais longo do que o período inicial e agravará a situação da pessoa condenada. </w:t>
            </w:r>
          </w:p>
        </w:tc>
      </w:tr>
    </w:tbl>
    <w:p w14:paraId="27A33376" w14:textId="384157BC" w:rsidR="006856B3" w:rsidRPr="003E5188" w:rsidRDefault="00246D57" w:rsidP="00A257D5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- Se a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natureza da medida de vigilância ou da sanção alternativa for incompatível com a legislação do Estado de execução, a autoridade competente desse Estado </w:t>
      </w:r>
      <w:r>
        <w:rPr>
          <w:rFonts w:ascii="Times New Roman" w:hAnsi="Times New Roman"/>
          <w:sz w:val="28"/>
          <w:szCs w:val="28"/>
          <w:lang w:val="pt-PT"/>
        </w:rPr>
        <w:t>pode adaptá-las em função da natureza e da duração das medidas de vigilância e das sanções alternativas, ou da duração do período de vigilância, que se aplicam, nos termos da legislação do Estado de execução, a infrações equivalentes. A medida de vigilância adaptada, a sanção alternativa ou a duração do período de vigilância devem corresponder, tanto quanto possível, à imposta no Estado de emissão (n.º 1 do Artigo 8.º da DQC).</w:t>
      </w:r>
    </w:p>
    <w:tbl>
      <w:tblPr>
        <w:tblW w:w="9180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0"/>
      </w:tblGrid>
      <w:tr w:rsidR="006856B3" w:rsidRPr="003E5188" w14:paraId="23090928" w14:textId="77777777" w:rsidTr="00B30DB0">
        <w:trPr>
          <w:trHeight w:val="1070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9FA6D" w14:textId="482E4C0F" w:rsidR="006856B3" w:rsidRPr="003E5188" w:rsidRDefault="00246D57" w:rsidP="00A257D5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>Por exemplo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, no Estado de execução,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 xml:space="preserve">a obrigação de prestar serviço comunitário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>não é prestada como uma obrigação numa pena suspensa, sendo ela própria uma sanção ao abrigo da legislação nacional. Neste caso, o Estado de execução também assumirá a supervisão desta obrigação, embora não prevista na legislação nacional, como na legislação do Estado de emissão. Evidentemente, a duração pode ser adaptada ao máximo previsto na legislação nacional, tal como mencionado no exemplo acima.</w:t>
            </w:r>
          </w:p>
        </w:tc>
      </w:tr>
    </w:tbl>
    <w:p w14:paraId="1EDAF88D" w14:textId="0AD3BDCB" w:rsidR="00326B60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Antes de proceder a qualquer adaptação,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a autoridade competente de execução comunica-o à autoridade competente emissora </w:t>
      </w:r>
      <w:r>
        <w:rPr>
          <w:rFonts w:ascii="Times New Roman" w:hAnsi="Times New Roman"/>
          <w:sz w:val="28"/>
          <w:szCs w:val="28"/>
          <w:lang w:val="pt-PT"/>
        </w:rPr>
        <w:t>que pode decidir retirar a certidão referida no n.º 1 do Artigo 6.º, desde que a fiscalização no Estado de execução ainda não tenha sido iniciada. Nesses casos, a decisão será tomada e comunicada o mais rapidamente possível e no prazo de dez dias após a receção da informação.</w:t>
      </w:r>
    </w:p>
    <w:p w14:paraId="6AF93224" w14:textId="63E21DBF" w:rsidR="006856B3" w:rsidRPr="003E5188" w:rsidRDefault="00246D57" w:rsidP="0037236D">
      <w:pPr>
        <w:suppressAutoHyphens w:val="0"/>
        <w:autoSpaceDN/>
        <w:spacing w:after="0"/>
        <w:textAlignment w:val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Problemas relacionados com as despesas (especialmente relacionadas com o tratamento terapêutico)</w:t>
      </w:r>
    </w:p>
    <w:p w14:paraId="7505750D" w14:textId="77777777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lastRenderedPageBreak/>
        <w:t>O Artigo 22.º da DQC prevê que as despesas decorrentes da aplicação da presente decisão-quadro devem ser suportadas pelo Estado de execução, com exceção das despesas incorridas exclusivamente no território do Estado de emissão.</w:t>
      </w:r>
    </w:p>
    <w:p w14:paraId="6D687C2A" w14:textId="161480B8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Nesta situação, quando foi imposta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>uma obrigação de submeter-se a tratamento terapêutico ou a tratamento por dependência</w:t>
      </w:r>
      <w:r>
        <w:rPr>
          <w:rFonts w:ascii="Times New Roman" w:hAnsi="Times New Roman"/>
          <w:sz w:val="28"/>
          <w:szCs w:val="28"/>
          <w:lang w:val="pt-PT"/>
        </w:rPr>
        <w:t>, pode surgir o problema das despesas potenciais para a autoridade competente de execução, especialmente em tratamentos com custos bastante elevados.</w:t>
      </w:r>
    </w:p>
    <w:tbl>
      <w:tblPr>
        <w:tblW w:w="8862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62"/>
      </w:tblGrid>
      <w:tr w:rsidR="006856B3" w:rsidRPr="003E5188" w14:paraId="5B84EAE0" w14:textId="77777777" w:rsidTr="00B30DB0">
        <w:trPr>
          <w:trHeight w:val="1664"/>
        </w:trPr>
        <w:tc>
          <w:tcPr>
            <w:tcW w:w="8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04E9E" w14:textId="77777777" w:rsidR="006856B3" w:rsidRPr="003E5188" w:rsidRDefault="00246D57" w:rsidP="00A257D5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>Esta pode ser uma questão sensível para o Estado de execução, mas tendo em conta a implementação da DQC e os objetivos nela previstos, tal como já mencionado anteriormente, a transferência da supervisão não deve ser posta em relação direta com as despesas potenciais que podem surgir e a decisão de reconhecer e executar não deve ser tomada a pensar nesta questão.</w:t>
            </w:r>
          </w:p>
        </w:tc>
      </w:tr>
    </w:tbl>
    <w:p w14:paraId="700E92DE" w14:textId="528C1AEA" w:rsidR="00E25CD0" w:rsidRPr="003E5188" w:rsidRDefault="00246D57" w:rsidP="00A257D5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pt-PT"/>
        </w:rPr>
        <w:t xml:space="preserve">Q7: </w:t>
      </w:r>
      <w:r>
        <w:rPr>
          <w:rFonts w:ascii="Times New Roman" w:hAnsi="Times New Roman"/>
          <w:color w:val="2F5496" w:themeColor="accent1" w:themeShade="BF"/>
          <w:sz w:val="28"/>
          <w:szCs w:val="28"/>
          <w:lang w:val="pt-PT"/>
        </w:rPr>
        <w:t xml:space="preserve">Quais são os benefícios, neste caso, se a transferência da supervisão for concedida pelas autoridades alemãs competentes? </w:t>
      </w:r>
    </w:p>
    <w:p w14:paraId="7A253AB1" w14:textId="77777777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Melhor perspetiva para a reabilitação social nos EM de execução</w:t>
      </w:r>
    </w:p>
    <w:p w14:paraId="014995CF" w14:textId="77777777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 DQC prevê que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>o reconhecimento mútuo e a fiscalização de penas suspensas, condenações condicionais, sanções alternativas e de liberdade condicional têm por finalidade promover a reinserção social da pessoa condenada, dando-lhe a possibilidade de manter os seus laços familiares, linguísticos, culturais e outros; por outro lado, pretende-se igualmente melhorar o controlo do cumprimento das medidas de vigilância e das sanções alternativas.</w:t>
      </w:r>
    </w:p>
    <w:p w14:paraId="7F04E343" w14:textId="77777777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Melhores hipóteses de não reincidência para a pessoa condenada</w:t>
      </w:r>
    </w:p>
    <w:p w14:paraId="798F82F7" w14:textId="77777777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Ao preservar os laços familiares, linguísticos, culturais e outros laços com o seu país de origem, a pessoa condenada tem mais hipóteses de não reincidir durante o período de vigilância. </w:t>
      </w:r>
    </w:p>
    <w:p w14:paraId="11A02C41" w14:textId="5BCFE0CC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>Está provado que ao preservar tais laços a pessoa condenada tem mais hipóteses de não reincidir e de se reintegrar na sociedade.</w:t>
      </w:r>
    </w:p>
    <w:p w14:paraId="48CE6A17" w14:textId="77777777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Muito mais fácil de supervisionar a pessoa condenada no EM de execução</w:t>
      </w:r>
    </w:p>
    <w:p w14:paraId="029AA34F" w14:textId="102CCA02" w:rsidR="00845209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Ao transferir a supervisão para os EM de execução, o controlo do cumprimento das medidas de vigilância e das sanções alternativas é melhorado. A pessoa condenada tem aí residência legal e habitual, pelo que estará disposta a cooperar a fim de terminar o período de supervisão.</w:t>
      </w:r>
    </w:p>
    <w:p w14:paraId="0177CCF1" w14:textId="77777777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Melhorar a proteção das vítimas e do público em geral</w:t>
      </w:r>
    </w:p>
    <w:p w14:paraId="6BFDF8B7" w14:textId="77777777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Um dos objetivos da DQC é melhorar a proteção das vítimas e do público em geral. Na maioria dos casos, a transferência da supervisão para outro EM significa </w:t>
      </w:r>
      <w:r>
        <w:rPr>
          <w:rFonts w:ascii="Times New Roman" w:hAnsi="Times New Roman"/>
          <w:sz w:val="28"/>
          <w:szCs w:val="28"/>
          <w:lang w:val="pt-PT"/>
        </w:rPr>
        <w:lastRenderedPageBreak/>
        <w:t xml:space="preserve">que a pessoa condenada estará longe da sua vítima, que permanece no EM emissor. </w:t>
      </w:r>
    </w:p>
    <w:p w14:paraId="093B7A0A" w14:textId="77777777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Podem surgir problemas quando a vítima vive no EM de execução, mas mesmo nestes casos, nos crimes graves ou nas obrigações relacionadas com a criminalidade de base do género de não se aproximar das vítimas são fornecidos na sentença inicial e podem ser muito mais facilmente verificados pelas autoridades competentes no EM de execução.</w:t>
      </w:r>
    </w:p>
    <w:p w14:paraId="49C59824" w14:textId="77777777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Além disso, a proteção do público em geral é melhorada porque a pessoa condenada terá laços suficientes com os EM executantes que o ajudarão a reabilitar-se e a reintegrar-se melhor na sociedade.</w:t>
      </w:r>
    </w:p>
    <w:p w14:paraId="3C6A73FF" w14:textId="77777777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Assegurar que a pessoa condenada compensará financeiramente o prejuízo causado pela infração</w:t>
      </w:r>
    </w:p>
    <w:p w14:paraId="5AF0CC16" w14:textId="214E6760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Se a pessoa condenada tiver um emprego ou for provável que o tenha no EM de execução, então terá os meios para compensar financeiramente o prejuízo causado pela infração, tal como exigido na sentença (por exemplo, compensar a vítima ou pagar uma quantia à caridade ou a outras entidades mencionadas na sentença).</w:t>
      </w:r>
    </w:p>
    <w:p w14:paraId="62D248A6" w14:textId="77777777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Além disso, as autoridades competentes dos EM de execução têm acesso e podem verificar os meios da pessoa condenada e podem assegurar que a pessoa condenada compensa financeiramente o prejuízo causado pela infração, tal como previsto na sentença (por exemplo,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>apreender o montante necessário para compensar a causa do prejuízo causado pela infração ou reter uma taxa mensal para cobrir os danos causados</w:t>
      </w:r>
      <w:r>
        <w:rPr>
          <w:rFonts w:ascii="Times New Roman" w:hAnsi="Times New Roman"/>
          <w:sz w:val="28"/>
          <w:szCs w:val="28"/>
          <w:lang w:val="pt-PT"/>
        </w:rPr>
        <w:t>).</w:t>
      </w:r>
    </w:p>
    <w:p w14:paraId="3839EE48" w14:textId="77777777" w:rsidR="006856B3" w:rsidRPr="003E5188" w:rsidRDefault="00246D57" w:rsidP="00A257D5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Reforçar a confiança mútua e a cooperação entre EM para casos futuros</w:t>
      </w:r>
    </w:p>
    <w:p w14:paraId="2177222A" w14:textId="77777777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 cooperação entre EM nos casos abrangidos pela DQC reforçará a confiança mútua para casos futuros. Os casos bem sucedidos encorajarão ainda mais EM a cooperarem no sentido de melhor atingirem os objetivos previstos no Artigo 1.º da DQC, que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>facilitam a reabilitação social das pessoas condenadas, melhorando a proteção das vítimas e do público em geral, e facilitando a aplicação de medidas de vigilância e sanções alternativas adequadas</w:t>
      </w:r>
      <w:r>
        <w:rPr>
          <w:rFonts w:ascii="Times New Roman" w:hAnsi="Times New Roman"/>
          <w:sz w:val="28"/>
          <w:szCs w:val="28"/>
          <w:lang w:val="pt-PT"/>
        </w:rPr>
        <w:t>, no caso dos infratores que não vivam no Estado de condenação</w:t>
      </w:r>
    </w:p>
    <w:p w14:paraId="72666F36" w14:textId="77777777" w:rsidR="006856B3" w:rsidRPr="003E5188" w:rsidRDefault="00322CA4" w:rsidP="00857655">
      <w:pPr>
        <w:suppressAutoHyphens w:val="0"/>
        <w:autoSpaceDN/>
        <w:textAlignment w:val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br w:type="page"/>
      </w:r>
    </w:p>
    <w:p w14:paraId="5EC54F2B" w14:textId="77777777" w:rsidR="00322CA4" w:rsidRPr="003E5188" w:rsidRDefault="00322CA4" w:rsidP="00A257D5">
      <w:pPr>
        <w:jc w:val="both"/>
        <w:rPr>
          <w:rFonts w:ascii="Times New Roman" w:hAnsi="Times New Roman"/>
          <w:b/>
          <w:iCs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pt-PT"/>
        </w:rPr>
        <w:lastRenderedPageBreak/>
        <w:t>A. II. Exercícios:</w:t>
      </w:r>
    </w:p>
    <w:p w14:paraId="57E793D8" w14:textId="21A0AAA4" w:rsidR="006856B3" w:rsidRPr="0037236D" w:rsidRDefault="00246D57" w:rsidP="00A257D5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pt-PT"/>
        </w:rPr>
        <w:t>Encontre as seguintes autoridades competentes de execução e as línguas a utilizar na Certidão (processos penais gerais) – ver ainda o Anexo 2:</w:t>
      </w:r>
    </w:p>
    <w:p w14:paraId="6A1F9AA9" w14:textId="57E08DA3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 fim de encontrar as autoridades competentes, utilizaremos o </w:t>
      </w:r>
      <w:r w:rsidRPr="002E46E4"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Atlas</w:t>
      </w:r>
      <w:r>
        <w:rPr>
          <w:rFonts w:ascii="Times New Roman" w:hAnsi="Times New Roman"/>
          <w:sz w:val="28"/>
          <w:szCs w:val="28"/>
          <w:lang w:val="pt-PT"/>
        </w:rPr>
        <w:t xml:space="preserve"> disponível no sítio Web da RJE – </w:t>
      </w:r>
      <w:hyperlink r:id="rId16" w:history="1">
        <w:r>
          <w:rPr>
            <w:rFonts w:ascii="Times New Roman" w:hAnsi="Times New Roman"/>
            <w:color w:val="0563C1"/>
            <w:sz w:val="28"/>
            <w:szCs w:val="28"/>
            <w:u w:val="single"/>
            <w:lang w:val="pt-PT"/>
          </w:rPr>
          <w:t>www.ejn-crimjust.europa.eu</w:t>
        </w:r>
      </w:hyperlink>
      <w:r>
        <w:rPr>
          <w:rFonts w:ascii="Times New Roman" w:hAnsi="Times New Roman"/>
          <w:sz w:val="28"/>
          <w:szCs w:val="28"/>
          <w:lang w:val="pt-PT"/>
        </w:rPr>
        <w:t xml:space="preserve"> selecionar os EM de execução como países de execução e 904.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 Probation measures</w:t>
      </w: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>(medidas de vigilância).</w:t>
      </w:r>
    </w:p>
    <w:p w14:paraId="33294FAE" w14:textId="2DA27370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Relativamente às línguas para a Certidão, utilizaremos a secção – </w:t>
      </w:r>
      <w:hyperlink r:id="rId17" w:history="1">
        <w:r>
          <w:rPr>
            <w:rStyle w:val="Hiperligao"/>
            <w:rFonts w:ascii="Times New Roman" w:hAnsi="Times New Roman"/>
            <w:sz w:val="28"/>
            <w:szCs w:val="28"/>
            <w:lang w:val="pt-PT"/>
          </w:rPr>
          <w:t>Medidas de Controlo – Notificações para cada um dos EM</w:t>
        </w:r>
      </w:hyperlink>
      <w:r>
        <w:rPr>
          <w:rFonts w:ascii="Times New Roman" w:hAnsi="Times New Roman"/>
          <w:sz w:val="28"/>
          <w:szCs w:val="28"/>
          <w:lang w:val="pt-PT"/>
        </w:rPr>
        <w:t>. Se nada for notificado em relação ao Artigo 21.º da DQC, então será(ão) utilizada(s) a(s) língua(s) oficial(ais) do EM.</w:t>
      </w:r>
    </w:p>
    <w:p w14:paraId="5BA9FE51" w14:textId="2BBF0742" w:rsidR="006856B3" w:rsidRPr="0037236D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Os resultados devem ser os seguintes:</w:t>
      </w:r>
    </w:p>
    <w:p w14:paraId="238E40F2" w14:textId="5CA69628" w:rsidR="00CF3C8E" w:rsidRPr="00E00D02" w:rsidRDefault="001F42CF" w:rsidP="00A257D5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1. Uma autoridade competente alemã quer transferir a supervisão da pessoa condenada A.N. que reside legal e habitualmente em Bruxelas, Bélgica.</w:t>
      </w:r>
    </w:p>
    <w:tbl>
      <w:tblPr>
        <w:tblW w:w="9090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90"/>
      </w:tblGrid>
      <w:tr w:rsidR="006856B3" w:rsidRPr="003E5188" w14:paraId="05CBD27C" w14:textId="77777777" w:rsidTr="00B30DB0">
        <w:trPr>
          <w:trHeight w:val="800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E3D63" w14:textId="77777777" w:rsidR="006856B3" w:rsidRPr="0091364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Nome: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Parket van de procureur des Konings te Brussel (Bureau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CIS)- Parquet du procureur du Roi de Bruxelles (Bureau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CIS) </w:t>
            </w:r>
          </w:p>
          <w:p w14:paraId="7165BEA7" w14:textId="77777777" w:rsidR="006856B3" w:rsidRPr="0091364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Morada: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Portalis, Rue des Quatre bras, 4 </w:t>
            </w:r>
          </w:p>
          <w:p w14:paraId="674FF5A4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 xml:space="preserve">Departamento (Divisão): </w:t>
            </w:r>
          </w:p>
          <w:p w14:paraId="018F80DB" w14:textId="2CD9099E" w:rsidR="006856B3" w:rsidRPr="003E5188" w:rsidRDefault="00246D57" w:rsidP="002E46E4">
            <w:pPr>
              <w:tabs>
                <w:tab w:val="left" w:pos="216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 xml:space="preserve">Cidade: 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Bruxelas </w:t>
            </w:r>
          </w:p>
          <w:p w14:paraId="794EF0BA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 xml:space="preserve">Código postal: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1000 </w:t>
            </w:r>
          </w:p>
          <w:p w14:paraId="6475FEFD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Número de telefone: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+32 (0)2 508 70 80 </w:t>
            </w:r>
          </w:p>
          <w:p w14:paraId="1DC41930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 xml:space="preserve">Telemóvel: </w:t>
            </w:r>
          </w:p>
          <w:p w14:paraId="070701C9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Número de fax: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+32 (0)2 519 82 96 </w:t>
            </w:r>
          </w:p>
          <w:p w14:paraId="32DC2A1A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Endereço de Correio Eletrónico: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lang w:val="pt-PT"/>
              </w:rPr>
              <w:tab/>
            </w:r>
            <w:hyperlink r:id="rId18" w:history="1">
              <w:r>
                <w:rPr>
                  <w:rStyle w:val="Hiperligao"/>
                  <w:rFonts w:ascii="Times New Roman" w:hAnsi="Times New Roman"/>
                  <w:sz w:val="28"/>
                  <w:szCs w:val="28"/>
                  <w:lang w:val="pt-PT"/>
                </w:rPr>
                <w:t>cis.bxl@just.fgov.be</w:t>
              </w:r>
            </w:hyperlink>
          </w:p>
          <w:p w14:paraId="4347F61F" w14:textId="77777777" w:rsidR="006856B3" w:rsidRPr="003E5188" w:rsidRDefault="006856B3" w:rsidP="00A257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AB9D276" w14:textId="390718E8" w:rsidR="006856B3" w:rsidRPr="003E5188" w:rsidRDefault="00246D57" w:rsidP="00A257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De acordo com o Artigo 21.º da DQC, as línguas aceites pelas autoridades belgas são: </w:t>
            </w:r>
            <w:r w:rsidR="002E46E4">
              <w:rPr>
                <w:rFonts w:ascii="Times New Roman" w:hAnsi="Times New Roman"/>
                <w:b/>
                <w:bCs/>
                <w:sz w:val="28"/>
                <w:szCs w:val="28"/>
                <w:lang w:val="pt-PT"/>
              </w:rPr>
              <w:t>ho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pt-PT"/>
              </w:rPr>
              <w:t>landês, francês, alemão e inglês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>.</w:t>
            </w:r>
          </w:p>
        </w:tc>
      </w:tr>
    </w:tbl>
    <w:p w14:paraId="77569BD0" w14:textId="77777777" w:rsidR="00070BEA" w:rsidRPr="003E5188" w:rsidRDefault="00070BEA" w:rsidP="00A257D5">
      <w:pPr>
        <w:suppressAutoHyphens w:val="0"/>
        <w:autoSpaceDN/>
        <w:textAlignment w:val="auto"/>
        <w:rPr>
          <w:rFonts w:ascii="Times New Roman" w:hAnsi="Times New Roman"/>
          <w:sz w:val="28"/>
          <w:szCs w:val="28"/>
        </w:rPr>
      </w:pPr>
    </w:p>
    <w:p w14:paraId="50A46050" w14:textId="77777777" w:rsidR="00E00D02" w:rsidRDefault="00E00D02">
      <w:pPr>
        <w:suppressAutoHyphens w:val="0"/>
        <w:autoSpaceDN/>
        <w:spacing w:after="0"/>
        <w:textAlignment w:val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br w:type="page"/>
      </w:r>
    </w:p>
    <w:p w14:paraId="72C56119" w14:textId="3F5DD402" w:rsidR="00E00D02" w:rsidRPr="003E5188" w:rsidRDefault="00070BEA" w:rsidP="00A257D5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lastRenderedPageBreak/>
        <w:t>2.  Uma autoridade competente francesa quer transferir a supervisão da pessoa condenada B.C. que reside legal e habitualmente em Vigo, Espanha.</w:t>
      </w:r>
    </w:p>
    <w:tbl>
      <w:tblPr>
        <w:tblW w:w="9090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90"/>
      </w:tblGrid>
      <w:tr w:rsidR="006856B3" w:rsidRPr="003E5188" w14:paraId="11BF78E9" w14:textId="77777777" w:rsidTr="00326B60">
        <w:trPr>
          <w:trHeight w:val="3383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AFDA3" w14:textId="77777777" w:rsidR="006856B3" w:rsidRPr="0091364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Nome: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Servicio Común de Registro, (para el reparto entre los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Juzgados Centrales de lo Penal) </w:t>
            </w:r>
          </w:p>
          <w:p w14:paraId="21510BF1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Morada: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Goya 14 </w:t>
            </w:r>
          </w:p>
          <w:p w14:paraId="3D43D918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 xml:space="preserve">Departamento (Divisão): </w:t>
            </w:r>
          </w:p>
          <w:p w14:paraId="6EEC3E90" w14:textId="25F1CE56" w:rsidR="006856B3" w:rsidRPr="003E5188" w:rsidRDefault="00246D57" w:rsidP="002E46E4">
            <w:pPr>
              <w:tabs>
                <w:tab w:val="left" w:pos="2019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 xml:space="preserve">Cidade: 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Madrid </w:t>
            </w:r>
          </w:p>
          <w:p w14:paraId="78291A23" w14:textId="77777777" w:rsidR="006856B3" w:rsidRPr="0091364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Código postal: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28071 </w:t>
            </w:r>
          </w:p>
          <w:p w14:paraId="5BDCAC6C" w14:textId="77777777" w:rsidR="006856B3" w:rsidRPr="0091364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Número de telefone: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(+34) 91.400.62.13/26/25 </w:t>
            </w:r>
          </w:p>
          <w:p w14:paraId="3BCF80E1" w14:textId="77777777" w:rsidR="006856B3" w:rsidRPr="00913648" w:rsidRDefault="00246D57" w:rsidP="00326B60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 xml:space="preserve">Telemóvel: </w:t>
            </w:r>
          </w:p>
          <w:p w14:paraId="229002D2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Número de fax: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(+34) 91.400.72.34/35 </w:t>
            </w:r>
          </w:p>
          <w:p w14:paraId="09C8E5EB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Endereço de Correio Eletrónico: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lang w:val="pt-PT"/>
              </w:rPr>
              <w:tab/>
            </w:r>
            <w:hyperlink r:id="rId19" w:history="1">
              <w:r>
                <w:rPr>
                  <w:rStyle w:val="Hiperligao"/>
                  <w:rFonts w:ascii="Times New Roman" w:hAnsi="Times New Roman"/>
                  <w:sz w:val="28"/>
                  <w:szCs w:val="28"/>
                  <w:lang w:val="pt-PT"/>
                </w:rPr>
                <w:t>audiencianacional.scrrda@justicia.es</w:t>
              </w:r>
            </w:hyperlink>
          </w:p>
          <w:p w14:paraId="7B29219D" w14:textId="77777777" w:rsidR="006856B3" w:rsidRPr="003E5188" w:rsidRDefault="006856B3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3FB7B8B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De acordo com o Artigo 21.º da DQC, a língua aceite pelas autoridades espanholas é o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pt-PT"/>
              </w:rPr>
              <w:t>espanhol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>.</w:t>
            </w:r>
          </w:p>
        </w:tc>
      </w:tr>
    </w:tbl>
    <w:p w14:paraId="51B0F2F0" w14:textId="7DDB649A" w:rsidR="00070BEA" w:rsidRPr="0037236D" w:rsidRDefault="00070BEA" w:rsidP="00A257D5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>3. Uma autoridade competente espanhola quer transferir a supervisão da pessoa condenada M.M. que reside legalmente e habitualmente em Viena, Áustria.</w:t>
      </w:r>
    </w:p>
    <w:tbl>
      <w:tblPr>
        <w:tblW w:w="9090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90"/>
      </w:tblGrid>
      <w:tr w:rsidR="006856B3" w:rsidRPr="003E5188" w14:paraId="04A137DA" w14:textId="77777777" w:rsidTr="00326B60">
        <w:trPr>
          <w:trHeight w:val="1340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4C3A6" w14:textId="64AF739C" w:rsidR="006856B3" w:rsidRPr="0091364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Nome: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Staatsanwaltschaft Vienna </w:t>
            </w:r>
          </w:p>
          <w:p w14:paraId="10B25E58" w14:textId="77777777" w:rsidR="006856B3" w:rsidRPr="0091364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Morada: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Landesgerichtsstraße 11 </w:t>
            </w:r>
          </w:p>
          <w:p w14:paraId="25DA21CC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 xml:space="preserve">Departamento (Divisão): </w:t>
            </w:r>
          </w:p>
          <w:p w14:paraId="3C4F620E" w14:textId="7E045180" w:rsidR="006856B3" w:rsidRPr="003E5188" w:rsidRDefault="00246D57" w:rsidP="002E46E4">
            <w:pPr>
              <w:tabs>
                <w:tab w:val="left" w:pos="216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Cidade: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Viena </w:t>
            </w:r>
          </w:p>
          <w:p w14:paraId="4C718FD9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Código postal: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1082 </w:t>
            </w:r>
          </w:p>
          <w:p w14:paraId="3BA84CBA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Número de telefone: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+43 1 40127 0 </w:t>
            </w:r>
          </w:p>
          <w:p w14:paraId="42944DB1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 xml:space="preserve">Telemóvel: </w:t>
            </w:r>
          </w:p>
          <w:p w14:paraId="4E755C23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Número de fax:</w:t>
            </w:r>
            <w:r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ab/>
              <w:t xml:space="preserve">+43 1 40127 306950 </w:t>
            </w:r>
          </w:p>
          <w:p w14:paraId="075C8695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  <w:lang w:val="pt-PT"/>
              </w:rPr>
              <w:t>Correio Eletrónico:</w:t>
            </w:r>
          </w:p>
          <w:p w14:paraId="03A3A9C5" w14:textId="77777777" w:rsidR="006856B3" w:rsidRPr="003E5188" w:rsidRDefault="006856B3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8B4A16A" w14:textId="77777777" w:rsidR="006856B3" w:rsidRPr="003E5188" w:rsidRDefault="00246D57" w:rsidP="00326B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Nos termos do Artigo 21.º da DQC, deve ser anexada à certidão uma tradução para alemão. As certidões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pt-PT"/>
              </w:rPr>
              <w:t>noutras línguas são aceites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 com base na reciprocidade, ou seja, na condição de que o Estado emissor também aceite certidões em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pt-PT"/>
              </w:rPr>
              <w:t xml:space="preserve">alemão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>como Estado de execução.</w:t>
            </w:r>
          </w:p>
        </w:tc>
      </w:tr>
    </w:tbl>
    <w:p w14:paraId="37E85F97" w14:textId="77777777" w:rsidR="00070BEA" w:rsidRPr="003E5188" w:rsidRDefault="00070BEA" w:rsidP="00A257D5">
      <w:pPr>
        <w:jc w:val="both"/>
        <w:rPr>
          <w:rFonts w:ascii="Times New Roman" w:hAnsi="Times New Roman"/>
          <w:i/>
          <w:iCs/>
          <w:sz w:val="28"/>
          <w:szCs w:val="28"/>
        </w:rPr>
      </w:pPr>
    </w:p>
    <w:p w14:paraId="68A802F0" w14:textId="77777777" w:rsidR="006856B3" w:rsidRPr="003E5188" w:rsidRDefault="00070BEA" w:rsidP="00A257D5">
      <w:pPr>
        <w:suppressAutoHyphens w:val="0"/>
        <w:autoSpaceDN/>
        <w:textAlignment w:val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br w:type="page"/>
      </w:r>
    </w:p>
    <w:p w14:paraId="71161BFA" w14:textId="13CB5937" w:rsidR="006856B3" w:rsidRPr="0037236D" w:rsidRDefault="00070BEA" w:rsidP="00A257D5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pt-PT"/>
        </w:rPr>
        <w:lastRenderedPageBreak/>
        <w:t>A. III. Cenário de Caso 2:</w:t>
      </w:r>
    </w:p>
    <w:p w14:paraId="783C2E44" w14:textId="77777777" w:rsidR="006856B3" w:rsidRPr="003E5188" w:rsidRDefault="00246D57" w:rsidP="00A257D5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pt-PT"/>
        </w:rPr>
        <w:t>Q1:</w:t>
      </w:r>
      <w:r>
        <w:rPr>
          <w:rFonts w:ascii="Times New Roman" w:hAnsi="Times New Roman"/>
          <w:color w:val="2F5496" w:themeColor="accent1" w:themeShade="BF"/>
          <w:sz w:val="28"/>
          <w:szCs w:val="28"/>
          <w:lang w:val="pt-PT"/>
        </w:rPr>
        <w:t xml:space="preserve"> Qual é a lei aplicável durante o período de supervisão? </w:t>
      </w:r>
    </w:p>
    <w:p w14:paraId="37C7EF00" w14:textId="3DE0A9FB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Logo que a autoridade competente do Estado de execução tenha reconhecido a sentença e, se for caso disso, a decisão relativa à liberdade condicional que lhe foi transmitida e tenha informado a autoridade competente do Estado de emissão desse reconhecimento,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o Estado de emissão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deixa de ter competência em relação à fiscalização das medidas de vigilância ou sanções alternativas impostas, nem para tomar as medidas subsequentes a que se refere o n.º 1 do Artigo 14</w:t>
      </w:r>
      <w:r>
        <w:rPr>
          <w:rFonts w:ascii="Times New Roman" w:hAnsi="Times New Roman"/>
          <w:sz w:val="28"/>
          <w:szCs w:val="28"/>
          <w:lang w:val="pt-PT"/>
        </w:rPr>
        <w:t>.º.</w:t>
      </w:r>
    </w:p>
    <w:p w14:paraId="0C11AD19" w14:textId="7B2A46E7" w:rsidR="006856B3" w:rsidRPr="0037236D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Nos termos do Artigo 13.º da DQC, a fiscalização e a aplicação de medidas de vigilância e sanções alternativas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serão regidas pela lei do Estado de execução </w:t>
      </w:r>
      <w:r>
        <w:rPr>
          <w:rFonts w:ascii="Times New Roman" w:hAnsi="Times New Roman"/>
          <w:sz w:val="28"/>
          <w:szCs w:val="28"/>
          <w:lang w:val="pt-PT"/>
        </w:rPr>
        <w:t>(lei alemã neste caso).</w:t>
      </w:r>
    </w:p>
    <w:p w14:paraId="1D2A3DEC" w14:textId="77777777" w:rsidR="006856B3" w:rsidRPr="003E5188" w:rsidRDefault="00246D57" w:rsidP="00A257D5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pt-PT"/>
        </w:rPr>
        <w:t>Q2:</w:t>
      </w:r>
      <w:r>
        <w:rPr>
          <w:rFonts w:ascii="Times New Roman" w:hAnsi="Times New Roman"/>
          <w:color w:val="2F5496" w:themeColor="accent1" w:themeShade="BF"/>
          <w:sz w:val="28"/>
          <w:szCs w:val="28"/>
          <w:lang w:val="pt-PT"/>
        </w:rPr>
        <w:t xml:space="preserve"> Como irão as autoridades alemãs proceder relativamente à violação de uma das obrigações impostas à pessoa condenada? </w:t>
      </w:r>
    </w:p>
    <w:p w14:paraId="78965628" w14:textId="77777777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A DQC prevê no Artigo 14.º que a jurisdição é a de tomar todas as decisões subsequentes e a lei aplicável em caso de incumprimento de uma medida de vigilância ou sanção alternativa ou se a pessoa condenada cometer uma nova infração penal.</w:t>
      </w:r>
    </w:p>
    <w:p w14:paraId="3A742B0D" w14:textId="42D5CBC2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n.º 3 do Artigo 14.º corroborado pelo n.º 1 </w:t>
      </w:r>
      <w:r>
        <w:rPr>
          <w:rFonts w:ascii="Times New Roman" w:hAnsi="Times New Roman"/>
          <w:sz w:val="28"/>
          <w:szCs w:val="28"/>
          <w:lang w:val="pt-PT"/>
        </w:rPr>
        <w:t xml:space="preserve">prevê que cada Estado-Membro pode, no momento da adoção da presente decisão-quadro ou numa fase posterior, declarar que, enquanto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Estado de execução, recusará assumir a responsabilidade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pela revogação da suspensão da execução da sentença ou pela revogação da liberdade condicional </w:t>
      </w:r>
      <w:r>
        <w:rPr>
          <w:rFonts w:ascii="Times New Roman" w:hAnsi="Times New Roman"/>
          <w:sz w:val="28"/>
          <w:szCs w:val="28"/>
          <w:lang w:val="pt-PT"/>
        </w:rPr>
        <w:t>ou imposição de uma pena ou medida privativa de liberdade em caso de sanção alternativa ou de pena condicional em casos ou categorias de casos a especificar por esse Estado-Membro (especialmente nos casos relativos a uma sanção alternativa), quando a sentença não contenha uma pena ou medida privativa de liberdade a ser executada em caso de incumprimento das obrigações ou instruções em causa; nos casos relativos a uma pena condicional ou nos casos em que a sentença diga respeito a atos que não constituam uma infração nos termos da lei do Estado de execução, quaisquer que sejam os seus elementos constitutivos ou qualquer que seja a sua descrição).</w:t>
      </w:r>
    </w:p>
    <w:p w14:paraId="15A46891" w14:textId="77777777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Porque neste caso a pessoa condenada violou uma das suas obrigações, está em causa a revogação da suspensão da execução da sentença.</w:t>
      </w:r>
    </w:p>
    <w:p w14:paraId="5F4C4A28" w14:textId="1EF6AB78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As autoridades alemãs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têm de verificar como a Alemanha implementou o n.º 3 do Artigo 14.º da DQC</w:t>
      </w:r>
      <w:r>
        <w:rPr>
          <w:rFonts w:ascii="Times New Roman" w:hAnsi="Times New Roman"/>
          <w:sz w:val="28"/>
          <w:szCs w:val="28"/>
          <w:lang w:val="pt-PT"/>
        </w:rPr>
        <w:t>, respetivamente, se as autoridades alemãs assumiram a responsabilidade pela revogação subsequente, como neste caso.</w:t>
      </w:r>
    </w:p>
    <w:tbl>
      <w:tblPr>
        <w:tblW w:w="9000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0"/>
      </w:tblGrid>
      <w:tr w:rsidR="006856B3" w:rsidRPr="003E5188" w14:paraId="1A2F4D4E" w14:textId="77777777" w:rsidTr="00326B60">
        <w:trPr>
          <w:trHeight w:val="857"/>
        </w:trPr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5C550" w14:textId="04F7B042" w:rsidR="006856B3" w:rsidRPr="00E00D02" w:rsidRDefault="00246D57" w:rsidP="00E00D02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lastRenderedPageBreak/>
              <w:t xml:space="preserve">No sítio Web da RJE encontram-se </w:t>
            </w:r>
            <w:hyperlink r:id="rId20" w:history="1">
              <w:r>
                <w:rPr>
                  <w:rStyle w:val="Hiperligao"/>
                  <w:rFonts w:ascii="Times New Roman" w:hAnsi="Times New Roman"/>
                  <w:sz w:val="28"/>
                  <w:szCs w:val="28"/>
                  <w:lang w:val="pt-PT"/>
                </w:rPr>
                <w:t>todas as informações relativas às notificações feitas a cada um dos EM</w:t>
              </w:r>
            </w:hyperlink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 em relação a algumas das disposições da DQC, incluindo o n.º 3 do Artigo 14.º. </w:t>
            </w:r>
          </w:p>
        </w:tc>
      </w:tr>
    </w:tbl>
    <w:p w14:paraId="0176D510" w14:textId="77777777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No que diz respeito ao n.º 3 do Artigo 14.º, constata-se que: </w:t>
      </w:r>
    </w:p>
    <w:p w14:paraId="46D88321" w14:textId="77777777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A República Federal da Alemanha </w:t>
      </w: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>recusa-se a assumir a responsabilidade pelas decisões subsequentes previstas nas alíneas b) e c) do n.º 1 do Artigo 14.º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 da Decisão-Quadro nos </w:t>
      </w:r>
      <w:r>
        <w:rPr>
          <w:rFonts w:ascii="Times New Roman" w:hAnsi="Times New Roman"/>
          <w:b/>
          <w:bCs/>
          <w:i/>
          <w:iCs/>
          <w:sz w:val="28"/>
          <w:szCs w:val="28"/>
          <w:lang w:val="pt-PT"/>
        </w:rPr>
        <w:t xml:space="preserve">casos mencionados nas alíneas a), b) e c) do n.º 3 do Artigo 14.º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>da Decisão-Quadro.</w:t>
      </w:r>
    </w:p>
    <w:p w14:paraId="7B2B6B4B" w14:textId="5E88516F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Neste caso, sendo uma pena suspensa, os casos do n.º 3, alíneas a) e b), do Artigo 14.º não são aplicáveis, pelo que a única coisa que precisa de ser verificada é o caso do n.º 3, alínea c), do Artigo 14.º, respetivamente, se a sentença suspensa disser respeito a atos que não constituam uma infração nos termos da lei alemã, quaisquer que sejam os seus elementos constitutivos ou qualquer que seja a sua descrição.</w:t>
      </w:r>
    </w:p>
    <w:p w14:paraId="4BC00D8A" w14:textId="23A663AB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 </w:t>
      </w:r>
      <w:r>
        <w:rPr>
          <w:rFonts w:ascii="Times New Roman" w:hAnsi="Times New Roman"/>
          <w:sz w:val="28"/>
          <w:szCs w:val="28"/>
          <w:lang w:val="pt-PT"/>
        </w:rPr>
        <w:t xml:space="preserve">-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>Se se tratar de uma infração de direito alemão</w:t>
      </w:r>
      <w:r>
        <w:rPr>
          <w:rFonts w:ascii="Times New Roman" w:hAnsi="Times New Roman"/>
          <w:sz w:val="28"/>
          <w:szCs w:val="28"/>
          <w:lang w:val="pt-PT"/>
        </w:rPr>
        <w:t xml:space="preserve">, as autoridades alemãs competentes podem, de acordo com as </w:t>
      </w:r>
      <w:r>
        <w:rPr>
          <w:rFonts w:ascii="Times New Roman" w:hAnsi="Times New Roman"/>
          <w:sz w:val="28"/>
          <w:szCs w:val="28"/>
          <w:u w:val="single"/>
          <w:lang w:val="pt-PT"/>
        </w:rPr>
        <w:t>disposições nacionais aplicáveis neste tipo de situações</w:t>
      </w:r>
      <w:r>
        <w:rPr>
          <w:rFonts w:ascii="Times New Roman" w:hAnsi="Times New Roman"/>
          <w:sz w:val="28"/>
          <w:szCs w:val="28"/>
          <w:lang w:val="pt-PT"/>
        </w:rPr>
        <w:t>, revogar a suspensão da execução da decisão e impor uma sanção (normalmente uma pena privativa de liberdade).</w:t>
      </w:r>
    </w:p>
    <w:p w14:paraId="21D43330" w14:textId="5F01E8DE" w:rsidR="006856B3" w:rsidRPr="003E5188" w:rsidRDefault="00246D57" w:rsidP="00A257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Nos casos em que tenha competência para tomar decisões subsequentes, a autoridade competente do Estado de execução </w:t>
      </w:r>
      <w:r>
        <w:rPr>
          <w:rFonts w:ascii="Times New Roman" w:hAnsi="Times New Roman"/>
          <w:sz w:val="28"/>
          <w:szCs w:val="28"/>
          <w:u w:val="single"/>
          <w:lang w:val="pt-PT"/>
        </w:rPr>
        <w:t xml:space="preserve">deve informar sem demora </w:t>
      </w:r>
      <w:r>
        <w:rPr>
          <w:rFonts w:ascii="Times New Roman" w:hAnsi="Times New Roman"/>
          <w:sz w:val="28"/>
          <w:szCs w:val="28"/>
          <w:lang w:val="pt-PT"/>
        </w:rPr>
        <w:t>a autoridade competente do Estado de emissão, por qualquer meio que deixe registo escrito, da decisão sobre a revogação da suspensão da execução da sentença (n.º 1 do Artigo 16.º da DQC).</w:t>
      </w:r>
    </w:p>
    <w:p w14:paraId="64BC79EC" w14:textId="138D917E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-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>Se não se tratar de uma infração nos termos do direito alemão</w:t>
      </w:r>
      <w:r>
        <w:rPr>
          <w:rFonts w:ascii="Times New Roman" w:hAnsi="Times New Roman"/>
          <w:sz w:val="28"/>
          <w:szCs w:val="28"/>
          <w:lang w:val="pt-PT"/>
        </w:rPr>
        <w:t xml:space="preserve">, as autoridades alemãs competentes procederão em conformidade com 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n.º 4 do Artigo 14.º da DQC</w:t>
      </w:r>
      <w:r>
        <w:rPr>
          <w:rFonts w:ascii="Times New Roman" w:hAnsi="Times New Roman"/>
          <w:sz w:val="28"/>
          <w:szCs w:val="28"/>
          <w:lang w:val="pt-PT"/>
        </w:rPr>
        <w:t xml:space="preserve">, que estabelece que quando um Estado-Membro utiliza qualquer das possibilidades referidas no n.º 3, a autoridade competente do Estado de execução </w:t>
      </w:r>
      <w:r>
        <w:rPr>
          <w:rFonts w:ascii="Times New Roman" w:hAnsi="Times New Roman"/>
          <w:i/>
          <w:iCs/>
          <w:sz w:val="28"/>
          <w:szCs w:val="28"/>
          <w:u w:val="single"/>
          <w:lang w:val="pt-PT"/>
        </w:rPr>
        <w:t xml:space="preserve">transferirá de novo a competência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para a autoridade competente do Estado de emissão em caso de incumprimento de uma medida de vigilância ou sanção alternativa </w:t>
      </w:r>
      <w:bookmarkStart w:id="5" w:name="_Hlk34212852"/>
      <w:r>
        <w:rPr>
          <w:rFonts w:ascii="Times New Roman" w:hAnsi="Times New Roman"/>
          <w:sz w:val="28"/>
          <w:szCs w:val="28"/>
          <w:lang w:val="pt-PT"/>
        </w:rPr>
        <w:t xml:space="preserve">se a autoridade competente do Estado de execução </w:t>
      </w:r>
      <w:r>
        <w:rPr>
          <w:rFonts w:ascii="Times New Roman" w:hAnsi="Times New Roman"/>
          <w:sz w:val="28"/>
          <w:szCs w:val="28"/>
          <w:u w:val="single"/>
          <w:lang w:val="pt-PT"/>
        </w:rPr>
        <w:t>considerar</w:t>
      </w:r>
      <w:bookmarkEnd w:id="5"/>
      <w:r>
        <w:rPr>
          <w:rFonts w:ascii="Times New Roman" w:hAnsi="Times New Roman"/>
          <w:sz w:val="28"/>
          <w:szCs w:val="28"/>
          <w:u w:val="single"/>
          <w:lang w:val="pt-PT"/>
        </w:rPr>
        <w:t xml:space="preserve"> que é necessário</w:t>
      </w:r>
      <w:r w:rsidRPr="002E46E4">
        <w:rPr>
          <w:rFonts w:ascii="Times New Roman" w:hAnsi="Times New Roman"/>
          <w:sz w:val="28"/>
          <w:szCs w:val="28"/>
          <w:lang w:val="pt-PT"/>
        </w:rPr>
        <w:t xml:space="preserve"> tomar uma decisão subsequente, tal como referido nas alíneas b) ou c) do n.º 1.</w:t>
      </w:r>
    </w:p>
    <w:p w14:paraId="2D9E497F" w14:textId="34866F52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Ao utilizar a redação – se a autoridade competente do Estado de execução </w:t>
      </w:r>
      <w:r>
        <w:rPr>
          <w:rFonts w:ascii="Times New Roman" w:hAnsi="Times New Roman"/>
          <w:i/>
          <w:iCs/>
          <w:sz w:val="28"/>
          <w:szCs w:val="28"/>
          <w:u w:val="single"/>
          <w:lang w:val="pt-PT"/>
        </w:rPr>
        <w:t>for da opinião</w:t>
      </w:r>
      <w:r>
        <w:rPr>
          <w:rFonts w:ascii="Times New Roman" w:hAnsi="Times New Roman"/>
          <w:sz w:val="28"/>
          <w:szCs w:val="28"/>
          <w:lang w:val="pt-PT"/>
        </w:rPr>
        <w:t xml:space="preserve">... – a disposição acima referida deixa a decisão de pedir a transferência de volta para a jurisdição do EM emissor nas mãos da autoridade competente do Estado de execução. Isto significa que a autoridade competente de execução terá de avaliar a violação de </w:t>
      </w:r>
      <w:r>
        <w:rPr>
          <w:rFonts w:ascii="Times New Roman" w:hAnsi="Times New Roman"/>
          <w:sz w:val="28"/>
          <w:szCs w:val="28"/>
          <w:u w:val="single"/>
          <w:lang w:val="pt-PT"/>
        </w:rPr>
        <w:t xml:space="preserve">acordo com a legislação nacional </w:t>
      </w:r>
      <w:r>
        <w:rPr>
          <w:rFonts w:ascii="Times New Roman" w:hAnsi="Times New Roman"/>
          <w:sz w:val="28"/>
          <w:szCs w:val="28"/>
          <w:lang w:val="pt-PT"/>
        </w:rPr>
        <w:t>(o mesmo que num caso nacional).</w:t>
      </w:r>
    </w:p>
    <w:p w14:paraId="54C6BD16" w14:textId="46E9A519" w:rsidR="006856B3" w:rsidRPr="0037236D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lastRenderedPageBreak/>
        <w:t>Se a autoridade competente do Estado de emissão tiver competência para as decisões subsequentes mencionadas no n.º 1 do Artigo 14.º, nos termos da aplicação do n.º 3 do Artigo 14.º, a autoridade competente do Estado de execução notificá-la-á imediatamente de qualquer constatação suscetível de implicar a revogação da suspensão da execução da sentença</w:t>
      </w:r>
      <w:r>
        <w:rPr>
          <w:rFonts w:ascii="Times New Roman" w:hAnsi="Times New Roman"/>
          <w:b/>
          <w:bCs/>
          <w:sz w:val="28"/>
          <w:szCs w:val="28"/>
          <w:u w:val="single"/>
          <w:lang w:val="pt-PT"/>
        </w:rPr>
        <w:t xml:space="preserve">, utilizando o formulário constante do Anexo II da DQC </w:t>
      </w:r>
      <w:r>
        <w:rPr>
          <w:rFonts w:ascii="Times New Roman" w:hAnsi="Times New Roman"/>
          <w:sz w:val="28"/>
          <w:szCs w:val="28"/>
          <w:lang w:val="pt-PT"/>
        </w:rPr>
        <w:t>(n.º 1 do Artigo 17.º da DQC).</w:t>
      </w:r>
    </w:p>
    <w:tbl>
      <w:tblPr>
        <w:tblW w:w="8910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10"/>
      </w:tblGrid>
      <w:tr w:rsidR="006856B3" w:rsidRPr="003E5188" w14:paraId="0AA20EFC" w14:textId="77777777" w:rsidTr="00326B60">
        <w:trPr>
          <w:trHeight w:val="3336"/>
        </w:trPr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0E0BD" w14:textId="2D7E1ABF" w:rsidR="006856B3" w:rsidRPr="003E5188" w:rsidRDefault="00246D57" w:rsidP="00A257D5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Se, nos termos da legislação nacional do Estado de emissão, a pessoa condenada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pt-PT"/>
              </w:rPr>
              <w:t>tiver de ser ouvida antes de ser tomada uma decisão sobre a imposição de uma pena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, esta exigência pode ser satisfeita seguindo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 xml:space="preserve">mutatis mutandis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>o procedimento contido nos instrumentos de direito internacional ou da União Europeia que preveem a possibilidade de utilizar ligações vídeo para a audição de pessoas (n.º 4 do Artigo 17.º da DQC).</w:t>
            </w:r>
          </w:p>
          <w:p w14:paraId="24CA9425" w14:textId="0C6F8641" w:rsidR="006856B3" w:rsidRPr="003E5188" w:rsidRDefault="00246D57" w:rsidP="00A257D5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Neste caso, as autoridades romenas podem ouvir a pessoa condenada por videoconferência, utilizando uma Decisão Europeia de Investigação (DEI), uma vez que ambos os EM 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val="pt-PT"/>
              </w:rPr>
              <w:t>transpuseram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 xml:space="preserve"> </w:t>
            </w:r>
            <w:bookmarkStart w:id="6" w:name="_Hlk32923245"/>
            <w:r>
              <w:rPr>
                <w:rFonts w:ascii="Times New Roman" w:hAnsi="Times New Roman"/>
                <w:sz w:val="28"/>
                <w:szCs w:val="28"/>
                <w:lang w:val="pt-PT"/>
              </w:rPr>
              <w:t>a Diretiva 2014/41/UE do Parlamento Europeu e do Conselho de 3 de Abril de 2014 relativa à decisão europeia de investigação em matéria penal.</w:t>
            </w:r>
            <w:bookmarkEnd w:id="6"/>
          </w:p>
        </w:tc>
      </w:tr>
    </w:tbl>
    <w:p w14:paraId="69CDEEC8" w14:textId="77777777" w:rsidR="006856B3" w:rsidRPr="003E5188" w:rsidRDefault="00246D57" w:rsidP="00A257D5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pt-PT"/>
        </w:rPr>
        <w:t>Q3:</w:t>
      </w:r>
      <w:r>
        <w:rPr>
          <w:rFonts w:ascii="Times New Roman" w:hAnsi="Times New Roman"/>
          <w:color w:val="2F5496" w:themeColor="accent1" w:themeShade="BF"/>
          <w:sz w:val="28"/>
          <w:szCs w:val="28"/>
          <w:lang w:val="pt-PT"/>
        </w:rPr>
        <w:t xml:space="preserve"> O que acontecerá se a pessoa condenada for confrontada com um novo processo penal no EM emissor? </w:t>
      </w:r>
    </w:p>
    <w:p w14:paraId="1C4E52D6" w14:textId="5403F346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>O n.º 2 do Artigo 20.º da DQC prevê que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, se estiver em curso no Estado de emissão um novo processo penal contra a pessoa em causa</w:t>
      </w:r>
      <w:r>
        <w:rPr>
          <w:rFonts w:ascii="Times New Roman" w:hAnsi="Times New Roman"/>
          <w:sz w:val="28"/>
          <w:szCs w:val="28"/>
          <w:lang w:val="pt-PT"/>
        </w:rPr>
        <w:t xml:space="preserve">, a autoridade competente do Estado de emissão </w:t>
      </w:r>
      <w:r>
        <w:rPr>
          <w:rFonts w:ascii="Times New Roman" w:hAnsi="Times New Roman"/>
          <w:i/>
          <w:iCs/>
          <w:sz w:val="28"/>
          <w:szCs w:val="28"/>
          <w:u w:val="single"/>
          <w:lang w:val="pt-PT"/>
        </w:rPr>
        <w:t xml:space="preserve">pode solicitar </w:t>
      </w:r>
      <w:r>
        <w:rPr>
          <w:rFonts w:ascii="Times New Roman" w:hAnsi="Times New Roman"/>
          <w:sz w:val="28"/>
          <w:szCs w:val="28"/>
          <w:lang w:val="pt-PT"/>
        </w:rPr>
        <w:t xml:space="preserve">à autoridade competente do Estado de execução que transfira a jurisdição em matéria de fiscalização das medidas de vigilância ou sanções alternativas e em relação a todas as outras decisões relacionadas com a sentença de regresso à autoridade competente do Estado de emissão. Nesse caso, a autoridade competente do Estado de execução </w:t>
      </w:r>
      <w:r>
        <w:rPr>
          <w:rFonts w:ascii="Times New Roman" w:hAnsi="Times New Roman"/>
          <w:i/>
          <w:iCs/>
          <w:sz w:val="28"/>
          <w:szCs w:val="28"/>
          <w:u w:val="single"/>
          <w:lang w:val="pt-PT"/>
        </w:rPr>
        <w:t>pode transferir</w:t>
      </w:r>
      <w:r>
        <w:rPr>
          <w:rFonts w:ascii="Times New Roman" w:hAnsi="Times New Roman"/>
          <w:sz w:val="28"/>
          <w:szCs w:val="28"/>
          <w:lang w:val="pt-PT"/>
        </w:rPr>
        <w:t xml:space="preserve"> de novo a jurisdição para a autoridade competente do Estado de emissão.</w:t>
      </w:r>
    </w:p>
    <w:p w14:paraId="03CCAFF7" w14:textId="2FB3D1E1" w:rsidR="006856B3" w:rsidRPr="003E5188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Como se pode ver, a transferência de volta da supervisão </w:t>
      </w:r>
      <w:r>
        <w:rPr>
          <w:rFonts w:ascii="Times New Roman" w:hAnsi="Times New Roman"/>
          <w:i/>
          <w:iCs/>
          <w:sz w:val="28"/>
          <w:szCs w:val="28"/>
          <w:lang w:val="pt-PT"/>
        </w:rPr>
        <w:t xml:space="preserve">não é obrigatória </w:t>
      </w:r>
      <w:r>
        <w:rPr>
          <w:rFonts w:ascii="Times New Roman" w:hAnsi="Times New Roman"/>
          <w:sz w:val="28"/>
          <w:szCs w:val="28"/>
          <w:lang w:val="pt-PT"/>
        </w:rPr>
        <w:t>(nem o pedido do EM emissor nem a aceitação da transferência de volta da jurisdição do EM de execução em tal caso).</w:t>
      </w:r>
    </w:p>
    <w:p w14:paraId="5E875080" w14:textId="77777777" w:rsidR="006856B3" w:rsidRPr="003E5188" w:rsidRDefault="00070BEA" w:rsidP="00A257D5">
      <w:pPr>
        <w:suppressAutoHyphens w:val="0"/>
        <w:autoSpaceDN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br w:type="page"/>
      </w:r>
    </w:p>
    <w:tbl>
      <w:tblPr>
        <w:tblW w:w="8934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34"/>
      </w:tblGrid>
      <w:tr w:rsidR="006856B3" w:rsidRPr="003E5188" w14:paraId="4189E1F7" w14:textId="77777777" w:rsidTr="00326B60">
        <w:trPr>
          <w:trHeight w:val="620"/>
        </w:trPr>
        <w:tc>
          <w:tcPr>
            <w:tcW w:w="8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81A11" w14:textId="77777777" w:rsidR="006856B3" w:rsidRPr="003E5188" w:rsidRDefault="00246D57" w:rsidP="00A257D5">
            <w:pPr>
              <w:pStyle w:val="PargrafodaLista"/>
              <w:numPr>
                <w:ilvl w:val="0"/>
                <w:numId w:val="22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lastRenderedPageBreak/>
              <w:t>Por exemplo,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 é possível imaginar um processo penal em que as autoridades judiciárias competentes do EM emissor podem prosseguir com o processo penal no EM emissor (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>cumprindo todos os direitos da pessoa condenada durante a investigação penal e durante o julgamento, se for o caso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) e no final impor uma multa ou uma condenação condicional, o que não implica a revogação da anterior pena suspensa e não afeta a fiscalização no EM executor da anterior pena transferida. </w:t>
            </w:r>
          </w:p>
          <w:p w14:paraId="057CB04F" w14:textId="77777777" w:rsidR="006856B3" w:rsidRPr="003E5188" w:rsidRDefault="00246D57" w:rsidP="00A257D5">
            <w:pPr>
              <w:pStyle w:val="PargrafodaLista"/>
              <w:numPr>
                <w:ilvl w:val="0"/>
                <w:numId w:val="22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Evidentemente, o EM emissor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 xml:space="preserve">não pode revogar a pena suspensa transferida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no EM enquanto não tiver solicitado a transferência, ou a transferência não tiver sido concedida pelas autoridades competentes do EM de execução. </w:t>
            </w:r>
          </w:p>
          <w:p w14:paraId="1B8467AC" w14:textId="77777777" w:rsidR="006856B3" w:rsidRPr="003E5188" w:rsidRDefault="00246D57" w:rsidP="00A257D5">
            <w:pPr>
              <w:pStyle w:val="PargrafodaLista"/>
              <w:numPr>
                <w:ilvl w:val="0"/>
                <w:numId w:val="22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Caso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 xml:space="preserve">se imponha uma pena privativa de liberdade sem se tomar uma decisão sobre a pena suspensa transferida,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>existe um problema de incompatibilidade entre a pena privativa de liberdade e a pena suspensa em termos de execução de ambas ao mesmo tempo.</w:t>
            </w:r>
          </w:p>
        </w:tc>
      </w:tr>
    </w:tbl>
    <w:p w14:paraId="61AE8836" w14:textId="77777777" w:rsidR="006856B3" w:rsidRPr="003E5188" w:rsidRDefault="006856B3" w:rsidP="00A257D5">
      <w:p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7FAC6464" w14:textId="77777777" w:rsidR="006856B3" w:rsidRPr="003E5188" w:rsidRDefault="00246D57" w:rsidP="00A257D5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pt-PT"/>
        </w:rPr>
        <w:t xml:space="preserve">Q4: </w:t>
      </w:r>
      <w:r>
        <w:rPr>
          <w:rFonts w:ascii="Times New Roman" w:hAnsi="Times New Roman"/>
          <w:color w:val="2F5496" w:themeColor="accent1" w:themeShade="BF"/>
          <w:sz w:val="28"/>
          <w:szCs w:val="28"/>
          <w:lang w:val="pt-PT"/>
        </w:rPr>
        <w:t>O que acontecerá na eventualidade de se ausentar ou de já não ter residência legal e habitual no Estado de execução?</w:t>
      </w:r>
    </w:p>
    <w:p w14:paraId="3DA58EC6" w14:textId="41E6B5EA" w:rsidR="006856B3" w:rsidRPr="0037236D" w:rsidRDefault="00246D57" w:rsidP="00A257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O n.º 1 do Artigo 20.º da DQC prevê que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se a pessoa condenada fugir ou deixar de ter residência legal e habitual no Estado de execução</w:t>
      </w:r>
      <w:r>
        <w:rPr>
          <w:rFonts w:ascii="Times New Roman" w:hAnsi="Times New Roman"/>
          <w:sz w:val="28"/>
          <w:szCs w:val="28"/>
          <w:lang w:val="pt-PT"/>
        </w:rPr>
        <w:t xml:space="preserve">, a autoridade competente do Estado de execução </w:t>
      </w:r>
      <w:r>
        <w:rPr>
          <w:rFonts w:ascii="Times New Roman" w:hAnsi="Times New Roman"/>
          <w:i/>
          <w:iCs/>
          <w:sz w:val="28"/>
          <w:szCs w:val="28"/>
          <w:u w:val="single"/>
          <w:lang w:val="pt-PT"/>
        </w:rPr>
        <w:t>pode transferir</w:t>
      </w:r>
      <w:r>
        <w:rPr>
          <w:rFonts w:ascii="Times New Roman" w:hAnsi="Times New Roman"/>
          <w:sz w:val="28"/>
          <w:szCs w:val="28"/>
          <w:lang w:val="pt-PT"/>
        </w:rPr>
        <w:t xml:space="preserve"> para a autoridade competente do Estado de emissão a jurisdição em matéria de fiscalização das medidas de vigilância ou sanções alternativas e em relação a todas as outras decisões relativas à sentença.</w:t>
      </w:r>
    </w:p>
    <w:tbl>
      <w:tblPr>
        <w:tblW w:w="8910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10"/>
      </w:tblGrid>
      <w:tr w:rsidR="006856B3" w:rsidRPr="003E5188" w14:paraId="4E94AD5C" w14:textId="77777777" w:rsidTr="00326B60">
        <w:trPr>
          <w:trHeight w:val="1430"/>
        </w:trPr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3207E" w14:textId="078AA99E" w:rsidR="006856B3" w:rsidRPr="003E5188" w:rsidRDefault="00246D57" w:rsidP="00A257D5">
            <w:pPr>
              <w:ind w:left="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Por exemplo,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>se a pessoa supervisionada fugir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, pode haver uma situação de incumprimento de uma das obrigações impostas na sentença supervisionada. Esta situação pode implicar a revogação da pena suspensa, em conformidade com a alínea b), n.º 1, do Artigo 14.º da DQC e com as disposições nacionais. </w:t>
            </w:r>
          </w:p>
          <w:p w14:paraId="5CE23E17" w14:textId="3698A34A" w:rsidR="006856B3" w:rsidRPr="003E5188" w:rsidRDefault="00246D57" w:rsidP="00A257D5">
            <w:pPr>
              <w:ind w:left="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A possibilidade de revogar a pena suspensa é concedida à autoridade competente do EM de execução 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val="pt-PT"/>
              </w:rPr>
              <w:t>apenas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 nos casos em que as autoridades alemãs tenham assumido a responsabilidade pela revogação da pena suspensa, tal como previsto no n.º 3 do Artigo 14.º da DQC.  </w:t>
            </w:r>
          </w:p>
          <w:p w14:paraId="6E74DAA9" w14:textId="20877D4E" w:rsidR="006856B3" w:rsidRPr="003E5188" w:rsidRDefault="00246D57" w:rsidP="00A257D5">
            <w:pPr>
              <w:ind w:left="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Se, por exemplo, as autoridades nacionais alemãs não tiverem assumido a responsabilidade pela revogação da pena suspensa,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pt-PT"/>
              </w:rPr>
              <w:t>podem transferir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>para as autoridades competentes do EM emissor a transferência de volta da supervisão.</w:t>
            </w:r>
          </w:p>
          <w:p w14:paraId="13F56B3A" w14:textId="34DCF817" w:rsidR="006856B3" w:rsidRPr="003E5188" w:rsidRDefault="00246D57" w:rsidP="00A257D5">
            <w:pPr>
              <w:ind w:left="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lastRenderedPageBreak/>
              <w:t>A DQC para aqui e não prevê qualquer outro procedimento a ser seguido pelas duas autoridades competentes envolvidas. Continua por regulamentar a nível nacional e mesmo a recusa de transferência de volta a supervisão do EM emissor não pode ser excluída nesta situação.</w:t>
            </w:r>
          </w:p>
          <w:p w14:paraId="491F3DDA" w14:textId="4ADDAA59" w:rsidR="006856B3" w:rsidRPr="003E5188" w:rsidRDefault="00246D57" w:rsidP="00A257D5">
            <w:pPr>
              <w:ind w:left="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>O n.º 3 do Artigo 20.º apenas prevê que quando, em aplicação do Artigo 20.º, a jurisdição for transferida de novo para o Estado de emissão, a autoridade competente desse Estado retoma a jurisdição. Para a fiscalização posterior das medidas de vigilância ou sanções alternativas, a autoridade competente do Estado de emissão deve ter em conta a duração e o grau de cumprimento das medidas de vigilância ou sanções alternativas no Estado de execução, bem como quaisquer decisões tomadas pelo Estado de execução, nos termos do n.º 1 do Artigo 16.º.</w:t>
            </w:r>
          </w:p>
        </w:tc>
      </w:tr>
    </w:tbl>
    <w:p w14:paraId="38CB821B" w14:textId="77777777" w:rsidR="006856B3" w:rsidRPr="003E5188" w:rsidRDefault="006856B3" w:rsidP="00A257D5">
      <w:pPr>
        <w:jc w:val="both"/>
        <w:rPr>
          <w:rFonts w:ascii="Times New Roman" w:hAnsi="Times New Roman"/>
          <w:i/>
          <w:iCs/>
          <w:sz w:val="28"/>
          <w:szCs w:val="28"/>
        </w:rPr>
      </w:pPr>
    </w:p>
    <w:tbl>
      <w:tblPr>
        <w:tblW w:w="8910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10"/>
      </w:tblGrid>
      <w:tr w:rsidR="006856B3" w:rsidRPr="003E5188" w14:paraId="5458350C" w14:textId="77777777" w:rsidTr="00326B60">
        <w:trPr>
          <w:trHeight w:val="1776"/>
        </w:trPr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B1DEC" w14:textId="77777777" w:rsidR="006856B3" w:rsidRPr="003E5188" w:rsidRDefault="00246D57" w:rsidP="00A257D5">
            <w:pPr>
              <w:ind w:left="3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Se a pessoa condenada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>já não tiver residência legal e habitual no Estado de execução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, para o EM de execução a situação torna-se a mesma que a aplicável ao EM emissor. </w:t>
            </w:r>
          </w:p>
          <w:p w14:paraId="46C7D7F3" w14:textId="1C266971" w:rsidR="006856B3" w:rsidRPr="003E5188" w:rsidRDefault="00246D57" w:rsidP="00A257D5">
            <w:pPr>
              <w:ind w:left="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A DQC prevê no Artigo 20.º a possibilidade de transferir a jurisdição em relação à supervisão das medidas de vigilância ou sanções alternativas e em relação a todas as outras decisões relacionadas com a sentença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PT"/>
              </w:rPr>
              <w:t xml:space="preserve">de volta </w:t>
            </w:r>
            <w:r>
              <w:rPr>
                <w:rFonts w:ascii="Times New Roman" w:hAnsi="Times New Roman"/>
                <w:sz w:val="28"/>
                <w:szCs w:val="28"/>
                <w:lang w:val="pt-PT"/>
              </w:rPr>
              <w:t>à autoridade competente do Estado de emissão. Mais uma vez, a DQC não prevê qualquer outro procedimento a ser seguido pelas duas autoridades competentes envolvidas.</w:t>
            </w:r>
          </w:p>
          <w:p w14:paraId="7BB470CC" w14:textId="08A7DAC9" w:rsidR="006856B3" w:rsidRPr="003E5188" w:rsidRDefault="00246D57" w:rsidP="00A257D5">
            <w:pPr>
              <w:ind w:left="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PT"/>
              </w:rPr>
              <w:t xml:space="preserve">Se a transferência de volta para o EM emissor for concedida e a pessoa condenada tiver uma residência legal e habitual noutro EM, será novamente aplicável o n.º 1 do Artigo 5.º da DQC. </w:t>
            </w:r>
          </w:p>
        </w:tc>
      </w:tr>
    </w:tbl>
    <w:p w14:paraId="56F7FFC6" w14:textId="77777777" w:rsidR="006856B3" w:rsidRPr="003E5188" w:rsidRDefault="006856B3" w:rsidP="00A257D5">
      <w:pPr>
        <w:rPr>
          <w:rFonts w:ascii="Times New Roman" w:hAnsi="Times New Roman"/>
          <w:sz w:val="28"/>
          <w:szCs w:val="28"/>
        </w:rPr>
      </w:pPr>
    </w:p>
    <w:p w14:paraId="031C36C9" w14:textId="77777777" w:rsidR="003449E4" w:rsidRPr="003E5188" w:rsidRDefault="003449E4" w:rsidP="00A257D5">
      <w:pPr>
        <w:ind w:left="810"/>
        <w:jc w:val="both"/>
      </w:pPr>
    </w:p>
    <w:p w14:paraId="6C6E670D" w14:textId="77777777" w:rsidR="003449E4" w:rsidRPr="003E5188" w:rsidRDefault="003449E4" w:rsidP="00A257D5">
      <w:pPr>
        <w:ind w:left="810"/>
        <w:jc w:val="both"/>
      </w:pPr>
    </w:p>
    <w:p w14:paraId="62745A1B" w14:textId="77777777" w:rsidR="003449E4" w:rsidRPr="003E5188" w:rsidRDefault="003449E4">
      <w:pPr>
        <w:suppressAutoHyphens w:val="0"/>
        <w:autoSpaceDN/>
        <w:spacing w:after="0"/>
        <w:textAlignment w:val="auto"/>
      </w:pPr>
      <w:r>
        <w:rPr>
          <w:lang w:val="pt-PT"/>
        </w:rPr>
        <w:br w:type="page"/>
      </w:r>
    </w:p>
    <w:p w14:paraId="4CCB84B3" w14:textId="57332DD8" w:rsidR="0022585C" w:rsidRPr="0037236D" w:rsidRDefault="0022585C" w:rsidP="0037236D">
      <w:pPr>
        <w:pStyle w:val="Test"/>
        <w:shd w:val="clear" w:color="auto" w:fill="DED888"/>
        <w:spacing w:after="160"/>
        <w:jc w:val="center"/>
        <w:rPr>
          <w:rFonts w:ascii="Times New Roman" w:hAnsi="Times New Roman"/>
          <w:bCs/>
          <w:color w:val="2F5496" w:themeColor="accent1" w:themeShade="BF"/>
          <w:sz w:val="32"/>
          <w:szCs w:val="32"/>
        </w:rPr>
      </w:pPr>
      <w:r>
        <w:rPr>
          <w:rStyle w:val="Forte"/>
          <w:rFonts w:ascii="Times New Roman" w:hAnsi="Times New Roman"/>
          <w:b/>
          <w:color w:val="2F5496" w:themeColor="accent1" w:themeShade="BF"/>
          <w:sz w:val="32"/>
          <w:szCs w:val="32"/>
          <w:lang w:val="pt-PT"/>
        </w:rPr>
        <w:lastRenderedPageBreak/>
        <w:t>Anexo. Soluções passo a passo</w:t>
      </w:r>
    </w:p>
    <w:p w14:paraId="094ABED7" w14:textId="2A81167B" w:rsidR="00A81F6A" w:rsidRPr="00CE7D40" w:rsidRDefault="00A81F6A" w:rsidP="00CE7D40">
      <w:pPr>
        <w:pStyle w:val="PargrafodaLista"/>
        <w:numPr>
          <w:ilvl w:val="0"/>
          <w:numId w:val="39"/>
        </w:numPr>
        <w:suppressAutoHyphens w:val="0"/>
        <w:autoSpaceDN/>
        <w:spacing w:after="0"/>
        <w:ind w:left="426" w:hanging="436"/>
        <w:contextualSpacing/>
        <w:jc w:val="both"/>
        <w:textAlignment w:val="auto"/>
        <w:rPr>
          <w:rFonts w:ascii="Times New Roman" w:eastAsiaTheme="minorHAnsi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b/>
          <w:bCs/>
          <w:color w:val="FF0000"/>
          <w:sz w:val="28"/>
          <w:szCs w:val="28"/>
          <w:lang w:val="pt-PT"/>
        </w:rPr>
        <w:t>Uma autoridade competente alemã quer transferir a supervisão da pessoa condenada A.N. que reside legal e habitualmente em Bruxelas, Bélgica.</w:t>
      </w:r>
    </w:p>
    <w:p w14:paraId="1387FBB3" w14:textId="77777777" w:rsidR="00A81F6A" w:rsidRPr="003E5188" w:rsidRDefault="00A81F6A" w:rsidP="00A81F6A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1. Para identificar a autoridade competente, seleciona-se a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Bélgica</w:t>
      </w:r>
      <w:r>
        <w:rPr>
          <w:rFonts w:ascii="Times New Roman" w:hAnsi="Times New Roman"/>
          <w:sz w:val="28"/>
          <w:szCs w:val="28"/>
          <w:lang w:val="pt-PT"/>
        </w:rPr>
        <w:t xml:space="preserve"> como o país selecionado (BE). De seguida, seleciona-se a secção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Atlas</w:t>
      </w:r>
      <w:r>
        <w:rPr>
          <w:rFonts w:ascii="Times New Roman" w:hAnsi="Times New Roman"/>
          <w:sz w:val="28"/>
          <w:szCs w:val="28"/>
          <w:lang w:val="pt-PT"/>
        </w:rPr>
        <w:t>, como ilustrado abaixo.</w:t>
      </w:r>
    </w:p>
    <w:p w14:paraId="62CFC157" w14:textId="77777777" w:rsidR="00A81F6A" w:rsidRPr="003E5188" w:rsidRDefault="00A81046" w:rsidP="00A81F6A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B72FB" wp14:editId="0B76D856">
                <wp:simplePos x="0" y="0"/>
                <wp:positionH relativeFrom="column">
                  <wp:posOffset>-25400</wp:posOffset>
                </wp:positionH>
                <wp:positionV relativeFrom="paragraph">
                  <wp:posOffset>178435</wp:posOffset>
                </wp:positionV>
                <wp:extent cx="5791200" cy="4648200"/>
                <wp:effectExtent l="0" t="0" r="19050" b="19050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64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9B67C" id="Téglalap 11" o:spid="_x0000_s1026" style="position:absolute;margin-left:-2pt;margin-top:14.05pt;width:456pt;height:3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" filled="f" strokecolor="black [3213]" strokeweight="1pt"/>
            </w:pict>
          </mc:Fallback>
        </mc:AlternateContent>
      </w:r>
    </w:p>
    <w:p w14:paraId="5739131A" w14:textId="77777777" w:rsidR="00A81F6A" w:rsidRPr="003E5188" w:rsidRDefault="00A81F6A" w:rsidP="00A81F6A">
      <w:pPr>
        <w:spacing w:after="0"/>
        <w:jc w:val="both"/>
        <w:rPr>
          <w:noProof/>
        </w:rPr>
      </w:pPr>
      <w:r>
        <w:rPr>
          <w:noProof/>
          <w:lang w:val="pt-PT"/>
        </w:rPr>
        <w:drawing>
          <wp:inline distT="0" distB="0" distL="0" distR="0" wp14:anchorId="695603DA" wp14:editId="23DEAD45">
            <wp:extent cx="5734050" cy="4495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A6E2" w14:textId="77777777" w:rsidR="00A81F6A" w:rsidRPr="003E5188" w:rsidRDefault="00A81F6A" w:rsidP="00A81F6A">
      <w:pPr>
        <w:spacing w:after="0"/>
        <w:jc w:val="both"/>
        <w:rPr>
          <w:noProof/>
        </w:rPr>
      </w:pPr>
    </w:p>
    <w:p w14:paraId="38750F28" w14:textId="77777777" w:rsidR="00A81F6A" w:rsidRPr="003E5188" w:rsidRDefault="00A81F6A" w:rsidP="00A81F6A">
      <w:pPr>
        <w:spacing w:after="0"/>
        <w:jc w:val="both"/>
        <w:rPr>
          <w:noProof/>
        </w:rPr>
      </w:pPr>
    </w:p>
    <w:p w14:paraId="7DD35050" w14:textId="77777777" w:rsidR="008C5592" w:rsidRPr="003E5188" w:rsidRDefault="008C5592" w:rsidP="00A257D5">
      <w:pPr>
        <w:ind w:left="810"/>
        <w:jc w:val="both"/>
        <w:rPr>
          <w:rFonts w:ascii="Times New Roman" w:hAnsi="Times New Roman"/>
        </w:rPr>
      </w:pPr>
    </w:p>
    <w:p w14:paraId="2EBD04A6" w14:textId="77777777" w:rsidR="008C5592" w:rsidRPr="003E5188" w:rsidRDefault="008C5592" w:rsidP="00A257D5">
      <w:pPr>
        <w:ind w:left="810"/>
        <w:jc w:val="both"/>
        <w:rPr>
          <w:rFonts w:ascii="Times New Roman" w:hAnsi="Times New Roman"/>
        </w:rPr>
      </w:pPr>
    </w:p>
    <w:p w14:paraId="24682A40" w14:textId="77777777" w:rsidR="00DB530F" w:rsidRPr="003E5188" w:rsidRDefault="00DB530F">
      <w:pPr>
        <w:suppressAutoHyphens w:val="0"/>
        <w:autoSpaceDN/>
        <w:spacing w:after="0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lang w:val="pt-PT"/>
        </w:rPr>
        <w:br w:type="page"/>
      </w:r>
    </w:p>
    <w:p w14:paraId="4B2999D6" w14:textId="77777777" w:rsidR="00DB530F" w:rsidRPr="003E5188" w:rsidRDefault="00DB530F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lastRenderedPageBreak/>
        <w:t xml:space="preserve">2. Seleciona-se a medida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904. Probation measures </w:t>
      </w:r>
      <w:r>
        <w:rPr>
          <w:rFonts w:ascii="Times New Roman" w:hAnsi="Times New Roman"/>
          <w:sz w:val="28"/>
          <w:szCs w:val="28"/>
          <w:lang w:val="pt-PT"/>
        </w:rPr>
        <w:t>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medidas de vigilância</w:t>
      </w:r>
      <w:r>
        <w:rPr>
          <w:rFonts w:ascii="Times New Roman" w:hAnsi="Times New Roman"/>
          <w:sz w:val="28"/>
          <w:szCs w:val="28"/>
          <w:lang w:val="pt-PT"/>
        </w:rPr>
        <w:t xml:space="preserve">). De seguida, seleciona-se a secção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Next </w:t>
      </w:r>
      <w:r>
        <w:rPr>
          <w:rFonts w:ascii="Times New Roman" w:hAnsi="Times New Roman"/>
          <w:sz w:val="28"/>
          <w:szCs w:val="28"/>
          <w:lang w:val="pt-PT"/>
        </w:rPr>
        <w:t>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Seguinte</w:t>
      </w:r>
      <w:r>
        <w:rPr>
          <w:rFonts w:ascii="Times New Roman" w:hAnsi="Times New Roman"/>
          <w:sz w:val="28"/>
          <w:szCs w:val="28"/>
          <w:lang w:val="pt-PT"/>
        </w:rPr>
        <w:t>), como ilustrado abaixo.</w:t>
      </w:r>
    </w:p>
    <w:p w14:paraId="15FF969D" w14:textId="77777777" w:rsidR="00DB530F" w:rsidRPr="003E5188" w:rsidRDefault="00A81046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A9F933" wp14:editId="03C9D7CC">
                <wp:simplePos x="0" y="0"/>
                <wp:positionH relativeFrom="column">
                  <wp:posOffset>-42333</wp:posOffset>
                </wp:positionH>
                <wp:positionV relativeFrom="paragraph">
                  <wp:posOffset>158327</wp:posOffset>
                </wp:positionV>
                <wp:extent cx="5833533" cy="3293533"/>
                <wp:effectExtent l="0" t="0" r="15240" b="21590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533" cy="32935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FB293" id="Téglalap 12" o:spid="_x0000_s1026" style="position:absolute;margin-left:-3.35pt;margin-top:12.45pt;width:459.35pt;height:25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" filled="f" strokecolor="black [3213]" strokeweight="1pt"/>
            </w:pict>
          </mc:Fallback>
        </mc:AlternateContent>
      </w:r>
    </w:p>
    <w:p w14:paraId="0941BFC8" w14:textId="77777777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pt-PT"/>
        </w:rPr>
        <w:drawing>
          <wp:inline distT="0" distB="0" distL="0" distR="0" wp14:anchorId="71685E69" wp14:editId="4BFACFEA">
            <wp:extent cx="5734050" cy="31908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71EB8" w14:textId="77777777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47F91D3" w14:textId="2AA1FBF1" w:rsidR="00DB530F" w:rsidRPr="003E5188" w:rsidRDefault="00DB530F" w:rsidP="0037236D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3. Nesta fase, é necessário selecionar caso se trata de dar o consentimento nos termos do n.º 2 do Artigo 5.º da DQC (transmitir a sentença e, quando aplicável, a decisão relativa à liberdade condicional, a uma autoridade competente de um Estado-Membro que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não aquele em que a pessoa condenada reside legal e habitualmente, desde que esta última autoridade tenha consentido nesse envio</w:t>
      </w:r>
      <w:r>
        <w:rPr>
          <w:rFonts w:ascii="Times New Roman" w:hAnsi="Times New Roman"/>
          <w:sz w:val="28"/>
          <w:szCs w:val="28"/>
          <w:lang w:val="pt-PT"/>
        </w:rPr>
        <w:t>) ou caso se trata de um pedido de reconhecimento e supervisão de medidas nos termos do n.º 1 do Artigo 5.º da DQC (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a pessoa condenada reside legal e habitualmente nesse EM</w:t>
      </w:r>
      <w:r>
        <w:rPr>
          <w:rFonts w:ascii="Times New Roman" w:hAnsi="Times New Roman"/>
          <w:sz w:val="28"/>
          <w:szCs w:val="28"/>
          <w:lang w:val="pt-PT"/>
        </w:rPr>
        <w:t xml:space="preserve">). Neste caso, trata-se da segunda opção. De seguida, seleciona-se a secção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Next </w:t>
      </w:r>
      <w:r>
        <w:rPr>
          <w:rFonts w:ascii="Times New Roman" w:hAnsi="Times New Roman"/>
          <w:sz w:val="28"/>
          <w:szCs w:val="28"/>
          <w:lang w:val="pt-PT"/>
        </w:rPr>
        <w:t>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Seguinte</w:t>
      </w:r>
      <w:r>
        <w:rPr>
          <w:rFonts w:ascii="Times New Roman" w:hAnsi="Times New Roman"/>
          <w:sz w:val="28"/>
          <w:szCs w:val="28"/>
          <w:lang w:val="pt-PT"/>
        </w:rPr>
        <w:t>), como ilustrado abaixo.</w:t>
      </w:r>
    </w:p>
    <w:p w14:paraId="3D0A4171" w14:textId="77777777" w:rsidR="00DB530F" w:rsidRPr="003E5188" w:rsidRDefault="00A81046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0721E4" wp14:editId="5CAC1885">
                <wp:simplePos x="0" y="0"/>
                <wp:positionH relativeFrom="column">
                  <wp:posOffset>-25400</wp:posOffset>
                </wp:positionH>
                <wp:positionV relativeFrom="paragraph">
                  <wp:posOffset>176953</wp:posOffset>
                </wp:positionV>
                <wp:extent cx="5774267" cy="2446867"/>
                <wp:effectExtent l="0" t="0" r="17145" b="10795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267" cy="24468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6965A" id="Téglalap 15" o:spid="_x0000_s1026" style="position:absolute;margin-left:-2pt;margin-top:13.95pt;width:454.65pt;height:19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" filled="f" strokecolor="black [3213]" strokeweight="1pt"/>
            </w:pict>
          </mc:Fallback>
        </mc:AlternateContent>
      </w:r>
    </w:p>
    <w:p w14:paraId="4D7D5435" w14:textId="77777777" w:rsidR="00DB530F" w:rsidRPr="003E5188" w:rsidRDefault="00DB530F" w:rsidP="00DB530F">
      <w:pPr>
        <w:spacing w:after="0"/>
        <w:jc w:val="both"/>
        <w:rPr>
          <w:noProof/>
        </w:rPr>
      </w:pPr>
      <w:r>
        <w:rPr>
          <w:noProof/>
          <w:lang w:val="pt-PT"/>
        </w:rPr>
        <w:drawing>
          <wp:inline distT="0" distB="0" distL="0" distR="0" wp14:anchorId="51358759" wp14:editId="0D9643CB">
            <wp:extent cx="5724525" cy="250507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4C05" w14:textId="30F1F6FC" w:rsidR="00DB530F" w:rsidRPr="003E5188" w:rsidRDefault="00DB530F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lastRenderedPageBreak/>
        <w:t xml:space="preserve">4. Introduz-se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Brussels</w:t>
      </w:r>
      <w:r>
        <w:rPr>
          <w:rFonts w:ascii="Times New Roman" w:hAnsi="Times New Roman"/>
          <w:sz w:val="28"/>
          <w:szCs w:val="28"/>
          <w:lang w:val="pt-PT"/>
        </w:rPr>
        <w:t xml:space="preserve"> 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Bruxelas</w:t>
      </w:r>
      <w:r>
        <w:rPr>
          <w:rFonts w:ascii="Times New Roman" w:hAnsi="Times New Roman"/>
          <w:sz w:val="28"/>
          <w:szCs w:val="28"/>
          <w:lang w:val="pt-PT"/>
        </w:rPr>
        <w:t xml:space="preserve">). De seguida, seleciona-se a secção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Next </w:t>
      </w:r>
      <w:r>
        <w:rPr>
          <w:rFonts w:ascii="Times New Roman" w:hAnsi="Times New Roman"/>
          <w:sz w:val="28"/>
          <w:szCs w:val="28"/>
          <w:lang w:val="pt-PT"/>
        </w:rPr>
        <w:t>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Seguinte</w:t>
      </w:r>
      <w:r>
        <w:rPr>
          <w:rFonts w:ascii="Times New Roman" w:hAnsi="Times New Roman"/>
          <w:sz w:val="28"/>
          <w:szCs w:val="28"/>
          <w:lang w:val="pt-PT"/>
        </w:rPr>
        <w:t>), como ilustrado abaixo.</w:t>
      </w:r>
    </w:p>
    <w:p w14:paraId="11B542B2" w14:textId="77777777" w:rsidR="00DB530F" w:rsidRPr="003E5188" w:rsidRDefault="00A81046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B369C8" wp14:editId="75EE0FD8">
                <wp:simplePos x="0" y="0"/>
                <wp:positionH relativeFrom="column">
                  <wp:posOffset>-16933</wp:posOffset>
                </wp:positionH>
                <wp:positionV relativeFrom="paragraph">
                  <wp:posOffset>125730</wp:posOffset>
                </wp:positionV>
                <wp:extent cx="5774266" cy="4157133"/>
                <wp:effectExtent l="0" t="0" r="17145" b="15240"/>
                <wp:wrapNone/>
                <wp:docPr id="22" name="Téglala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266" cy="41571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E3B8E" id="Téglalap 22" o:spid="_x0000_s1026" style="position:absolute;margin-left:-1.35pt;margin-top:9.9pt;width:454.65pt;height:327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" filled="f" strokecolor="black [3213]" strokeweight="1pt"/>
            </w:pict>
          </mc:Fallback>
        </mc:AlternateContent>
      </w:r>
    </w:p>
    <w:p w14:paraId="49ECAEC1" w14:textId="5753748D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pt-PT"/>
        </w:rPr>
        <w:drawing>
          <wp:inline distT="0" distB="0" distL="0" distR="0" wp14:anchorId="48E2CAC7" wp14:editId="3F8A1121">
            <wp:extent cx="5734050" cy="40671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90B3E" w14:textId="1382CDB8" w:rsidR="00DB530F" w:rsidRPr="003E5188" w:rsidRDefault="00DB530F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5. No final, é apresentado o resultado da pesquisa, como ilustrado abaixo.</w:t>
      </w:r>
    </w:p>
    <w:p w14:paraId="4830F6EE" w14:textId="77777777" w:rsidR="00DB530F" w:rsidRPr="003E5188" w:rsidRDefault="00A81046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FFADA" wp14:editId="16074B33">
                <wp:simplePos x="0" y="0"/>
                <wp:positionH relativeFrom="column">
                  <wp:posOffset>-84667</wp:posOffset>
                </wp:positionH>
                <wp:positionV relativeFrom="paragraph">
                  <wp:posOffset>109220</wp:posOffset>
                </wp:positionV>
                <wp:extent cx="5841789" cy="3750733"/>
                <wp:effectExtent l="0" t="0" r="26035" b="2159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1789" cy="3750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6E39C3" id="Téglalap 23" o:spid="_x0000_s1026" style="position:absolute;margin-left:-6.65pt;margin-top:8.6pt;width:460pt;height:29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" filled="f" strokecolor="black [3213]" strokeweight="1pt"/>
            </w:pict>
          </mc:Fallback>
        </mc:AlternateContent>
      </w:r>
    </w:p>
    <w:p w14:paraId="197DE526" w14:textId="77777777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pt-PT"/>
        </w:rPr>
        <w:drawing>
          <wp:inline distT="0" distB="0" distL="0" distR="0" wp14:anchorId="30DC9A60" wp14:editId="1A1B2D38">
            <wp:extent cx="5724525" cy="36385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CC2E" w14:textId="325739DC" w:rsidR="00DB530F" w:rsidRPr="0037236D" w:rsidRDefault="00DB530F" w:rsidP="00DB530F">
      <w:pPr>
        <w:pStyle w:val="PargrafodaLista"/>
        <w:numPr>
          <w:ilvl w:val="0"/>
          <w:numId w:val="39"/>
        </w:numPr>
        <w:suppressAutoHyphens w:val="0"/>
        <w:autoSpaceDN/>
        <w:spacing w:after="0"/>
        <w:ind w:left="426" w:hanging="436"/>
        <w:contextualSpacing/>
        <w:jc w:val="both"/>
        <w:textAlignment w:val="auto"/>
        <w:rPr>
          <w:rFonts w:ascii="Times New Roman" w:eastAsiaTheme="minorHAnsi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b/>
          <w:bCs/>
          <w:color w:val="FF0000"/>
          <w:sz w:val="28"/>
          <w:szCs w:val="28"/>
          <w:lang w:val="pt-PT"/>
        </w:rPr>
        <w:lastRenderedPageBreak/>
        <w:t>Uma autoridade competente francesa quer transferir a supervisão da pessoa condenada B.C. que reside legal e habitualmente em Vigo, Espanha.</w:t>
      </w:r>
    </w:p>
    <w:p w14:paraId="4D39B6CF" w14:textId="77777777" w:rsidR="00DB530F" w:rsidRPr="003E5188" w:rsidRDefault="00DB530F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1. Para identificar a autoridade competente, seleciona-se a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Espanha</w:t>
      </w:r>
      <w:r>
        <w:rPr>
          <w:rFonts w:ascii="Times New Roman" w:hAnsi="Times New Roman"/>
          <w:sz w:val="28"/>
          <w:szCs w:val="28"/>
          <w:lang w:val="pt-PT"/>
        </w:rPr>
        <w:t xml:space="preserve"> como o país selecionado (ES). De seguida, seleciona-se a secção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Atlas</w:t>
      </w:r>
      <w:r>
        <w:rPr>
          <w:rFonts w:ascii="Times New Roman" w:hAnsi="Times New Roman"/>
          <w:sz w:val="28"/>
          <w:szCs w:val="28"/>
          <w:lang w:val="pt-PT"/>
        </w:rPr>
        <w:t>, como ilustrado abaixo.</w:t>
      </w:r>
    </w:p>
    <w:p w14:paraId="3A270296" w14:textId="77777777" w:rsidR="00DB530F" w:rsidRPr="003E5188" w:rsidRDefault="00A81046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A276BE" wp14:editId="36B20FBF">
                <wp:simplePos x="0" y="0"/>
                <wp:positionH relativeFrom="column">
                  <wp:posOffset>-33867</wp:posOffset>
                </wp:positionH>
                <wp:positionV relativeFrom="paragraph">
                  <wp:posOffset>170180</wp:posOffset>
                </wp:positionV>
                <wp:extent cx="5767917" cy="3310467"/>
                <wp:effectExtent l="0" t="0" r="23495" b="23495"/>
                <wp:wrapNone/>
                <wp:docPr id="24" name="Téglala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917" cy="3310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77CBC" id="Téglalap 24" o:spid="_x0000_s1026" style="position:absolute;margin-left:-2.65pt;margin-top:13.4pt;width:454.15pt;height:26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" filled="f" strokecolor="black [3213]" strokeweight="1pt"/>
            </w:pict>
          </mc:Fallback>
        </mc:AlternateContent>
      </w:r>
    </w:p>
    <w:p w14:paraId="059AFC34" w14:textId="77777777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pt-PT"/>
        </w:rPr>
        <w:drawing>
          <wp:inline distT="0" distB="0" distL="0" distR="0" wp14:anchorId="6812D91E" wp14:editId="36203FB9">
            <wp:extent cx="5734050" cy="307657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A03D9" w14:textId="77777777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2027512" w14:textId="77777777" w:rsidR="00DB530F" w:rsidRPr="003E5188" w:rsidRDefault="00A81046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395E4C" wp14:editId="49E34507">
                <wp:simplePos x="0" y="0"/>
                <wp:positionH relativeFrom="column">
                  <wp:posOffset>-25400</wp:posOffset>
                </wp:positionH>
                <wp:positionV relativeFrom="paragraph">
                  <wp:posOffset>451273</wp:posOffset>
                </wp:positionV>
                <wp:extent cx="5808133" cy="3572934"/>
                <wp:effectExtent l="0" t="0" r="21590" b="27940"/>
                <wp:wrapNone/>
                <wp:docPr id="25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8133" cy="35729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F54A0" id="Téglalap 25" o:spid="_x0000_s1026" style="position:absolute;margin-left:-2pt;margin-top:35.55pt;width:457.35pt;height:28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" filled="f" strokecolor="black [3213]" strokeweight="1pt"/>
            </w:pict>
          </mc:Fallback>
        </mc:AlternateContent>
      </w:r>
      <w:r>
        <w:rPr>
          <w:noProof/>
          <w:lang w:val="pt-PT"/>
        </w:rPr>
        <w:drawing>
          <wp:anchor distT="0" distB="0" distL="114300" distR="114300" simplePos="0" relativeHeight="251665408" behindDoc="0" locked="0" layoutInCell="1" allowOverlap="1" wp14:anchorId="2EDBF8F5" wp14:editId="47EA998F">
            <wp:simplePos x="0" y="0"/>
            <wp:positionH relativeFrom="margin">
              <wp:align>center</wp:align>
            </wp:positionH>
            <wp:positionV relativeFrom="margin">
              <wp:posOffset>5198533</wp:posOffset>
            </wp:positionV>
            <wp:extent cx="5734050" cy="3514725"/>
            <wp:effectExtent l="0" t="0" r="0" b="952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pt-PT"/>
        </w:rPr>
        <w:t xml:space="preserve">2. Seleciona-se a medida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904. Probation measures </w:t>
      </w:r>
      <w:r>
        <w:rPr>
          <w:rFonts w:ascii="Times New Roman" w:hAnsi="Times New Roman"/>
          <w:sz w:val="28"/>
          <w:szCs w:val="28"/>
          <w:lang w:val="pt-PT"/>
        </w:rPr>
        <w:t>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medidas de vigilância</w:t>
      </w:r>
      <w:r>
        <w:rPr>
          <w:rFonts w:ascii="Times New Roman" w:hAnsi="Times New Roman"/>
          <w:sz w:val="28"/>
          <w:szCs w:val="28"/>
          <w:lang w:val="pt-PT"/>
        </w:rPr>
        <w:t xml:space="preserve">). De seguida, seleciona-se a secção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Next </w:t>
      </w:r>
      <w:r>
        <w:rPr>
          <w:rFonts w:ascii="Times New Roman" w:hAnsi="Times New Roman"/>
          <w:sz w:val="28"/>
          <w:szCs w:val="28"/>
          <w:lang w:val="pt-PT"/>
        </w:rPr>
        <w:t>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Seguinte</w:t>
      </w:r>
      <w:r>
        <w:rPr>
          <w:rFonts w:ascii="Times New Roman" w:hAnsi="Times New Roman"/>
          <w:sz w:val="28"/>
          <w:szCs w:val="28"/>
          <w:lang w:val="pt-PT"/>
        </w:rPr>
        <w:t>), como ilustrado abaixo.</w:t>
      </w:r>
    </w:p>
    <w:p w14:paraId="43521A31" w14:textId="1C1ADA5F" w:rsidR="00DB530F" w:rsidRPr="003E5188" w:rsidRDefault="00DB530F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lastRenderedPageBreak/>
        <w:t xml:space="preserve">3. Aqui, é necessário selecionar uma de duas opções. Seleciona-se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General regime</w:t>
      </w:r>
      <w:r>
        <w:rPr>
          <w:rFonts w:ascii="Times New Roman" w:hAnsi="Times New Roman"/>
          <w:sz w:val="28"/>
          <w:szCs w:val="28"/>
          <w:lang w:val="pt-PT"/>
        </w:rPr>
        <w:t xml:space="preserve"> 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Regime Geral</w:t>
      </w:r>
      <w:r>
        <w:rPr>
          <w:rFonts w:ascii="Times New Roman" w:hAnsi="Times New Roman"/>
          <w:sz w:val="28"/>
          <w:szCs w:val="28"/>
          <w:lang w:val="pt-PT"/>
        </w:rPr>
        <w:t>),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 </w:t>
      </w:r>
      <w:r>
        <w:rPr>
          <w:rFonts w:ascii="Times New Roman" w:hAnsi="Times New Roman"/>
          <w:sz w:val="28"/>
          <w:szCs w:val="28"/>
          <w:lang w:val="pt-PT"/>
        </w:rPr>
        <w:t xml:space="preserve">tal como mencionado nos requisitos do exercício. De seguida, seleciona-se a secção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Next </w:t>
      </w:r>
      <w:r>
        <w:rPr>
          <w:rFonts w:ascii="Times New Roman" w:hAnsi="Times New Roman"/>
          <w:sz w:val="28"/>
          <w:szCs w:val="28"/>
          <w:lang w:val="pt-PT"/>
        </w:rPr>
        <w:t>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Seguinte</w:t>
      </w:r>
      <w:r>
        <w:rPr>
          <w:rFonts w:ascii="Times New Roman" w:hAnsi="Times New Roman"/>
          <w:sz w:val="28"/>
          <w:szCs w:val="28"/>
          <w:lang w:val="pt-PT"/>
        </w:rPr>
        <w:t>), como ilustrado abaixo.</w:t>
      </w:r>
    </w:p>
    <w:p w14:paraId="3FC39DCC" w14:textId="77777777" w:rsidR="00DB530F" w:rsidRPr="003E5188" w:rsidRDefault="004B3A9E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11D287" wp14:editId="5CC634C5">
                <wp:simplePos x="0" y="0"/>
                <wp:positionH relativeFrom="column">
                  <wp:posOffset>-42333</wp:posOffset>
                </wp:positionH>
                <wp:positionV relativeFrom="paragraph">
                  <wp:posOffset>148590</wp:posOffset>
                </wp:positionV>
                <wp:extent cx="5825066" cy="2895600"/>
                <wp:effectExtent l="0" t="0" r="23495" b="19050"/>
                <wp:wrapNone/>
                <wp:docPr id="26" name="Téglala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5066" cy="289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5BBC6" id="Téglalap 26" o:spid="_x0000_s1026" style="position:absolute;margin-left:-3.35pt;margin-top:11.7pt;width:458.65pt;height:22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" filled="f" strokecolor="black [3213]" strokeweight="1pt"/>
            </w:pict>
          </mc:Fallback>
        </mc:AlternateContent>
      </w:r>
    </w:p>
    <w:p w14:paraId="0827D92C" w14:textId="37AB37F0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pt-PT"/>
        </w:rPr>
        <w:drawing>
          <wp:inline distT="0" distB="0" distL="0" distR="0" wp14:anchorId="3AE35E75" wp14:editId="3FAB6FC4">
            <wp:extent cx="5734050" cy="284797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31DFC" w14:textId="7F8DA0C8" w:rsidR="00DB530F" w:rsidRPr="003E5188" w:rsidRDefault="00DB530F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4. No final, é apresentado o resultado da pesquisa, como ilustrado abaixo.</w:t>
      </w:r>
    </w:p>
    <w:p w14:paraId="076244D0" w14:textId="77777777" w:rsidR="00DB530F" w:rsidRPr="003E5188" w:rsidRDefault="004B3A9E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EB9410" wp14:editId="1E9BE5D5">
                <wp:simplePos x="0" y="0"/>
                <wp:positionH relativeFrom="column">
                  <wp:posOffset>143933</wp:posOffset>
                </wp:positionH>
                <wp:positionV relativeFrom="paragraph">
                  <wp:posOffset>165947</wp:posOffset>
                </wp:positionV>
                <wp:extent cx="5477934" cy="4216400"/>
                <wp:effectExtent l="0" t="0" r="27940" b="12700"/>
                <wp:wrapNone/>
                <wp:docPr id="28" name="Téglalap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7934" cy="421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4FC3B" id="Téglalap 28" o:spid="_x0000_s1026" style="position:absolute;margin-left:11.35pt;margin-top:13.05pt;width:431.35pt;height:33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" filled="f" strokecolor="black [3213]" strokeweight="1pt"/>
            </w:pict>
          </mc:Fallback>
        </mc:AlternateContent>
      </w:r>
    </w:p>
    <w:p w14:paraId="5FF68134" w14:textId="77777777" w:rsidR="00DB530F" w:rsidRPr="003E5188" w:rsidRDefault="00DB530F" w:rsidP="00DB530F">
      <w:pPr>
        <w:spacing w:after="0"/>
        <w:jc w:val="both"/>
        <w:rPr>
          <w:noProof/>
        </w:rPr>
      </w:pPr>
      <w:r>
        <w:rPr>
          <w:noProof/>
          <w:lang w:val="pt-PT"/>
        </w:rPr>
        <w:drawing>
          <wp:inline distT="0" distB="0" distL="0" distR="0" wp14:anchorId="5DCCE2CF" wp14:editId="18261584">
            <wp:extent cx="5724525" cy="414337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79716" w14:textId="77777777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9FBEFC0" w14:textId="77777777" w:rsidR="00DB530F" w:rsidRPr="003E5188" w:rsidRDefault="00DB530F">
      <w:pPr>
        <w:suppressAutoHyphens w:val="0"/>
        <w:autoSpaceDN/>
        <w:spacing w:after="0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lang w:val="pt-PT"/>
        </w:rPr>
        <w:br w:type="page"/>
      </w:r>
    </w:p>
    <w:p w14:paraId="71295A89" w14:textId="775E2166" w:rsidR="00DB530F" w:rsidRPr="00E00D02" w:rsidRDefault="00DB530F" w:rsidP="00E00D02">
      <w:pPr>
        <w:pStyle w:val="PargrafodaLista"/>
        <w:numPr>
          <w:ilvl w:val="0"/>
          <w:numId w:val="40"/>
        </w:numPr>
        <w:suppressAutoHyphens w:val="0"/>
        <w:autoSpaceDN/>
        <w:spacing w:after="0"/>
        <w:ind w:left="426" w:hanging="436"/>
        <w:contextualSpacing/>
        <w:jc w:val="both"/>
        <w:textAlignment w:val="auto"/>
        <w:rPr>
          <w:rFonts w:ascii="Times New Roman" w:eastAsiaTheme="minorHAnsi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b/>
          <w:bCs/>
          <w:color w:val="FF0000"/>
          <w:sz w:val="28"/>
          <w:szCs w:val="28"/>
          <w:lang w:val="pt-PT"/>
        </w:rPr>
        <w:lastRenderedPageBreak/>
        <w:t>Uma autoridade competente espanhola quer transferir a supervisão da pessoa condenada M.M. que reside legalmente e habitualmente em Viena, Áustria.</w:t>
      </w:r>
    </w:p>
    <w:p w14:paraId="5A83260A" w14:textId="77777777" w:rsidR="00DB530F" w:rsidRPr="003E5188" w:rsidRDefault="00DB530F" w:rsidP="00DB530F">
      <w:pPr>
        <w:pStyle w:val="PargrafodaLista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7457399A" w14:textId="77777777" w:rsidR="00DB530F" w:rsidRPr="003E5188" w:rsidRDefault="00DB530F" w:rsidP="00DB530F">
      <w:pPr>
        <w:pStyle w:val="PargrafodaLista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1. Para identificar a autoridade competente, seleciona-se a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Áustria </w:t>
      </w:r>
      <w:r>
        <w:rPr>
          <w:rFonts w:ascii="Times New Roman" w:hAnsi="Times New Roman"/>
          <w:sz w:val="28"/>
          <w:szCs w:val="28"/>
          <w:lang w:val="pt-PT"/>
        </w:rPr>
        <w:t xml:space="preserve">como o país selecionado (AT). De seguida, seleciona-se a secção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Atlas</w:t>
      </w:r>
      <w:r>
        <w:rPr>
          <w:rFonts w:ascii="Times New Roman" w:hAnsi="Times New Roman"/>
          <w:sz w:val="28"/>
          <w:szCs w:val="28"/>
          <w:lang w:val="pt-PT"/>
        </w:rPr>
        <w:t>, como ilustrado abaixo.</w:t>
      </w:r>
    </w:p>
    <w:p w14:paraId="153DF96C" w14:textId="77777777" w:rsidR="00DB530F" w:rsidRPr="003E5188" w:rsidRDefault="004B3A9E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14152A" wp14:editId="0282E9DB">
                <wp:simplePos x="0" y="0"/>
                <wp:positionH relativeFrom="column">
                  <wp:posOffset>-19050</wp:posOffset>
                </wp:positionH>
                <wp:positionV relativeFrom="paragraph">
                  <wp:posOffset>178435</wp:posOffset>
                </wp:positionV>
                <wp:extent cx="5791200" cy="4152900"/>
                <wp:effectExtent l="0" t="0" r="19050" b="19050"/>
                <wp:wrapNone/>
                <wp:docPr id="29" name="Téglala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15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A77E5" id="Téglalap 29" o:spid="_x0000_s1026" style="position:absolute;margin-left:-1.5pt;margin-top:14.05pt;width:456pt;height:32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" filled="f" strokecolor="black [3213]" strokeweight="1pt"/>
            </w:pict>
          </mc:Fallback>
        </mc:AlternateContent>
      </w:r>
    </w:p>
    <w:p w14:paraId="05965A09" w14:textId="77777777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pt-PT"/>
        </w:rPr>
        <w:drawing>
          <wp:inline distT="0" distB="0" distL="0" distR="0" wp14:anchorId="19FFF5D9" wp14:editId="57BD75B7">
            <wp:extent cx="5781675" cy="413385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8CEC7" w14:textId="77777777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0F19B63" w14:textId="77777777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FE2D871" w14:textId="77777777" w:rsidR="00DB530F" w:rsidRPr="003E5188" w:rsidRDefault="00DB530F">
      <w:pPr>
        <w:suppressAutoHyphens w:val="0"/>
        <w:autoSpaceDN/>
        <w:spacing w:after="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br w:type="page"/>
      </w:r>
    </w:p>
    <w:p w14:paraId="5C9638B9" w14:textId="77777777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lastRenderedPageBreak/>
        <w:t xml:space="preserve">2. Seleciona-se a medida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904. Probation measures </w:t>
      </w:r>
      <w:r>
        <w:rPr>
          <w:rFonts w:ascii="Times New Roman" w:hAnsi="Times New Roman"/>
          <w:sz w:val="28"/>
          <w:szCs w:val="28"/>
          <w:lang w:val="pt-PT"/>
        </w:rPr>
        <w:t>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medidas de vigilância</w:t>
      </w:r>
      <w:r>
        <w:rPr>
          <w:rFonts w:ascii="Times New Roman" w:hAnsi="Times New Roman"/>
          <w:sz w:val="28"/>
          <w:szCs w:val="28"/>
          <w:lang w:val="pt-PT"/>
        </w:rPr>
        <w:t xml:space="preserve">). De seguida, seleciona-se a secção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Next </w:t>
      </w:r>
      <w:r>
        <w:rPr>
          <w:rFonts w:ascii="Times New Roman" w:hAnsi="Times New Roman"/>
          <w:sz w:val="28"/>
          <w:szCs w:val="28"/>
          <w:lang w:val="pt-PT"/>
        </w:rPr>
        <w:t>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Seguinte</w:t>
      </w:r>
      <w:r>
        <w:rPr>
          <w:rFonts w:ascii="Times New Roman" w:hAnsi="Times New Roman"/>
          <w:sz w:val="28"/>
          <w:szCs w:val="28"/>
          <w:lang w:val="pt-PT"/>
        </w:rPr>
        <w:t>), como ilustrado abaixo.</w:t>
      </w:r>
    </w:p>
    <w:p w14:paraId="0A0AEA9A" w14:textId="77777777" w:rsidR="00DB530F" w:rsidRPr="003E5188" w:rsidRDefault="004B3A9E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FE2BB5" wp14:editId="6EDFB4EA">
                <wp:simplePos x="0" y="0"/>
                <wp:positionH relativeFrom="column">
                  <wp:posOffset>-42333</wp:posOffset>
                </wp:positionH>
                <wp:positionV relativeFrom="paragraph">
                  <wp:posOffset>141393</wp:posOffset>
                </wp:positionV>
                <wp:extent cx="5850466" cy="4021667"/>
                <wp:effectExtent l="0" t="0" r="17145" b="17145"/>
                <wp:wrapNone/>
                <wp:docPr id="30" name="Téglala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466" cy="40216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C158A" id="Téglalap 30" o:spid="_x0000_s1026" style="position:absolute;margin-left:-3.35pt;margin-top:11.15pt;width:460.65pt;height:316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" filled="f" strokecolor="black [3213]" strokeweight="1pt"/>
            </w:pict>
          </mc:Fallback>
        </mc:AlternateContent>
      </w:r>
    </w:p>
    <w:p w14:paraId="5FD6BDCE" w14:textId="77777777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pt-PT"/>
        </w:rPr>
        <w:drawing>
          <wp:inline distT="0" distB="0" distL="0" distR="0" wp14:anchorId="172C6002" wp14:editId="51C474C9">
            <wp:extent cx="5734050" cy="387667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C79F4" w14:textId="77777777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71F519E" w14:textId="713432EC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3. Introduz-se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Vienna </w:t>
      </w:r>
      <w:r>
        <w:rPr>
          <w:rFonts w:ascii="Times New Roman" w:hAnsi="Times New Roman"/>
          <w:sz w:val="28"/>
          <w:szCs w:val="28"/>
          <w:lang w:val="pt-PT"/>
        </w:rPr>
        <w:t>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Viena</w:t>
      </w:r>
      <w:r>
        <w:rPr>
          <w:rFonts w:ascii="Times New Roman" w:hAnsi="Times New Roman"/>
          <w:sz w:val="28"/>
          <w:szCs w:val="28"/>
          <w:lang w:val="pt-PT"/>
        </w:rPr>
        <w:t xml:space="preserve">). De seguida, seleciona-se a secção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Next </w:t>
      </w:r>
      <w:r>
        <w:rPr>
          <w:rFonts w:ascii="Times New Roman" w:hAnsi="Times New Roman"/>
          <w:sz w:val="28"/>
          <w:szCs w:val="28"/>
          <w:lang w:val="pt-PT"/>
        </w:rPr>
        <w:t>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Seguinte</w:t>
      </w:r>
      <w:r>
        <w:rPr>
          <w:rFonts w:ascii="Times New Roman" w:hAnsi="Times New Roman"/>
          <w:sz w:val="28"/>
          <w:szCs w:val="28"/>
          <w:lang w:val="pt-PT"/>
        </w:rPr>
        <w:t>), como ilustrado abaixo.</w:t>
      </w:r>
    </w:p>
    <w:p w14:paraId="178AFB49" w14:textId="77777777" w:rsidR="00DB530F" w:rsidRPr="003E5188" w:rsidRDefault="004B3A9E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B86336" wp14:editId="03C30C47">
                <wp:simplePos x="0" y="0"/>
                <wp:positionH relativeFrom="column">
                  <wp:posOffset>-42333</wp:posOffset>
                </wp:positionH>
                <wp:positionV relativeFrom="paragraph">
                  <wp:posOffset>171450</wp:posOffset>
                </wp:positionV>
                <wp:extent cx="5799666" cy="3699933"/>
                <wp:effectExtent l="0" t="0" r="10795" b="15240"/>
                <wp:wrapNone/>
                <wp:docPr id="32" name="Téglalap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666" cy="36999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D25A5" id="Téglalap 32" o:spid="_x0000_s1026" style="position:absolute;margin-left:-3.35pt;margin-top:13.5pt;width:456.65pt;height:291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" filled="f" strokecolor="black [3213]" strokeweight="1pt"/>
            </w:pict>
          </mc:Fallback>
        </mc:AlternateContent>
      </w:r>
    </w:p>
    <w:p w14:paraId="509D3B7D" w14:textId="5D129395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pt-PT"/>
        </w:rPr>
        <w:lastRenderedPageBreak/>
        <w:drawing>
          <wp:inline distT="0" distB="0" distL="0" distR="0" wp14:anchorId="6CBAA46E" wp14:editId="4F430958">
            <wp:extent cx="5734050" cy="363855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95430" w14:textId="620898D9" w:rsidR="00DB530F" w:rsidRPr="003E5188" w:rsidRDefault="00DB530F" w:rsidP="0037236D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>4. No final, é apresentado o resultado da pesquisa, como ilustrado abaixo.</w:t>
      </w:r>
      <w:r>
        <w:rPr>
          <w:rFonts w:ascii="Times New Roman" w:hAnsi="Times New Roman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CA58B2" wp14:editId="42B99BCD">
                <wp:simplePos x="0" y="0"/>
                <wp:positionH relativeFrom="column">
                  <wp:posOffset>-25400</wp:posOffset>
                </wp:positionH>
                <wp:positionV relativeFrom="paragraph">
                  <wp:posOffset>183727</wp:posOffset>
                </wp:positionV>
                <wp:extent cx="5774267" cy="4766733"/>
                <wp:effectExtent l="0" t="0" r="17145" b="15240"/>
                <wp:wrapNone/>
                <wp:docPr id="33" name="Téglala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267" cy="4766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BA0FE" id="Téglalap 33" o:spid="_x0000_s1026" style="position:absolute;margin-left:-2pt;margin-top:14.45pt;width:454.65pt;height:375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" filled="f" strokecolor="black [3213]" strokeweight="1pt"/>
            </w:pict>
          </mc:Fallback>
        </mc:AlternateContent>
      </w:r>
    </w:p>
    <w:p w14:paraId="485F6EAF" w14:textId="77777777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pt-PT"/>
        </w:rPr>
        <w:drawing>
          <wp:inline distT="0" distB="0" distL="0" distR="0" wp14:anchorId="659AD9F7" wp14:editId="00A8D86A">
            <wp:extent cx="5734050" cy="4714875"/>
            <wp:effectExtent l="0" t="0" r="0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FE327" w14:textId="23163BC2" w:rsidR="00DB530F" w:rsidRPr="0037236D" w:rsidRDefault="00DB530F" w:rsidP="0037236D">
      <w:pPr>
        <w:suppressAutoHyphens w:val="0"/>
        <w:autoSpaceDN/>
        <w:spacing w:after="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br w:type="page"/>
      </w:r>
      <w:r>
        <w:rPr>
          <w:rFonts w:ascii="Times New Roman" w:hAnsi="Times New Roman"/>
          <w:b/>
          <w:bCs/>
          <w:sz w:val="28"/>
          <w:szCs w:val="28"/>
          <w:lang w:val="pt-PT"/>
        </w:rPr>
        <w:lastRenderedPageBreak/>
        <w:t>Solução para a questão 3 do cenário de caso 1.</w:t>
      </w:r>
    </w:p>
    <w:p w14:paraId="413232FE" w14:textId="7EDCA069" w:rsidR="00DB530F" w:rsidRPr="0037236D" w:rsidRDefault="00DB530F" w:rsidP="00DB530F">
      <w:pPr>
        <w:pStyle w:val="PargrafodaLista"/>
        <w:numPr>
          <w:ilvl w:val="0"/>
          <w:numId w:val="39"/>
        </w:numPr>
        <w:suppressAutoHyphens w:val="0"/>
        <w:autoSpaceDN/>
        <w:spacing w:after="0"/>
        <w:ind w:left="426" w:hanging="436"/>
        <w:contextualSpacing/>
        <w:jc w:val="both"/>
        <w:textAlignment w:val="auto"/>
        <w:rPr>
          <w:rFonts w:ascii="Times New Roman" w:eastAsiaTheme="minorHAnsi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b/>
          <w:bCs/>
          <w:color w:val="FF0000"/>
          <w:sz w:val="28"/>
          <w:szCs w:val="28"/>
          <w:lang w:val="pt-PT"/>
        </w:rPr>
        <w:t>Encontre a autoridade competente alemã com M.H. legal e habitualmente residente em Hamburgo, Alemanha.</w:t>
      </w:r>
    </w:p>
    <w:p w14:paraId="3DDB01D5" w14:textId="7B23FCC5" w:rsidR="00DB530F" w:rsidRPr="003E5188" w:rsidRDefault="00DB530F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1. Para identificar a autoridade competente, seleciona-se a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Alemanha </w:t>
      </w:r>
      <w:r>
        <w:rPr>
          <w:rFonts w:ascii="Times New Roman" w:hAnsi="Times New Roman"/>
          <w:sz w:val="28"/>
          <w:szCs w:val="28"/>
          <w:lang w:val="pt-PT"/>
        </w:rPr>
        <w:t xml:space="preserve">como o país selecionado (DE). De seguida, seleciona-se a secção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Atlas</w:t>
      </w:r>
      <w:r>
        <w:rPr>
          <w:rFonts w:ascii="Times New Roman" w:hAnsi="Times New Roman"/>
          <w:sz w:val="28"/>
          <w:szCs w:val="28"/>
          <w:lang w:val="pt-PT"/>
        </w:rPr>
        <w:t>, como ilustrado abaixo.</w:t>
      </w:r>
    </w:p>
    <w:p w14:paraId="15E20DC4" w14:textId="3C6F2B0D" w:rsidR="00DB530F" w:rsidRPr="003E5188" w:rsidRDefault="00066071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82FB66" wp14:editId="023D5666">
                <wp:simplePos x="0" y="0"/>
                <wp:positionH relativeFrom="column">
                  <wp:posOffset>-16933</wp:posOffset>
                </wp:positionH>
                <wp:positionV relativeFrom="paragraph">
                  <wp:posOffset>168910</wp:posOffset>
                </wp:positionV>
                <wp:extent cx="5808133" cy="5046133"/>
                <wp:effectExtent l="0" t="0" r="21590" b="21590"/>
                <wp:wrapNone/>
                <wp:docPr id="34" name="Téglala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8133" cy="50461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65CB9" id="Téglalap 34" o:spid="_x0000_s1026" style="position:absolute;margin-left:-1.35pt;margin-top:13.3pt;width:457.35pt;height:397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" filled="f" strokecolor="black [3213]" strokeweight="1pt"/>
            </w:pict>
          </mc:Fallback>
        </mc:AlternateContent>
      </w:r>
    </w:p>
    <w:p w14:paraId="1C36D353" w14:textId="77777777" w:rsidR="00DB530F" w:rsidRPr="003E5188" w:rsidRDefault="00DB530F" w:rsidP="00DB530F">
      <w:pPr>
        <w:spacing w:after="0"/>
        <w:jc w:val="both"/>
        <w:rPr>
          <w:noProof/>
        </w:rPr>
      </w:pPr>
      <w:r>
        <w:rPr>
          <w:noProof/>
          <w:lang w:val="pt-PT"/>
        </w:rPr>
        <w:drawing>
          <wp:inline distT="0" distB="0" distL="0" distR="0" wp14:anchorId="2CDB0A50" wp14:editId="062843FA">
            <wp:extent cx="5734050" cy="49530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5D6B0" w14:textId="77777777" w:rsidR="00DB530F" w:rsidRPr="003E5188" w:rsidRDefault="00DB530F" w:rsidP="00DB530F">
      <w:pPr>
        <w:spacing w:after="0"/>
        <w:jc w:val="both"/>
        <w:rPr>
          <w:noProof/>
        </w:rPr>
      </w:pPr>
    </w:p>
    <w:p w14:paraId="3E1A1F57" w14:textId="77777777" w:rsidR="00DB530F" w:rsidRPr="003E5188" w:rsidRDefault="00DB530F" w:rsidP="00DB530F">
      <w:pPr>
        <w:spacing w:after="0"/>
        <w:jc w:val="both"/>
        <w:rPr>
          <w:noProof/>
        </w:rPr>
      </w:pPr>
    </w:p>
    <w:p w14:paraId="0B311AC2" w14:textId="77777777" w:rsidR="00DB530F" w:rsidRPr="003E5188" w:rsidRDefault="00DB530F" w:rsidP="00DB530F">
      <w:pPr>
        <w:spacing w:after="0"/>
        <w:jc w:val="both"/>
        <w:rPr>
          <w:noProof/>
        </w:rPr>
      </w:pPr>
    </w:p>
    <w:p w14:paraId="75DC4942" w14:textId="77777777" w:rsidR="00995182" w:rsidRPr="003E5188" w:rsidRDefault="00995182">
      <w:pPr>
        <w:suppressAutoHyphens w:val="0"/>
        <w:autoSpaceDN/>
        <w:spacing w:after="0"/>
        <w:textAlignment w:val="auto"/>
        <w:rPr>
          <w:noProof/>
        </w:rPr>
      </w:pPr>
      <w:r>
        <w:rPr>
          <w:noProof/>
          <w:lang w:val="pt-PT"/>
        </w:rPr>
        <w:br w:type="page"/>
      </w:r>
    </w:p>
    <w:p w14:paraId="1EF35F71" w14:textId="77777777" w:rsidR="00995182" w:rsidRDefault="00995182" w:rsidP="0099518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lastRenderedPageBreak/>
        <w:t xml:space="preserve">2. Seleciona-se a medida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904. Probation measures </w:t>
      </w:r>
      <w:r>
        <w:rPr>
          <w:rFonts w:ascii="Times New Roman" w:hAnsi="Times New Roman"/>
          <w:sz w:val="28"/>
          <w:szCs w:val="28"/>
          <w:lang w:val="pt-PT"/>
        </w:rPr>
        <w:t>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medidas de vigilância</w:t>
      </w:r>
      <w:r>
        <w:rPr>
          <w:rFonts w:ascii="Times New Roman" w:hAnsi="Times New Roman"/>
          <w:sz w:val="28"/>
          <w:szCs w:val="28"/>
          <w:lang w:val="pt-PT"/>
        </w:rPr>
        <w:t xml:space="preserve">). De seguida, seleciona-se a secção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Next </w:t>
      </w:r>
      <w:r>
        <w:rPr>
          <w:rFonts w:ascii="Times New Roman" w:hAnsi="Times New Roman"/>
          <w:sz w:val="28"/>
          <w:szCs w:val="28"/>
          <w:lang w:val="pt-PT"/>
        </w:rPr>
        <w:t>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Seguinte</w:t>
      </w:r>
      <w:r>
        <w:rPr>
          <w:rFonts w:ascii="Times New Roman" w:hAnsi="Times New Roman"/>
          <w:sz w:val="28"/>
          <w:szCs w:val="28"/>
          <w:lang w:val="pt-PT"/>
        </w:rPr>
        <w:t>), como ilustrado abaixo.</w:t>
      </w:r>
    </w:p>
    <w:p w14:paraId="79A12C44" w14:textId="77777777" w:rsidR="004B3A9E" w:rsidRPr="003E5188" w:rsidRDefault="004B3A9E" w:rsidP="0099518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B7C332" wp14:editId="2FC81587">
                <wp:simplePos x="0" y="0"/>
                <wp:positionH relativeFrom="column">
                  <wp:posOffset>186267</wp:posOffset>
                </wp:positionH>
                <wp:positionV relativeFrom="paragraph">
                  <wp:posOffset>166793</wp:posOffset>
                </wp:positionV>
                <wp:extent cx="5842000" cy="3733800"/>
                <wp:effectExtent l="0" t="0" r="25400" b="19050"/>
                <wp:wrapNone/>
                <wp:docPr id="35" name="Téglala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0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E12116" id="Téglalap 35" o:spid="_x0000_s1026" style="position:absolute;margin-left:14.65pt;margin-top:13.15pt;width:460pt;height:29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" filled="f" strokecolor="black [3213]" strokeweight="1pt"/>
            </w:pict>
          </mc:Fallback>
        </mc:AlternateContent>
      </w:r>
    </w:p>
    <w:p w14:paraId="372C3214" w14:textId="77777777" w:rsidR="00995182" w:rsidRPr="003E5188" w:rsidRDefault="00995182" w:rsidP="0099518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pt-PT"/>
        </w:rPr>
        <w:drawing>
          <wp:inline distT="0" distB="0" distL="0" distR="0" wp14:anchorId="29EEB702" wp14:editId="45EF8ED5">
            <wp:extent cx="5734050" cy="363855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9E908" w14:textId="77777777" w:rsidR="00995182" w:rsidRPr="003E5188" w:rsidRDefault="00995182" w:rsidP="0099518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6BDA17D" w14:textId="77777777" w:rsidR="00995182" w:rsidRPr="003E5188" w:rsidRDefault="00995182" w:rsidP="00995182">
      <w:pPr>
        <w:spacing w:after="0"/>
        <w:jc w:val="both"/>
        <w:rPr>
          <w:noProof/>
        </w:rPr>
      </w:pPr>
    </w:p>
    <w:p w14:paraId="33E8FA20" w14:textId="77777777" w:rsidR="00995182" w:rsidRPr="003E5188" w:rsidRDefault="00995182" w:rsidP="0099518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3. Introduz-se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Hamburg </w:t>
      </w:r>
      <w:r>
        <w:rPr>
          <w:rFonts w:ascii="Times New Roman" w:hAnsi="Times New Roman"/>
          <w:sz w:val="28"/>
          <w:szCs w:val="28"/>
          <w:lang w:val="pt-PT"/>
        </w:rPr>
        <w:t>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Hamburgo</w:t>
      </w:r>
      <w:r>
        <w:rPr>
          <w:rFonts w:ascii="Times New Roman" w:hAnsi="Times New Roman"/>
          <w:sz w:val="28"/>
          <w:szCs w:val="28"/>
          <w:lang w:val="pt-PT"/>
        </w:rPr>
        <w:t xml:space="preserve">). De seguida, seleciona-se a secção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 xml:space="preserve">Next </w:t>
      </w:r>
      <w:r>
        <w:rPr>
          <w:rFonts w:ascii="Times New Roman" w:hAnsi="Times New Roman"/>
          <w:sz w:val="28"/>
          <w:szCs w:val="28"/>
          <w:lang w:val="pt-PT"/>
        </w:rPr>
        <w:t>(</w:t>
      </w:r>
      <w:r w:rsidRPr="002E46E4">
        <w:rPr>
          <w:rFonts w:ascii="Times New Roman" w:hAnsi="Times New Roman"/>
          <w:i/>
          <w:iCs/>
          <w:sz w:val="28"/>
          <w:szCs w:val="28"/>
          <w:lang w:val="pt-PT"/>
        </w:rPr>
        <w:t>Seguinte</w:t>
      </w:r>
      <w:r>
        <w:rPr>
          <w:rFonts w:ascii="Times New Roman" w:hAnsi="Times New Roman"/>
          <w:sz w:val="28"/>
          <w:szCs w:val="28"/>
          <w:lang w:val="pt-PT"/>
        </w:rPr>
        <w:t>), como ilustrado abaixo.</w:t>
      </w:r>
    </w:p>
    <w:p w14:paraId="0BD05C91" w14:textId="77777777" w:rsidR="00995182" w:rsidRPr="003E5188" w:rsidRDefault="004B3A9E" w:rsidP="00995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4769AF" wp14:editId="58AE0C0E">
                <wp:simplePos x="0" y="0"/>
                <wp:positionH relativeFrom="column">
                  <wp:posOffset>-67733</wp:posOffset>
                </wp:positionH>
                <wp:positionV relativeFrom="paragraph">
                  <wp:posOffset>113453</wp:posOffset>
                </wp:positionV>
                <wp:extent cx="5833533" cy="3564467"/>
                <wp:effectExtent l="0" t="0" r="15240" b="17145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533" cy="3564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B8CD1" id="Téglalap 37" o:spid="_x0000_s1026" style="position:absolute;margin-left:-5.35pt;margin-top:8.95pt;width:459.35pt;height:280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" filled="f" strokecolor="black [3213]" strokeweight="1pt"/>
            </w:pict>
          </mc:Fallback>
        </mc:AlternateContent>
      </w:r>
    </w:p>
    <w:p w14:paraId="537BF054" w14:textId="77777777" w:rsidR="00995182" w:rsidRPr="003E5188" w:rsidRDefault="00995182" w:rsidP="00995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pt-PT"/>
        </w:rPr>
        <w:drawing>
          <wp:inline distT="0" distB="0" distL="0" distR="0" wp14:anchorId="281158BE" wp14:editId="3C863AD4">
            <wp:extent cx="5734050" cy="3419475"/>
            <wp:effectExtent l="0" t="0" r="0" b="95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51021" w14:textId="77777777" w:rsidR="00DB530F" w:rsidRPr="003E5188" w:rsidRDefault="00DB530F" w:rsidP="00DB530F">
      <w:pPr>
        <w:spacing w:after="0"/>
        <w:jc w:val="both"/>
        <w:rPr>
          <w:noProof/>
        </w:rPr>
      </w:pPr>
    </w:p>
    <w:p w14:paraId="2C68B262" w14:textId="12599BB6" w:rsidR="00995182" w:rsidRPr="003E5188" w:rsidRDefault="00995182" w:rsidP="0099518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t-PT"/>
        </w:rPr>
        <w:lastRenderedPageBreak/>
        <w:t>4. No final, é apresentado o resultado da pesquisa, como ilustrado abaixo.</w:t>
      </w:r>
    </w:p>
    <w:p w14:paraId="47901EC3" w14:textId="77777777" w:rsidR="00995182" w:rsidRPr="003E5188" w:rsidRDefault="004B3A9E" w:rsidP="0099518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8BADA3" wp14:editId="7D90F8CA">
                <wp:simplePos x="0" y="0"/>
                <wp:positionH relativeFrom="column">
                  <wp:posOffset>-50800</wp:posOffset>
                </wp:positionH>
                <wp:positionV relativeFrom="paragraph">
                  <wp:posOffset>134197</wp:posOffset>
                </wp:positionV>
                <wp:extent cx="5808133" cy="4766733"/>
                <wp:effectExtent l="0" t="0" r="21590" b="15240"/>
                <wp:wrapNone/>
                <wp:docPr id="38" name="Téglala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8133" cy="4766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BC55D" id="Téglalap 38" o:spid="_x0000_s1026" style="position:absolute;margin-left:-4pt;margin-top:10.55pt;width:457.35pt;height:375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" filled="f" strokecolor="black [3213]" strokeweight="1pt"/>
            </w:pict>
          </mc:Fallback>
        </mc:AlternateContent>
      </w:r>
    </w:p>
    <w:p w14:paraId="7EF8EB6A" w14:textId="77777777" w:rsidR="00995182" w:rsidRPr="003E5188" w:rsidRDefault="00995182" w:rsidP="00995182">
      <w:pPr>
        <w:spacing w:after="0"/>
        <w:jc w:val="both"/>
      </w:pPr>
      <w:r>
        <w:rPr>
          <w:noProof/>
          <w:lang w:val="pt-PT"/>
        </w:rPr>
        <w:drawing>
          <wp:inline distT="0" distB="0" distL="0" distR="0" wp14:anchorId="3DA54E86" wp14:editId="09C24F50">
            <wp:extent cx="5734050" cy="46482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C33C6" w14:textId="77777777" w:rsidR="00DB530F" w:rsidRPr="003E5188" w:rsidRDefault="00DB530F" w:rsidP="00DB530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80B0CEC" w14:textId="77777777" w:rsidR="008C5592" w:rsidRPr="003E5188" w:rsidRDefault="008C5592" w:rsidP="00A257D5">
      <w:pPr>
        <w:ind w:left="810"/>
        <w:jc w:val="both"/>
        <w:rPr>
          <w:rFonts w:ascii="Times New Roman" w:hAnsi="Times New Roman"/>
        </w:rPr>
      </w:pPr>
    </w:p>
    <w:sectPr w:rsidR="008C5592" w:rsidRPr="003E5188" w:rsidSect="00070BEA">
      <w:footerReference w:type="default" r:id="rId38"/>
      <w:pgSz w:w="11906" w:h="16838"/>
      <w:pgMar w:top="1440" w:right="1440" w:bottom="1440" w:left="1440" w:header="708" w:footer="708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CFBE1" w14:textId="77777777" w:rsidR="00DA6E2B" w:rsidRDefault="00DA6E2B">
      <w:pPr>
        <w:spacing w:after="0"/>
      </w:pPr>
      <w:r>
        <w:separator/>
      </w:r>
    </w:p>
  </w:endnote>
  <w:endnote w:type="continuationSeparator" w:id="0">
    <w:p w14:paraId="5D162914" w14:textId="77777777" w:rsidR="00DA6E2B" w:rsidRDefault="00DA6E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T 55 Roman">
    <w:altName w:val="Malgun Gothic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7863B" w14:textId="77777777" w:rsidR="006E4EB0" w:rsidRPr="00070BEA" w:rsidRDefault="006E4EB0">
    <w:pPr>
      <w:pStyle w:val="Rodap"/>
      <w:jc w:val="right"/>
      <w:rPr>
        <w:rFonts w:ascii="Times New Roman" w:hAnsi="Times New Roman"/>
        <w:b/>
        <w:sz w:val="24"/>
      </w:rPr>
    </w:pPr>
    <w:r>
      <w:rPr>
        <w:rFonts w:ascii="Times New Roman" w:hAnsi="Times New Roman"/>
        <w:sz w:val="24"/>
        <w:lang w:val="pt-PT"/>
      </w:rPr>
      <w:fldChar w:fldCharType="begin"/>
    </w:r>
    <w:r>
      <w:rPr>
        <w:rFonts w:ascii="Times New Roman" w:hAnsi="Times New Roman"/>
        <w:sz w:val="24"/>
        <w:lang w:val="pt-PT"/>
      </w:rPr>
      <w:instrText xml:space="preserve"> PAGE </w:instrText>
    </w:r>
    <w:r>
      <w:rPr>
        <w:rFonts w:ascii="Times New Roman" w:hAnsi="Times New Roman"/>
        <w:sz w:val="24"/>
        <w:lang w:val="pt-PT"/>
      </w:rPr>
      <w:fldChar w:fldCharType="separate"/>
    </w:r>
    <w:r>
      <w:rPr>
        <w:rFonts w:ascii="Times New Roman" w:hAnsi="Times New Roman"/>
        <w:b/>
        <w:bCs/>
        <w:sz w:val="24"/>
        <w:lang w:val="pt-PT"/>
      </w:rPr>
      <w:t>2</w:t>
    </w:r>
    <w:r>
      <w:rPr>
        <w:rFonts w:ascii="Times New Roman" w:hAnsi="Times New Roman"/>
        <w:sz w:val="24"/>
        <w:lang w:val="pt-PT"/>
      </w:rPr>
      <w:fldChar w:fldCharType="end"/>
    </w:r>
  </w:p>
  <w:p w14:paraId="5E456231" w14:textId="77777777" w:rsidR="006E4EB0" w:rsidRDefault="006E4EB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95095" w14:textId="77777777" w:rsidR="00DA6E2B" w:rsidRDefault="00DA6E2B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44CA1B57" w14:textId="77777777" w:rsidR="00DA6E2B" w:rsidRDefault="00DA6E2B">
      <w:pPr>
        <w:spacing w:after="0"/>
      </w:pPr>
      <w:r>
        <w:continuationSeparator/>
      </w:r>
    </w:p>
  </w:footnote>
  <w:footnote w:id="1">
    <w:p w14:paraId="2F48FFE0" w14:textId="77777777" w:rsidR="006E4EB0" w:rsidRDefault="006E4EB0">
      <w:pPr>
        <w:pStyle w:val="Textodenotaderodap"/>
      </w:pPr>
      <w:r>
        <w:rPr>
          <w:rStyle w:val="Refdenotaderodap"/>
          <w:lang w:val="pt-PT"/>
        </w:rPr>
        <w:footnoteRef/>
      </w:r>
      <w:r>
        <w:rPr>
          <w:lang w:val="pt-PT"/>
        </w:rPr>
        <w:t xml:space="preserve"> </w:t>
      </w:r>
      <w:r>
        <w:rPr>
          <w:rFonts w:ascii="Times New Roman" w:hAnsi="Times New Roman"/>
          <w:sz w:val="18"/>
          <w:szCs w:val="18"/>
          <w:lang w:val="pt-PT"/>
        </w:rPr>
        <w:t>J.O. L 337, 16.12.2008</w:t>
      </w:r>
    </w:p>
  </w:footnote>
  <w:footnote w:id="2">
    <w:p w14:paraId="1E8D103D" w14:textId="77777777" w:rsidR="006E4EB0" w:rsidRDefault="006E4EB0">
      <w:pPr>
        <w:pStyle w:val="Textodenotaderodap"/>
      </w:pPr>
      <w:r>
        <w:rPr>
          <w:rStyle w:val="Refdenotaderodap"/>
          <w:lang w:val="pt-PT"/>
        </w:rPr>
        <w:footnoteRef/>
      </w:r>
      <w:r>
        <w:rPr>
          <w:rFonts w:ascii="Times New Roman" w:hAnsi="Times New Roman"/>
          <w:sz w:val="18"/>
          <w:szCs w:val="18"/>
          <w:lang w:val="pt-PT"/>
        </w:rPr>
        <w:t xml:space="preserve"> J.O. L 327, 05.12.2008</w:t>
      </w:r>
    </w:p>
  </w:footnote>
  <w:footnote w:id="3">
    <w:p w14:paraId="24B4C22A" w14:textId="77777777" w:rsidR="006E4EB0" w:rsidRDefault="006E4EB0">
      <w:pPr>
        <w:pStyle w:val="Textodenotaderodap"/>
      </w:pPr>
      <w:r>
        <w:rPr>
          <w:rStyle w:val="Refdenotaderodap"/>
          <w:lang w:val="pt-PT"/>
        </w:rPr>
        <w:footnoteRef/>
      </w:r>
      <w:r>
        <w:rPr>
          <w:lang w:val="pt-PT"/>
        </w:rPr>
        <w:t xml:space="preserve"> </w:t>
      </w:r>
      <w:r>
        <w:rPr>
          <w:rFonts w:ascii="Times New Roman" w:hAnsi="Times New Roman"/>
          <w:sz w:val="18"/>
          <w:szCs w:val="18"/>
          <w:lang w:val="pt-PT"/>
        </w:rPr>
        <w:t>J.O. L 76, 22.03.2005</w:t>
      </w:r>
    </w:p>
  </w:footnote>
  <w:footnote w:id="4">
    <w:p w14:paraId="45897C1B" w14:textId="77777777" w:rsidR="006E4EB0" w:rsidRDefault="006E4EB0">
      <w:pPr>
        <w:pStyle w:val="Textodenotaderodap"/>
      </w:pPr>
      <w:r>
        <w:rPr>
          <w:rStyle w:val="Refdenotaderodap"/>
          <w:lang w:val="pt-PT"/>
        </w:rPr>
        <w:footnoteRef/>
      </w:r>
      <w:r>
        <w:rPr>
          <w:lang w:val="pt-PT"/>
        </w:rPr>
        <w:t xml:space="preserve"> </w:t>
      </w:r>
      <w:r>
        <w:rPr>
          <w:rFonts w:ascii="Times New Roman" w:hAnsi="Times New Roman"/>
          <w:sz w:val="18"/>
          <w:szCs w:val="18"/>
          <w:lang w:val="pt-PT"/>
        </w:rPr>
        <w:t>J.O. L 328, 24.11.2006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5AA7"/>
    <w:multiLevelType w:val="hybridMultilevel"/>
    <w:tmpl w:val="4702830C"/>
    <w:lvl w:ilvl="0" w:tplc="04070013">
      <w:start w:val="1"/>
      <w:numFmt w:val="upperRoman"/>
      <w:lvlText w:val="%1."/>
      <w:lvlJc w:val="righ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1675F4"/>
    <w:multiLevelType w:val="multilevel"/>
    <w:tmpl w:val="BFA25A08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8AC619C"/>
    <w:multiLevelType w:val="multilevel"/>
    <w:tmpl w:val="E3F00282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F805524"/>
    <w:multiLevelType w:val="hybridMultilevel"/>
    <w:tmpl w:val="2F9CB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94530"/>
    <w:multiLevelType w:val="multilevel"/>
    <w:tmpl w:val="0E8445E2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A02786C"/>
    <w:multiLevelType w:val="multilevel"/>
    <w:tmpl w:val="3F727E54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300A0"/>
    <w:multiLevelType w:val="multilevel"/>
    <w:tmpl w:val="384C4966"/>
    <w:lvl w:ilvl="0">
      <w:numFmt w:val="bullet"/>
      <w:lvlText w:val=""/>
      <w:lvlJc w:val="left"/>
      <w:pPr>
        <w:ind w:left="744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464" w:hanging="360"/>
      </w:pPr>
    </w:lvl>
    <w:lvl w:ilvl="2">
      <w:start w:val="1"/>
      <w:numFmt w:val="lowerRoman"/>
      <w:lvlText w:val="%3."/>
      <w:lvlJc w:val="right"/>
      <w:pPr>
        <w:ind w:left="2184" w:hanging="180"/>
      </w:pPr>
    </w:lvl>
    <w:lvl w:ilvl="3">
      <w:start w:val="1"/>
      <w:numFmt w:val="decimal"/>
      <w:lvlText w:val="%4."/>
      <w:lvlJc w:val="left"/>
      <w:pPr>
        <w:ind w:left="2904" w:hanging="360"/>
      </w:pPr>
    </w:lvl>
    <w:lvl w:ilvl="4">
      <w:start w:val="1"/>
      <w:numFmt w:val="lowerLetter"/>
      <w:lvlText w:val="%5."/>
      <w:lvlJc w:val="left"/>
      <w:pPr>
        <w:ind w:left="3624" w:hanging="360"/>
      </w:pPr>
    </w:lvl>
    <w:lvl w:ilvl="5">
      <w:start w:val="1"/>
      <w:numFmt w:val="lowerRoman"/>
      <w:lvlText w:val="%6."/>
      <w:lvlJc w:val="right"/>
      <w:pPr>
        <w:ind w:left="4344" w:hanging="180"/>
      </w:pPr>
    </w:lvl>
    <w:lvl w:ilvl="6">
      <w:start w:val="1"/>
      <w:numFmt w:val="decimal"/>
      <w:lvlText w:val="%7."/>
      <w:lvlJc w:val="left"/>
      <w:pPr>
        <w:ind w:left="5064" w:hanging="360"/>
      </w:pPr>
    </w:lvl>
    <w:lvl w:ilvl="7">
      <w:start w:val="1"/>
      <w:numFmt w:val="lowerLetter"/>
      <w:lvlText w:val="%8."/>
      <w:lvlJc w:val="left"/>
      <w:pPr>
        <w:ind w:left="5784" w:hanging="360"/>
      </w:pPr>
    </w:lvl>
    <w:lvl w:ilvl="8">
      <w:start w:val="1"/>
      <w:numFmt w:val="lowerRoman"/>
      <w:lvlText w:val="%9."/>
      <w:lvlJc w:val="right"/>
      <w:pPr>
        <w:ind w:left="6504" w:hanging="180"/>
      </w:pPr>
    </w:lvl>
  </w:abstractNum>
  <w:abstractNum w:abstractNumId="7" w15:restartNumberingAfterBreak="0">
    <w:nsid w:val="24493866"/>
    <w:multiLevelType w:val="multilevel"/>
    <w:tmpl w:val="9F2A8286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8200A0B"/>
    <w:multiLevelType w:val="multilevel"/>
    <w:tmpl w:val="592429D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4265E"/>
    <w:multiLevelType w:val="multilevel"/>
    <w:tmpl w:val="1E96B1EC"/>
    <w:lvl w:ilvl="0">
      <w:start w:val="1"/>
      <w:numFmt w:val="upp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C60494"/>
    <w:multiLevelType w:val="multilevel"/>
    <w:tmpl w:val="977E63A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60725D"/>
    <w:multiLevelType w:val="multilevel"/>
    <w:tmpl w:val="4DC62570"/>
    <w:lvl w:ilvl="0">
      <w:start w:val="5"/>
      <w:numFmt w:val="none"/>
      <w:lvlText w:val="%1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2" w15:restartNumberingAfterBreak="0">
    <w:nsid w:val="2EAB0AC1"/>
    <w:multiLevelType w:val="hybridMultilevel"/>
    <w:tmpl w:val="4FAA93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9389E"/>
    <w:multiLevelType w:val="multilevel"/>
    <w:tmpl w:val="0AE6968C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387A6A3F"/>
    <w:multiLevelType w:val="multilevel"/>
    <w:tmpl w:val="75DE239C"/>
    <w:lvl w:ilvl="0">
      <w:numFmt w:val="bullet"/>
      <w:lvlText w:val=""/>
      <w:lvlJc w:val="left"/>
      <w:pPr>
        <w:ind w:left="852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57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9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1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3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5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7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9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12" w:hanging="360"/>
      </w:pPr>
      <w:rPr>
        <w:rFonts w:ascii="Wingdings" w:hAnsi="Wingdings"/>
      </w:rPr>
    </w:lvl>
  </w:abstractNum>
  <w:abstractNum w:abstractNumId="15" w15:restartNumberingAfterBreak="0">
    <w:nsid w:val="42D94B3F"/>
    <w:multiLevelType w:val="hybridMultilevel"/>
    <w:tmpl w:val="AED807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E224D"/>
    <w:multiLevelType w:val="multilevel"/>
    <w:tmpl w:val="3C48EC0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442E6D2E"/>
    <w:multiLevelType w:val="multilevel"/>
    <w:tmpl w:val="920A0F40"/>
    <w:lvl w:ilvl="0">
      <w:numFmt w:val="bullet"/>
      <w:lvlText w:val=""/>
      <w:lvlJc w:val="left"/>
      <w:pPr>
        <w:ind w:left="74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04" w:hanging="360"/>
      </w:pPr>
      <w:rPr>
        <w:rFonts w:ascii="Wingdings" w:hAnsi="Wingdings"/>
      </w:rPr>
    </w:lvl>
  </w:abstractNum>
  <w:abstractNum w:abstractNumId="18" w15:restartNumberingAfterBreak="0">
    <w:nsid w:val="44401AC5"/>
    <w:multiLevelType w:val="multilevel"/>
    <w:tmpl w:val="3F586C14"/>
    <w:lvl w:ilvl="0">
      <w:numFmt w:val="bullet"/>
      <w:lvlText w:val=""/>
      <w:lvlJc w:val="left"/>
      <w:pPr>
        <w:ind w:left="672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39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1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3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5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7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9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1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32" w:hanging="360"/>
      </w:pPr>
      <w:rPr>
        <w:rFonts w:ascii="Wingdings" w:hAnsi="Wingdings"/>
      </w:rPr>
    </w:lvl>
  </w:abstractNum>
  <w:abstractNum w:abstractNumId="19" w15:restartNumberingAfterBreak="0">
    <w:nsid w:val="451B5ED5"/>
    <w:multiLevelType w:val="multilevel"/>
    <w:tmpl w:val="CC64AEFA"/>
    <w:lvl w:ilvl="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0" w15:restartNumberingAfterBreak="0">
    <w:nsid w:val="488850F3"/>
    <w:multiLevelType w:val="multilevel"/>
    <w:tmpl w:val="1E96B1EC"/>
    <w:lvl w:ilvl="0">
      <w:start w:val="1"/>
      <w:numFmt w:val="upp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EB0222"/>
    <w:multiLevelType w:val="hybridMultilevel"/>
    <w:tmpl w:val="566253F2"/>
    <w:lvl w:ilvl="0" w:tplc="080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4DE50897"/>
    <w:multiLevelType w:val="multilevel"/>
    <w:tmpl w:val="6986DA10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4E321ADC"/>
    <w:multiLevelType w:val="multilevel"/>
    <w:tmpl w:val="5B925E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8A4391"/>
    <w:multiLevelType w:val="multilevel"/>
    <w:tmpl w:val="C952D4EC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6CE5C49"/>
    <w:multiLevelType w:val="multilevel"/>
    <w:tmpl w:val="5D6A0C68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586A1453"/>
    <w:multiLevelType w:val="multilevel"/>
    <w:tmpl w:val="D28034FE"/>
    <w:lvl w:ilvl="0">
      <w:numFmt w:val="bullet"/>
      <w:lvlText w:val=""/>
      <w:lvlJc w:val="left"/>
      <w:pPr>
        <w:ind w:left="8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5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00" w:hanging="360"/>
      </w:pPr>
      <w:rPr>
        <w:rFonts w:ascii="Wingdings" w:hAnsi="Wingdings"/>
      </w:rPr>
    </w:lvl>
  </w:abstractNum>
  <w:abstractNum w:abstractNumId="27" w15:restartNumberingAfterBreak="0">
    <w:nsid w:val="5B2C7710"/>
    <w:multiLevelType w:val="multilevel"/>
    <w:tmpl w:val="E3B656BC"/>
    <w:lvl w:ilvl="0">
      <w:numFmt w:val="bullet"/>
      <w:lvlText w:val=""/>
      <w:lvlJc w:val="left"/>
      <w:pPr>
        <w:ind w:left="768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28" w15:restartNumberingAfterBreak="0">
    <w:nsid w:val="5E855A8C"/>
    <w:multiLevelType w:val="multilevel"/>
    <w:tmpl w:val="E18A141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6F7F15"/>
    <w:multiLevelType w:val="multilevel"/>
    <w:tmpl w:val="6B0C3600"/>
    <w:lvl w:ilvl="0">
      <w:start w:val="1"/>
      <w:numFmt w:val="decimal"/>
      <w:lvlText w:val="%1)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30" w15:restartNumberingAfterBreak="0">
    <w:nsid w:val="6695204B"/>
    <w:multiLevelType w:val="multilevel"/>
    <w:tmpl w:val="1E96B1EC"/>
    <w:lvl w:ilvl="0">
      <w:start w:val="1"/>
      <w:numFmt w:val="upp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8334BCB"/>
    <w:multiLevelType w:val="multilevel"/>
    <w:tmpl w:val="CDB880C8"/>
    <w:lvl w:ilvl="0">
      <w:numFmt w:val="bullet"/>
      <w:lvlText w:val=""/>
      <w:lvlJc w:val="left"/>
      <w:pPr>
        <w:ind w:left="74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04" w:hanging="360"/>
      </w:pPr>
      <w:rPr>
        <w:rFonts w:ascii="Wingdings" w:hAnsi="Wingdings"/>
      </w:rPr>
    </w:lvl>
  </w:abstractNum>
  <w:abstractNum w:abstractNumId="32" w15:restartNumberingAfterBreak="0">
    <w:nsid w:val="692A312C"/>
    <w:multiLevelType w:val="multilevel"/>
    <w:tmpl w:val="54DC09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8B5C11"/>
    <w:multiLevelType w:val="multilevel"/>
    <w:tmpl w:val="727205E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FB5CFC"/>
    <w:multiLevelType w:val="multilevel"/>
    <w:tmpl w:val="0972B012"/>
    <w:lvl w:ilvl="0">
      <w:start w:val="1"/>
      <w:numFmt w:val="decimal"/>
      <w:lvlText w:val="%1)"/>
      <w:lvlJc w:val="left"/>
      <w:pPr>
        <w:ind w:left="1170" w:hanging="360"/>
      </w:p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5"/>
  </w:num>
  <w:num w:numId="2">
    <w:abstractNumId w:val="13"/>
  </w:num>
  <w:num w:numId="3">
    <w:abstractNumId w:val="24"/>
  </w:num>
  <w:num w:numId="4">
    <w:abstractNumId w:val="33"/>
  </w:num>
  <w:num w:numId="5">
    <w:abstractNumId w:val="32"/>
  </w:num>
  <w:num w:numId="6">
    <w:abstractNumId w:val="22"/>
  </w:num>
  <w:num w:numId="7">
    <w:abstractNumId w:val="10"/>
  </w:num>
  <w:num w:numId="8">
    <w:abstractNumId w:val="28"/>
  </w:num>
  <w:num w:numId="9">
    <w:abstractNumId w:val="16"/>
  </w:num>
  <w:num w:numId="10">
    <w:abstractNumId w:val="19"/>
  </w:num>
  <w:num w:numId="11">
    <w:abstractNumId w:val="11"/>
  </w:num>
  <w:num w:numId="12">
    <w:abstractNumId w:val="31"/>
  </w:num>
  <w:num w:numId="13">
    <w:abstractNumId w:val="4"/>
  </w:num>
  <w:num w:numId="14">
    <w:abstractNumId w:val="18"/>
  </w:num>
  <w:num w:numId="15">
    <w:abstractNumId w:val="2"/>
  </w:num>
  <w:num w:numId="16">
    <w:abstractNumId w:val="17"/>
  </w:num>
  <w:num w:numId="17">
    <w:abstractNumId w:val="26"/>
  </w:num>
  <w:num w:numId="18">
    <w:abstractNumId w:val="1"/>
  </w:num>
  <w:num w:numId="19">
    <w:abstractNumId w:val="25"/>
  </w:num>
  <w:num w:numId="20">
    <w:abstractNumId w:val="6"/>
  </w:num>
  <w:num w:numId="21">
    <w:abstractNumId w:val="27"/>
  </w:num>
  <w:num w:numId="22">
    <w:abstractNumId w:val="14"/>
  </w:num>
  <w:num w:numId="23">
    <w:abstractNumId w:val="7"/>
  </w:num>
  <w:num w:numId="24">
    <w:abstractNumId w:val="30"/>
  </w:num>
  <w:num w:numId="25">
    <w:abstractNumId w:val="23"/>
  </w:num>
  <w:num w:numId="26">
    <w:abstractNumId w:val="34"/>
  </w:num>
  <w:num w:numId="27">
    <w:abstractNumId w:val="3"/>
  </w:num>
  <w:num w:numId="28">
    <w:abstractNumId w:val="29"/>
  </w:num>
  <w:num w:numId="29">
    <w:abstractNumId w:val="8"/>
  </w:num>
  <w:num w:numId="3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20"/>
  </w:num>
  <w:num w:numId="36">
    <w:abstractNumId w:val="0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</w:num>
  <w:num w:numId="39">
    <w:abstractNumId w:val="12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6B3"/>
    <w:rsid w:val="000007B5"/>
    <w:rsid w:val="00036852"/>
    <w:rsid w:val="00065D7E"/>
    <w:rsid w:val="00066071"/>
    <w:rsid w:val="000707D7"/>
    <w:rsid w:val="00070BEA"/>
    <w:rsid w:val="000942F1"/>
    <w:rsid w:val="000D0661"/>
    <w:rsid w:val="000E54E6"/>
    <w:rsid w:val="000F2C96"/>
    <w:rsid w:val="00122503"/>
    <w:rsid w:val="00181CB2"/>
    <w:rsid w:val="001F0F5A"/>
    <w:rsid w:val="001F42CF"/>
    <w:rsid w:val="002013FF"/>
    <w:rsid w:val="0022412E"/>
    <w:rsid w:val="0022585C"/>
    <w:rsid w:val="00237693"/>
    <w:rsid w:val="00246D57"/>
    <w:rsid w:val="00247921"/>
    <w:rsid w:val="00253525"/>
    <w:rsid w:val="00257CAC"/>
    <w:rsid w:val="00270294"/>
    <w:rsid w:val="002E46E4"/>
    <w:rsid w:val="002E6D30"/>
    <w:rsid w:val="002F1822"/>
    <w:rsid w:val="003061BC"/>
    <w:rsid w:val="003111F6"/>
    <w:rsid w:val="00322CA4"/>
    <w:rsid w:val="00326B60"/>
    <w:rsid w:val="003449E4"/>
    <w:rsid w:val="0037236D"/>
    <w:rsid w:val="003759CB"/>
    <w:rsid w:val="003A0A74"/>
    <w:rsid w:val="003A34DA"/>
    <w:rsid w:val="003D4CFF"/>
    <w:rsid w:val="003D6750"/>
    <w:rsid w:val="003E5188"/>
    <w:rsid w:val="004215DD"/>
    <w:rsid w:val="00423A89"/>
    <w:rsid w:val="00430371"/>
    <w:rsid w:val="004846BB"/>
    <w:rsid w:val="004B3A9E"/>
    <w:rsid w:val="004C7175"/>
    <w:rsid w:val="004E46FE"/>
    <w:rsid w:val="005001C4"/>
    <w:rsid w:val="005524FB"/>
    <w:rsid w:val="0059494C"/>
    <w:rsid w:val="005A6887"/>
    <w:rsid w:val="005E30B0"/>
    <w:rsid w:val="005E542B"/>
    <w:rsid w:val="006036D6"/>
    <w:rsid w:val="00611ED8"/>
    <w:rsid w:val="006430E0"/>
    <w:rsid w:val="00647798"/>
    <w:rsid w:val="006856B3"/>
    <w:rsid w:val="006B6F72"/>
    <w:rsid w:val="006E227D"/>
    <w:rsid w:val="006E4EB0"/>
    <w:rsid w:val="00706949"/>
    <w:rsid w:val="007560EB"/>
    <w:rsid w:val="00761F27"/>
    <w:rsid w:val="007B1015"/>
    <w:rsid w:val="00812331"/>
    <w:rsid w:val="00845209"/>
    <w:rsid w:val="008460FA"/>
    <w:rsid w:val="00857655"/>
    <w:rsid w:val="008B7D94"/>
    <w:rsid w:val="008C5592"/>
    <w:rsid w:val="0090653F"/>
    <w:rsid w:val="00913648"/>
    <w:rsid w:val="00977C7F"/>
    <w:rsid w:val="00995182"/>
    <w:rsid w:val="009A20FB"/>
    <w:rsid w:val="009B09F0"/>
    <w:rsid w:val="00A257D5"/>
    <w:rsid w:val="00A539D3"/>
    <w:rsid w:val="00A81046"/>
    <w:rsid w:val="00A81F6A"/>
    <w:rsid w:val="00AA4CF3"/>
    <w:rsid w:val="00AC1DA0"/>
    <w:rsid w:val="00AD7C49"/>
    <w:rsid w:val="00B30DB0"/>
    <w:rsid w:val="00B55189"/>
    <w:rsid w:val="00B62C70"/>
    <w:rsid w:val="00B8676E"/>
    <w:rsid w:val="00C53CAB"/>
    <w:rsid w:val="00C60184"/>
    <w:rsid w:val="00C642F2"/>
    <w:rsid w:val="00C662F6"/>
    <w:rsid w:val="00CC0F5B"/>
    <w:rsid w:val="00CE7D40"/>
    <w:rsid w:val="00CF3C8E"/>
    <w:rsid w:val="00D20599"/>
    <w:rsid w:val="00D44E03"/>
    <w:rsid w:val="00D52FA2"/>
    <w:rsid w:val="00D83E42"/>
    <w:rsid w:val="00D87117"/>
    <w:rsid w:val="00D92E0F"/>
    <w:rsid w:val="00D943F9"/>
    <w:rsid w:val="00DA6E2B"/>
    <w:rsid w:val="00DB530F"/>
    <w:rsid w:val="00DD678D"/>
    <w:rsid w:val="00E00D02"/>
    <w:rsid w:val="00E11A21"/>
    <w:rsid w:val="00E25CD0"/>
    <w:rsid w:val="00E664C6"/>
    <w:rsid w:val="00E87BCC"/>
    <w:rsid w:val="00EB6C96"/>
    <w:rsid w:val="00EE6DED"/>
    <w:rsid w:val="00F2265A"/>
    <w:rsid w:val="00F23555"/>
    <w:rsid w:val="00FD770D"/>
    <w:rsid w:val="00FF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D9065"/>
  <w15:docId w15:val="{6EFA19EB-D2C4-4021-84D2-442668B9E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N w:val="0"/>
      <w:spacing w:after="160"/>
      <w:textAlignment w:val="baseline"/>
    </w:pPr>
    <w:rPr>
      <w:sz w:val="22"/>
      <w:szCs w:val="22"/>
      <w:lang w:val="es-E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qFormat/>
    <w:pPr>
      <w:ind w:left="720"/>
    </w:pPr>
  </w:style>
  <w:style w:type="character" w:styleId="Hiperligao">
    <w:name w:val="Hyperlink"/>
    <w:rPr>
      <w:color w:val="0563C1"/>
      <w:u w:val="single"/>
    </w:rPr>
  </w:style>
  <w:style w:type="character" w:styleId="MenoNoResolvida">
    <w:name w:val="Unresolved Mention"/>
    <w:rPr>
      <w:color w:val="605E5C"/>
      <w:shd w:val="clear" w:color="auto" w:fill="E1DFDD"/>
    </w:rPr>
  </w:style>
  <w:style w:type="paragraph" w:styleId="Cabealho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rPr>
      <w:lang w:val="es-ES"/>
    </w:rPr>
  </w:style>
  <w:style w:type="paragraph" w:styleId="Rodap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rPr>
      <w:lang w:val="es-ES"/>
    </w:rPr>
  </w:style>
  <w:style w:type="paragraph" w:styleId="Textodenotaderodap">
    <w:name w:val="footnote text"/>
    <w:basedOn w:val="Normal"/>
    <w:pPr>
      <w:spacing w:after="0"/>
    </w:pPr>
    <w:rPr>
      <w:sz w:val="20"/>
      <w:szCs w:val="20"/>
    </w:rPr>
  </w:style>
  <w:style w:type="character" w:customStyle="1" w:styleId="FootnoteTextChar">
    <w:name w:val="Footnote Text Char"/>
    <w:rPr>
      <w:sz w:val="20"/>
      <w:szCs w:val="20"/>
      <w:lang w:val="es-ES"/>
    </w:rPr>
  </w:style>
  <w:style w:type="character" w:styleId="Refdenotaderodap">
    <w:name w:val="footnote reference"/>
    <w:rPr>
      <w:position w:val="0"/>
      <w:vertAlign w:val="superscript"/>
    </w:rPr>
  </w:style>
  <w:style w:type="character" w:styleId="Hiperligaovisitada">
    <w:name w:val="FollowedHyperlink"/>
    <w:rPr>
      <w:color w:val="954F72"/>
      <w:u w:val="single"/>
    </w:rPr>
  </w:style>
  <w:style w:type="character" w:styleId="Forte">
    <w:name w:val="Strong"/>
    <w:basedOn w:val="Tipodeletrapredefinidodopargrafo"/>
    <w:uiPriority w:val="22"/>
    <w:qFormat/>
    <w:rsid w:val="00D83E42"/>
    <w:rPr>
      <w:b/>
      <w:bCs/>
    </w:rPr>
  </w:style>
  <w:style w:type="paragraph" w:customStyle="1" w:styleId="Test">
    <w:name w:val="Test!"/>
    <w:basedOn w:val="Normal"/>
    <w:rsid w:val="00D83E42"/>
    <w:pPr>
      <w:pBdr>
        <w:top w:val="single" w:sz="4" w:space="1" w:color="000000"/>
        <w:left w:val="single" w:sz="4" w:space="4" w:color="000000"/>
        <w:bottom w:val="single" w:sz="4" w:space="4" w:color="000000"/>
        <w:right w:val="single" w:sz="4" w:space="4" w:color="000000"/>
      </w:pBdr>
      <w:shd w:val="clear" w:color="auto" w:fill="AEAAAA"/>
      <w:tabs>
        <w:tab w:val="center" w:pos="4535"/>
      </w:tabs>
      <w:suppressAutoHyphens w:val="0"/>
      <w:spacing w:after="300" w:line="276" w:lineRule="auto"/>
      <w:textAlignment w:val="auto"/>
    </w:pPr>
    <w:rPr>
      <w:rFonts w:ascii="Frutiger LT 55 Roman" w:eastAsia="Times New Roman" w:hAnsi="Frutiger LT 55 Roman"/>
      <w:b/>
      <w:color w:val="323E4F"/>
      <w:spacing w:val="5"/>
      <w:kern w:val="3"/>
      <w:sz w:val="24"/>
      <w:szCs w:val="24"/>
      <w:lang w:val="en-GB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C6018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C60184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60184"/>
    <w:rPr>
      <w:lang w:val="es-ES"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6018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60184"/>
    <w:rPr>
      <w:b/>
      <w:bCs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jn-crimjust.europa.eu/ejn/EJN_Library_StatusOfImpByCat.aspx?l=EN&amp;CategoryId=37" TargetMode="External"/><Relationship Id="rId13" Type="http://schemas.openxmlformats.org/officeDocument/2006/relationships/hyperlink" Target="http://www.ejn-crimjust.europa.eu" TargetMode="External"/><Relationship Id="rId18" Type="http://schemas.openxmlformats.org/officeDocument/2006/relationships/hyperlink" Target="mailto:cis.bxl@just.fgov.be" TargetMode="External"/><Relationship Id="rId26" Type="http://schemas.openxmlformats.org/officeDocument/2006/relationships/image" Target="media/image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s://www.ejn-crimjust.europa.eu/ejn/AtlasChooseCountry/EN" TargetMode="External"/><Relationship Id="rId17" Type="http://schemas.openxmlformats.org/officeDocument/2006/relationships/hyperlink" Target="https://www.ejn-crimjust.europa.eu/ejn/libcategories/EN/37/-1/-1/-1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jn-crimjust.europa.eu" TargetMode="External"/><Relationship Id="rId20" Type="http://schemas.openxmlformats.org/officeDocument/2006/relationships/hyperlink" Target="https://www.ejn-crimjust.europa.eu/ejn/libdocumentproperties/EN/1747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jn-crimjust.europa.eu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ejn-crimjust.europa.eu/ejn/libcategories/EN/37/-1/-1/-1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yperlink" Target="https://www.ejn-crimjust.europa.eu/ejnupload/Practical_info/Probation/ImplemantionProbationNov16.PDF" TargetMode="External"/><Relationship Id="rId19" Type="http://schemas.openxmlformats.org/officeDocument/2006/relationships/hyperlink" Target="mailto:audiencianacional.scrrda@justicia.es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ejn-crimjust.europa.eu" TargetMode="External"/><Relationship Id="rId14" Type="http://schemas.openxmlformats.org/officeDocument/2006/relationships/hyperlink" Target="https://www.ejn-crimjust.europa.eu/ejn/AtlasAuthorityData/EN/277/9/907/54/369/2/0/4222/466/0/1/916/1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BFED5-1A8C-497D-8435-AE24421C5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36</Pages>
  <Words>8655</Words>
  <Characters>46737</Characters>
  <Application>Microsoft Office Word</Application>
  <DocSecurity>0</DocSecurity>
  <Lines>389</Lines>
  <Paragraphs>110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55282</CharactersWithSpaces>
  <SharedDoc>false</SharedDoc>
  <HLinks>
    <vt:vector size="66" baseType="variant">
      <vt:variant>
        <vt:i4>196672</vt:i4>
      </vt:variant>
      <vt:variant>
        <vt:i4>30</vt:i4>
      </vt:variant>
      <vt:variant>
        <vt:i4>0</vt:i4>
      </vt:variant>
      <vt:variant>
        <vt:i4>5</vt:i4>
      </vt:variant>
      <vt:variant>
        <vt:lpwstr>https://www.ejn-crimjust.europa.eu/ejn/libdocumentproperties/EN/1747</vt:lpwstr>
      </vt:variant>
      <vt:variant>
        <vt:lpwstr/>
      </vt:variant>
      <vt:variant>
        <vt:i4>4784187</vt:i4>
      </vt:variant>
      <vt:variant>
        <vt:i4>27</vt:i4>
      </vt:variant>
      <vt:variant>
        <vt:i4>0</vt:i4>
      </vt:variant>
      <vt:variant>
        <vt:i4>5</vt:i4>
      </vt:variant>
      <vt:variant>
        <vt:lpwstr>mailto:audiencianacional.scrrda@justicia.es</vt:lpwstr>
      </vt:variant>
      <vt:variant>
        <vt:lpwstr/>
      </vt:variant>
      <vt:variant>
        <vt:i4>3670035</vt:i4>
      </vt:variant>
      <vt:variant>
        <vt:i4>24</vt:i4>
      </vt:variant>
      <vt:variant>
        <vt:i4>0</vt:i4>
      </vt:variant>
      <vt:variant>
        <vt:i4>5</vt:i4>
      </vt:variant>
      <vt:variant>
        <vt:lpwstr>mailto:cis.bxl@just.fgov.be</vt:lpwstr>
      </vt:variant>
      <vt:variant>
        <vt:lpwstr/>
      </vt:variant>
      <vt:variant>
        <vt:i4>2883637</vt:i4>
      </vt:variant>
      <vt:variant>
        <vt:i4>21</vt:i4>
      </vt:variant>
      <vt:variant>
        <vt:i4>0</vt:i4>
      </vt:variant>
      <vt:variant>
        <vt:i4>5</vt:i4>
      </vt:variant>
      <vt:variant>
        <vt:lpwstr>http://www.ejn-crimjust.europa.eu/</vt:lpwstr>
      </vt:variant>
      <vt:variant>
        <vt:lpwstr/>
      </vt:variant>
      <vt:variant>
        <vt:i4>3801186</vt:i4>
      </vt:variant>
      <vt:variant>
        <vt:i4>18</vt:i4>
      </vt:variant>
      <vt:variant>
        <vt:i4>0</vt:i4>
      </vt:variant>
      <vt:variant>
        <vt:i4>5</vt:i4>
      </vt:variant>
      <vt:variant>
        <vt:lpwstr>https://www.ejn-crimjust.europa.eu/ejn/libcategories/EN/37/-1/-1/-1</vt:lpwstr>
      </vt:variant>
      <vt:variant>
        <vt:lpwstr/>
      </vt:variant>
      <vt:variant>
        <vt:i4>1966093</vt:i4>
      </vt:variant>
      <vt:variant>
        <vt:i4>15</vt:i4>
      </vt:variant>
      <vt:variant>
        <vt:i4>0</vt:i4>
      </vt:variant>
      <vt:variant>
        <vt:i4>5</vt:i4>
      </vt:variant>
      <vt:variant>
        <vt:lpwstr>https://www.ejn-crimjust.europa.eu/ejn/AtlasAuthorityData/EN/277/9/907/54/369/2/0/4222/466/0/1/916/1</vt:lpwstr>
      </vt:variant>
      <vt:variant>
        <vt:lpwstr/>
      </vt:variant>
      <vt:variant>
        <vt:i4>2883637</vt:i4>
      </vt:variant>
      <vt:variant>
        <vt:i4>12</vt:i4>
      </vt:variant>
      <vt:variant>
        <vt:i4>0</vt:i4>
      </vt:variant>
      <vt:variant>
        <vt:i4>5</vt:i4>
      </vt:variant>
      <vt:variant>
        <vt:lpwstr>http://www.ejn-crimjust.europa.eu/</vt:lpwstr>
      </vt:variant>
      <vt:variant>
        <vt:lpwstr/>
      </vt:variant>
      <vt:variant>
        <vt:i4>327727</vt:i4>
      </vt:variant>
      <vt:variant>
        <vt:i4>9</vt:i4>
      </vt:variant>
      <vt:variant>
        <vt:i4>0</vt:i4>
      </vt:variant>
      <vt:variant>
        <vt:i4>5</vt:i4>
      </vt:variant>
      <vt:variant>
        <vt:lpwstr>https://www.ejn-crimjust.europa.eu/ejnupload/Practical_info/Probation/ImplemantionProbationNov16.PDF</vt:lpwstr>
      </vt:variant>
      <vt:variant>
        <vt:lpwstr/>
      </vt:variant>
      <vt:variant>
        <vt:i4>2883637</vt:i4>
      </vt:variant>
      <vt:variant>
        <vt:i4>6</vt:i4>
      </vt:variant>
      <vt:variant>
        <vt:i4>0</vt:i4>
      </vt:variant>
      <vt:variant>
        <vt:i4>5</vt:i4>
      </vt:variant>
      <vt:variant>
        <vt:lpwstr>http://www.ejn-crimjust.europa.eu/</vt:lpwstr>
      </vt:variant>
      <vt:variant>
        <vt:lpwstr/>
      </vt:variant>
      <vt:variant>
        <vt:i4>8192039</vt:i4>
      </vt:variant>
      <vt:variant>
        <vt:i4>3</vt:i4>
      </vt:variant>
      <vt:variant>
        <vt:i4>0</vt:i4>
      </vt:variant>
      <vt:variant>
        <vt:i4>5</vt:i4>
      </vt:variant>
      <vt:variant>
        <vt:lpwstr>https://www.ejn-crimjust.europa.eu/ejn/EJN_Library_StatusOfImpByCat.aspx?l=EN&amp;CategoryId=37</vt:lpwstr>
      </vt:variant>
      <vt:variant>
        <vt:lpwstr/>
      </vt:variant>
      <vt:variant>
        <vt:i4>2883637</vt:i4>
      </vt:variant>
      <vt:variant>
        <vt:i4>0</vt:i4>
      </vt:variant>
      <vt:variant>
        <vt:i4>0</vt:i4>
      </vt:variant>
      <vt:variant>
        <vt:i4>5</vt:i4>
      </vt:variant>
      <vt:variant>
        <vt:lpwstr>http://www.ejn-crimjust.europa.eu/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motoi constantin daniel</dc:creator>
  <cp:keywords/>
  <dc:description/>
  <cp:lastModifiedBy>Maria João</cp:lastModifiedBy>
  <cp:revision>2</cp:revision>
  <cp:lastPrinted>2020-07-09T09:26:00Z</cp:lastPrinted>
  <dcterms:created xsi:type="dcterms:W3CDTF">2021-07-19T09:12:00Z</dcterms:created>
  <dcterms:modified xsi:type="dcterms:W3CDTF">2021-07-19T09:12:00Z</dcterms:modified>
</cp:coreProperties>
</file>