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530DE" w14:textId="77777777" w:rsidR="00C64C91" w:rsidRPr="0044376B" w:rsidRDefault="00C64C91" w:rsidP="0065667B">
      <w:pPr>
        <w:spacing w:after="160" w:line="240" w:lineRule="auto"/>
        <w:jc w:val="center"/>
        <w:rPr>
          <w:rStyle w:val="Strong"/>
          <w:rFonts w:ascii="Times New Roman" w:hAnsi="Times New Roman" w:cs="Times New Roman"/>
          <w:color w:val="000000"/>
          <w:sz w:val="32"/>
          <w:szCs w:val="32"/>
        </w:rPr>
      </w:pPr>
    </w:p>
    <w:p w14:paraId="1F207444" w14:textId="77777777" w:rsidR="00C64C91" w:rsidRPr="0044376B" w:rsidRDefault="00C64C91" w:rsidP="0065667B">
      <w:pPr>
        <w:spacing w:after="160" w:line="240" w:lineRule="auto"/>
        <w:jc w:val="center"/>
        <w:rPr>
          <w:rStyle w:val="Strong"/>
          <w:rFonts w:ascii="Times New Roman" w:hAnsi="Times New Roman" w:cs="Times New Roman"/>
          <w:color w:val="000000"/>
          <w:sz w:val="32"/>
          <w:szCs w:val="32"/>
        </w:rPr>
      </w:pPr>
    </w:p>
    <w:p w14:paraId="3B191059" w14:textId="4B6BCA46" w:rsidR="00FE1C68" w:rsidRPr="0044376B" w:rsidRDefault="002B779A" w:rsidP="0065667B">
      <w:pPr>
        <w:spacing w:after="160" w:line="240" w:lineRule="auto"/>
        <w:jc w:val="center"/>
        <w:rPr>
          <w:rStyle w:val="Strong"/>
          <w:rFonts w:ascii="Times New Roman" w:hAnsi="Times New Roman" w:cs="Times New Roman"/>
          <w:color w:val="000000"/>
          <w:sz w:val="36"/>
          <w:szCs w:val="32"/>
        </w:rPr>
      </w:pPr>
      <w:r w:rsidRPr="0044376B">
        <w:rPr>
          <w:rStyle w:val="Strong"/>
          <w:rFonts w:ascii="Times New Roman" w:hAnsi="Times New Roman" w:cs="Times New Roman"/>
          <w:color w:val="000000"/>
          <w:sz w:val="36"/>
          <w:szCs w:val="32"/>
        </w:rPr>
        <w:t>Mandatul european de arestare</w:t>
      </w:r>
    </w:p>
    <w:p w14:paraId="4B95074A" w14:textId="00D1C951" w:rsidR="00107C53" w:rsidRPr="0044376B" w:rsidRDefault="002B779A" w:rsidP="0065667B">
      <w:pPr>
        <w:spacing w:after="160" w:line="240" w:lineRule="auto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Decizia cadru a Consiliului 2002/584/J</w:t>
      </w:r>
      <w:r w:rsidR="00107C53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A</w:t>
      </w:r>
      <w:r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I</w:t>
      </w:r>
      <w:r w:rsidR="00107C53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din</w:t>
      </w:r>
      <w:r w:rsidR="00107C53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13 </w:t>
      </w:r>
      <w:r w:rsidR="00EB6921">
        <w:rPr>
          <w:rStyle w:val="Strong"/>
          <w:rFonts w:ascii="Times New Roman" w:hAnsi="Times New Roman" w:cs="Times New Roman"/>
          <w:color w:val="000000"/>
          <w:sz w:val="28"/>
          <w:szCs w:val="28"/>
        </w:rPr>
        <w:t>i</w:t>
      </w:r>
      <w:r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unie</w:t>
      </w:r>
      <w:r w:rsidR="00107C53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2002 </w:t>
      </w:r>
      <w:r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privind mandatul european de arestare şi procedurile de predare între statele membre</w:t>
      </w:r>
    </w:p>
    <w:p w14:paraId="25CE5FB9" w14:textId="7A6D7B6D" w:rsidR="007A544C" w:rsidRPr="0065667B" w:rsidRDefault="002B779A" w:rsidP="0065667B">
      <w:pPr>
        <w:spacing w:after="160" w:line="240" w:lineRule="auto"/>
        <w:jc w:val="center"/>
        <w:rPr>
          <w:rStyle w:val="Strong"/>
          <w:rFonts w:ascii="Times New Roman" w:hAnsi="Times New Roman" w:cs="Times New Roman"/>
          <w:b w:val="0"/>
          <w:i/>
          <w:color w:val="000000"/>
          <w:sz w:val="32"/>
          <w:szCs w:val="32"/>
        </w:rPr>
      </w:pPr>
      <w:r w:rsidRPr="0044376B">
        <w:rPr>
          <w:rFonts w:ascii="Times New Roman" w:hAnsi="Times New Roman" w:cs="Times New Roman"/>
          <w:bCs/>
          <w:i/>
          <w:color w:val="000000"/>
          <w:sz w:val="32"/>
          <w:szCs w:val="32"/>
        </w:rPr>
        <w:t>Culegere de speţe – Ghid pentru formatori</w:t>
      </w:r>
    </w:p>
    <w:p w14:paraId="793B12AC" w14:textId="1909A35B" w:rsidR="009638AA" w:rsidRPr="0044376B" w:rsidRDefault="002B779A" w:rsidP="0065667B">
      <w:pPr>
        <w:spacing w:after="160" w:line="240" w:lineRule="auto"/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</w:rPr>
      </w:pPr>
      <w:r w:rsidRPr="0044376B"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</w:rPr>
        <w:t>Autor</w:t>
      </w:r>
      <w:r w:rsidR="009638AA" w:rsidRPr="0044376B"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</w:rPr>
        <w:t xml:space="preserve">: </w:t>
      </w:r>
    </w:p>
    <w:p w14:paraId="6A4841D9" w14:textId="77777777" w:rsidR="00FE1C68" w:rsidRPr="0044376B" w:rsidRDefault="00FE1C68" w:rsidP="0065667B">
      <w:pPr>
        <w:spacing w:after="160" w:line="240" w:lineRule="auto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</w:rPr>
      </w:pPr>
      <w:r w:rsidRPr="0044376B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</w:rPr>
        <w:t>Prof. André Klip</w:t>
      </w:r>
    </w:p>
    <w:p w14:paraId="71131B4A" w14:textId="0AE9FE3D" w:rsidR="007A544C" w:rsidRPr="0044376B" w:rsidRDefault="002B779A" w:rsidP="0065667B">
      <w:pPr>
        <w:spacing w:after="160" w:line="240" w:lineRule="auto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</w:rPr>
      </w:pPr>
      <w:r w:rsidRPr="0044376B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</w:rPr>
        <w:t>Universitate din Maastricht</w:t>
      </w:r>
      <w:r w:rsidR="00FE1C68" w:rsidRPr="0044376B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</w:rPr>
        <w:t xml:space="preserve">, </w:t>
      </w:r>
    </w:p>
    <w:p w14:paraId="050AD096" w14:textId="22BDFC81" w:rsidR="00FE1C68" w:rsidRPr="0044376B" w:rsidRDefault="002B779A" w:rsidP="0065667B">
      <w:pPr>
        <w:spacing w:after="160" w:line="240" w:lineRule="auto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</w:rPr>
      </w:pPr>
      <w:r w:rsidRPr="00F21855">
        <w:rPr>
          <w:rStyle w:val="Strong"/>
          <w:rFonts w:ascii="Times New Roman" w:hAnsi="Times New Roman" w:cs="Times New Roman"/>
          <w:b w:val="0"/>
          <w:i/>
          <w:sz w:val="28"/>
          <w:szCs w:val="32"/>
        </w:rPr>
        <w:t>Judecător onorific</w:t>
      </w:r>
      <w:r w:rsidR="00F06E42" w:rsidRPr="00F21855">
        <w:rPr>
          <w:rStyle w:val="Strong"/>
          <w:rFonts w:ascii="Times New Roman" w:hAnsi="Times New Roman" w:cs="Times New Roman"/>
          <w:b w:val="0"/>
          <w:i/>
          <w:sz w:val="28"/>
          <w:szCs w:val="32"/>
        </w:rPr>
        <w:t xml:space="preserve"> </w:t>
      </w:r>
      <w:r w:rsidR="007A544C" w:rsidRPr="00F21855">
        <w:rPr>
          <w:rStyle w:val="Strong"/>
          <w:rFonts w:ascii="Times New Roman" w:hAnsi="Times New Roman" w:cs="Times New Roman"/>
          <w:b w:val="0"/>
          <w:i/>
          <w:sz w:val="28"/>
          <w:szCs w:val="32"/>
        </w:rPr>
        <w:t>–</w:t>
      </w:r>
      <w:r w:rsidR="007A544C" w:rsidRPr="0044376B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</w:rPr>
        <w:t xml:space="preserve">Curtea de Apel </w:t>
      </w:r>
      <w:r w:rsidR="00783F13" w:rsidRPr="0044376B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</w:rPr>
        <w:t>s’-</w:t>
      </w:r>
      <w:r w:rsidR="00FE1C68" w:rsidRPr="0044376B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</w:rPr>
        <w:t xml:space="preserve">Hertogenbosch </w:t>
      </w:r>
    </w:p>
    <w:p w14:paraId="0AF0B0C9" w14:textId="77777777" w:rsidR="005D1164" w:rsidRPr="0044376B" w:rsidRDefault="005D1164" w:rsidP="0065667B">
      <w:pPr>
        <w:spacing w:after="16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14:paraId="4EBABB87" w14:textId="5197187F" w:rsidR="00FE1C68" w:rsidRPr="0044376B" w:rsidRDefault="002B779A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center"/>
        <w:rPr>
          <w:rStyle w:val="Strong"/>
          <w:rFonts w:ascii="Times New Roman" w:hAnsi="Times New Roman" w:cs="Times New Roman"/>
          <w:i/>
          <w:color w:val="000000"/>
          <w:sz w:val="32"/>
          <w:szCs w:val="28"/>
        </w:rPr>
      </w:pPr>
      <w:r w:rsidRPr="0044376B">
        <w:rPr>
          <w:rStyle w:val="Strong"/>
          <w:rFonts w:ascii="Times New Roman" w:hAnsi="Times New Roman" w:cs="Times New Roman"/>
          <w:i/>
          <w:color w:val="000000"/>
          <w:sz w:val="32"/>
          <w:szCs w:val="28"/>
        </w:rPr>
        <w:t>Cuprins</w:t>
      </w:r>
    </w:p>
    <w:p w14:paraId="6CB8FFD5" w14:textId="77777777" w:rsidR="005D1164" w:rsidRPr="0044376B" w:rsidRDefault="005D1164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14:paraId="103B8DC3" w14:textId="55D2BC86" w:rsidR="007A544C" w:rsidRPr="0044376B" w:rsidRDefault="005D1164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A.</w:t>
      </w:r>
      <w:r w:rsidR="007A544C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3E4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ab/>
      </w:r>
      <w:r w:rsidR="002B779A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Cazuri</w:t>
      </w:r>
      <w:r w:rsidR="001E23E4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57BA1D39" w14:textId="78BC46A4" w:rsidR="005D1164" w:rsidRPr="0044376B" w:rsidRDefault="005D1164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I.  </w:t>
      </w:r>
      <w:r w:rsidR="007A544C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B779A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Speța nr. 1</w:t>
      </w:r>
      <w:r w:rsidR="00EE3A1C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="007A544C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B779A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Întrebări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E23E4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F3093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1</w:t>
      </w:r>
    </w:p>
    <w:p w14:paraId="19FFF411" w14:textId="71DFD791" w:rsidR="005D1164" w:rsidRPr="0044376B" w:rsidRDefault="005D1164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II. </w:t>
      </w:r>
      <w:r w:rsidR="007A544C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B779A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Exerciții</w:t>
      </w:r>
      <w:r w:rsidR="001E23E4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F3093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2</w:t>
      </w:r>
    </w:p>
    <w:p w14:paraId="0B42FA49" w14:textId="6E8263CA" w:rsidR="005D1164" w:rsidRPr="0044376B" w:rsidRDefault="005D1164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III. </w:t>
      </w:r>
      <w:r w:rsidR="007A544C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2B779A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Speța nr.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2, </w:t>
      </w:r>
      <w:r w:rsidR="002B779A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continuarea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B779A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Speței nr.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1</w:t>
      </w:r>
      <w:r w:rsidR="00EE3A1C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="007A544C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B779A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Întrebări</w:t>
      </w:r>
      <w:r w:rsidR="001E23E4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BF395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2</w:t>
      </w:r>
    </w:p>
    <w:p w14:paraId="23886849" w14:textId="51EA5540" w:rsidR="005D1164" w:rsidRPr="0044376B" w:rsidRDefault="005D1164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IV</w:t>
      </w:r>
      <w:r w:rsidR="007A544C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A544C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CB2E0B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Sarcină suplimentară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 w:rsidR="00CB2E0B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MEA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B2E0B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pentru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B2E0B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Norvegia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?</w:t>
      </w:r>
      <w:r w:rsidR="001E23E4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1F3093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3</w:t>
      </w:r>
    </w:p>
    <w:p w14:paraId="431580FA" w14:textId="77777777" w:rsidR="005D1164" w:rsidRPr="0044376B" w:rsidRDefault="005D1164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B01C319" w14:textId="53E99495" w:rsidR="00C35570" w:rsidRPr="0044376B" w:rsidRDefault="00C35570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B.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453A46">
        <w:rPr>
          <w:rStyle w:val="Strong"/>
          <w:rFonts w:ascii="Times New Roman" w:hAnsi="Times New Roman" w:cs="Times New Roman"/>
          <w:color w:val="000000"/>
          <w:sz w:val="28"/>
          <w:szCs w:val="28"/>
        </w:rPr>
        <w:t>Informaţii</w:t>
      </w:r>
      <w:r w:rsidR="00CB2E0B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suplimentare pentru formatori cu privire la cazuri</w:t>
      </w:r>
      <w:r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ab/>
      </w:r>
      <w:r w:rsidR="00BF395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3</w:t>
      </w:r>
    </w:p>
    <w:p w14:paraId="7DA66C79" w14:textId="77777777" w:rsidR="00C35570" w:rsidRPr="0044376B" w:rsidRDefault="00C35570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49C485A" w14:textId="40F6BD27" w:rsidR="005D1164" w:rsidRPr="0044376B" w:rsidRDefault="001610C0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C</w:t>
      </w:r>
      <w:r w:rsidR="005D1164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.</w:t>
      </w:r>
      <w:r w:rsidR="005D1164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ab/>
      </w:r>
      <w:r w:rsidR="00CB2E0B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Abordarea metodologică</w:t>
      </w:r>
      <w:r w:rsidR="001E23E4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ab/>
      </w:r>
      <w:r w:rsidR="00BF3957">
        <w:rPr>
          <w:rStyle w:val="Strong"/>
          <w:rFonts w:ascii="Times New Roman" w:hAnsi="Times New Roman" w:cs="Times New Roman"/>
          <w:color w:val="000000"/>
          <w:sz w:val="28"/>
          <w:szCs w:val="28"/>
        </w:rPr>
        <w:t>3</w:t>
      </w:r>
    </w:p>
    <w:p w14:paraId="2A90A234" w14:textId="4C86BA65" w:rsidR="005D1164" w:rsidRPr="0044376B" w:rsidRDefault="005D1164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I.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CB2E0B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Ideile generale şi temele principale</w:t>
      </w:r>
      <w:r w:rsidR="001E23E4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BF395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3</w:t>
      </w:r>
    </w:p>
    <w:p w14:paraId="09AB61F6" w14:textId="2FC6DB43" w:rsidR="005D1164" w:rsidRPr="0044376B" w:rsidRDefault="005D1164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II.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CB2E0B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Grupuri de lucru şi structura seminarului</w:t>
      </w:r>
      <w:r w:rsidR="001E23E4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BF395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4</w:t>
      </w:r>
    </w:p>
    <w:p w14:paraId="0ED9CF45" w14:textId="2C5A3A50" w:rsidR="00390CDB" w:rsidRPr="0044376B" w:rsidRDefault="00390CDB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III.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CB2E0B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Materiale suplimentare</w:t>
      </w:r>
      <w:r w:rsidR="001E23E4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3B181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5</w:t>
      </w:r>
    </w:p>
    <w:p w14:paraId="54F146AF" w14:textId="1B6E5153" w:rsidR="00390CDB" w:rsidRPr="0044376B" w:rsidRDefault="00390CDB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IV.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CB2E0B" w:rsidRPr="001E4A81">
        <w:rPr>
          <w:rStyle w:val="Strong"/>
          <w:rFonts w:ascii="Times New Roman" w:hAnsi="Times New Roman" w:cs="Times New Roman"/>
          <w:b w:val="0"/>
          <w:sz w:val="28"/>
          <w:szCs w:val="28"/>
        </w:rPr>
        <w:t>Ultimele progrese</w:t>
      </w:r>
      <w:r w:rsidR="001E23E4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3B181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6</w:t>
      </w:r>
    </w:p>
    <w:p w14:paraId="47317F64" w14:textId="77777777" w:rsidR="00390CDB" w:rsidRPr="0044376B" w:rsidRDefault="00390CDB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0911D32" w14:textId="5BF5E3D7" w:rsidR="00390CDB" w:rsidRPr="0044376B" w:rsidRDefault="001610C0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spacing w:after="160" w:line="24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D</w:t>
      </w:r>
      <w:r w:rsidR="00390CDB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A544C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ab/>
      </w:r>
      <w:r w:rsidR="00CB2E0B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Rezolvări</w:t>
      </w:r>
      <w:r w:rsidR="001E23E4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ab/>
      </w:r>
      <w:r w:rsidR="003B181F">
        <w:rPr>
          <w:rStyle w:val="Strong"/>
          <w:rFonts w:ascii="Times New Roman" w:hAnsi="Times New Roman" w:cs="Times New Roman"/>
          <w:color w:val="000000"/>
          <w:sz w:val="28"/>
          <w:szCs w:val="28"/>
        </w:rPr>
        <w:t>6</w:t>
      </w:r>
    </w:p>
    <w:p w14:paraId="4A19E546" w14:textId="4B2A6892" w:rsidR="00CE154A" w:rsidRPr="0044376B" w:rsidRDefault="00CB2E0B" w:rsidP="0065667B">
      <w:pPr>
        <w:pStyle w:val="Test"/>
        <w:shd w:val="clear" w:color="auto" w:fill="DED888"/>
        <w:spacing w:after="160" w:line="240" w:lineRule="auto"/>
        <w:jc w:val="center"/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ro-RO"/>
        </w:rPr>
      </w:pPr>
      <w:r w:rsidRPr="004437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ro-RO"/>
        </w:rPr>
        <w:lastRenderedPageBreak/>
        <w:t>Mandatul european de arestare</w:t>
      </w:r>
    </w:p>
    <w:p w14:paraId="5E7D8DA9" w14:textId="77777777" w:rsidR="00E372D1" w:rsidRPr="0044376B" w:rsidRDefault="00E372D1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14:paraId="11B0876E" w14:textId="340215B1" w:rsidR="004B2893" w:rsidRPr="0044376B" w:rsidRDefault="00FE1C68" w:rsidP="0065667B">
      <w:pPr>
        <w:pStyle w:val="ListParagraph"/>
        <w:numPr>
          <w:ilvl w:val="0"/>
          <w:numId w:val="13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</w:pPr>
      <w:r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ro-RO"/>
        </w:rPr>
        <w:t xml:space="preserve">I.  </w:t>
      </w:r>
      <w:r w:rsidR="00CB2E0B" w:rsidRPr="0044376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ro-RO"/>
        </w:rPr>
        <w:t>Speţa nr. 1</w:t>
      </w:r>
      <w:r w:rsidR="00305B19"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ro-RO"/>
        </w:rPr>
        <w:t>:</w:t>
      </w:r>
    </w:p>
    <w:p w14:paraId="3C48442E" w14:textId="1EED281A" w:rsidR="004B2893" w:rsidRPr="0044376B" w:rsidRDefault="00F659AA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Şeful Poliţiei din Heraklion, în numele Parchetului de pe lângă Curtea de Apel a Cretei de Est, a emis un mandat european de arestare (MEA) către autorităţile judiciare olandeze privind un medic de naţionalitate olandeză (Dr. Drion), domiciliat în Maastricht, care ar fi comis o infracţiune de omor şi o infracţiune de sabotaj. Situaţia de fapt privind infracţiunea de omor a constat în aceea că medicul olandez a suprimat viata numitului Karalis în Haraklion. La cererea explicită a lui Karalis, Drion i-a injectat o substanţă letală, fapt ce a cauzat moartea cetăţeanului grec după numai câteva minute. Situaţia de fapt privind infracţiunea de sabotaj a constat în distrugerea proprietăţii Aegean Airlines din aeroportul din Atena, cauzată de frustrarea medicului Drion în momentul în care a aflat că a pierdut zborul de întoarcere către Maastricht</w:t>
      </w:r>
      <w:r w:rsidR="004B2893" w:rsidRPr="004437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6C5B8C" w14:textId="77777777" w:rsidR="00305B19" w:rsidRPr="0044376B" w:rsidRDefault="00305B19" w:rsidP="0065667B">
      <w:pPr>
        <w:suppressAutoHyphens/>
        <w:autoSpaceDN w:val="0"/>
        <w:spacing w:after="160" w:line="240" w:lineRule="auto"/>
        <w:ind w:left="71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700E499" w14:textId="69A8F5C2" w:rsidR="00784CC7" w:rsidRPr="0044376B" w:rsidRDefault="00CB2E0B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Întrebări</w:t>
      </w:r>
      <w:r w:rsidR="00305B19"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  <w:r w:rsidR="00784CC7"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14:paraId="084E9A27" w14:textId="21D11CCA" w:rsidR="004B2893" w:rsidRPr="0044376B" w:rsidRDefault="00267F23" w:rsidP="0065667B">
      <w:pPr>
        <w:pStyle w:val="ListParagraph"/>
        <w:numPr>
          <w:ilvl w:val="0"/>
          <w:numId w:val="6"/>
        </w:numPr>
        <w:spacing w:line="240" w:lineRule="auto"/>
        <w:ind w:hanging="436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44376B">
        <w:rPr>
          <w:rFonts w:ascii="Times New Roman" w:hAnsi="Times New Roman" w:cs="Times New Roman"/>
          <w:i/>
          <w:sz w:val="28"/>
          <w:szCs w:val="28"/>
          <w:lang w:val="ro-RO"/>
        </w:rPr>
        <w:t>Există obligaţia Olandei de a-l preda pe medicul Drion, iar, în caz afirmativ, în ce condiţii</w:t>
      </w:r>
      <w:r w:rsidR="004B2893" w:rsidRPr="0044376B">
        <w:rPr>
          <w:rFonts w:ascii="Times New Roman" w:hAnsi="Times New Roman" w:cs="Times New Roman"/>
          <w:i/>
          <w:sz w:val="28"/>
          <w:szCs w:val="28"/>
          <w:lang w:val="ro-RO"/>
        </w:rPr>
        <w:t xml:space="preserve">? </w:t>
      </w:r>
    </w:p>
    <w:p w14:paraId="4A7C721B" w14:textId="2FF82948" w:rsidR="00145B34" w:rsidRPr="0044376B" w:rsidRDefault="00267F23" w:rsidP="0065667B">
      <w:pPr>
        <w:pStyle w:val="ListParagraph"/>
        <w:numPr>
          <w:ilvl w:val="0"/>
          <w:numId w:val="6"/>
        </w:numPr>
        <w:spacing w:line="240" w:lineRule="auto"/>
        <w:ind w:hanging="436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44376B">
        <w:rPr>
          <w:rFonts w:ascii="Times New Roman" w:hAnsi="Times New Roman" w:cs="Times New Roman"/>
          <w:i/>
          <w:sz w:val="28"/>
          <w:szCs w:val="28"/>
          <w:lang w:val="ro-RO"/>
        </w:rPr>
        <w:t>Ar fi fost vreo diferenţă în situaţia în care infracţiunile nu ar fi fost săvârşite pe teritoriul Greciei, ci pe cel al Olandei</w:t>
      </w:r>
      <w:r w:rsidR="004B2893" w:rsidRPr="0044376B">
        <w:rPr>
          <w:rFonts w:ascii="Times New Roman" w:hAnsi="Times New Roman" w:cs="Times New Roman"/>
          <w:i/>
          <w:sz w:val="28"/>
          <w:szCs w:val="28"/>
          <w:lang w:val="ro-RO"/>
        </w:rPr>
        <w:t>?</w:t>
      </w:r>
    </w:p>
    <w:p w14:paraId="23324888" w14:textId="37A1C5F4" w:rsidR="004B2893" w:rsidRPr="0044376B" w:rsidRDefault="00267F23" w:rsidP="0065667B">
      <w:pPr>
        <w:pStyle w:val="ListParagraph"/>
        <w:numPr>
          <w:ilvl w:val="0"/>
          <w:numId w:val="6"/>
        </w:numPr>
        <w:spacing w:line="240" w:lineRule="auto"/>
        <w:ind w:hanging="436"/>
        <w:contextualSpacing w:val="0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</w:pPr>
      <w:r w:rsidRPr="0044376B">
        <w:rPr>
          <w:rFonts w:ascii="Times New Roman" w:hAnsi="Times New Roman" w:cs="Times New Roman"/>
          <w:i/>
          <w:sz w:val="28"/>
          <w:szCs w:val="28"/>
          <w:lang w:val="ro-RO"/>
        </w:rPr>
        <w:t>Poate Olanda să evalueze infracţiunile şi să le califice în conformitate cu legislaţia penală olandeză</w:t>
      </w:r>
      <w:r w:rsidR="004B2893" w:rsidRPr="0044376B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>?</w:t>
      </w:r>
    </w:p>
    <w:p w14:paraId="5B155143" w14:textId="4588AC06" w:rsidR="009F6595" w:rsidRPr="0044376B" w:rsidRDefault="00267F23" w:rsidP="0065667B">
      <w:pPr>
        <w:pStyle w:val="ListParagraph"/>
        <w:numPr>
          <w:ilvl w:val="0"/>
          <w:numId w:val="6"/>
        </w:numPr>
        <w:spacing w:line="240" w:lineRule="auto"/>
        <w:ind w:hanging="436"/>
        <w:contextualSpacing w:val="0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</w:pPr>
      <w:r w:rsidRPr="0044376B">
        <w:rPr>
          <w:rFonts w:ascii="Times New Roman" w:hAnsi="Times New Roman" w:cs="Times New Roman"/>
          <w:i/>
          <w:sz w:val="28"/>
          <w:szCs w:val="28"/>
          <w:lang w:val="ro-RO"/>
        </w:rPr>
        <w:t>Are relevanţă naţionalitatea persoanei solicitate în această procedură</w:t>
      </w:r>
      <w:r w:rsidR="009F6595" w:rsidRPr="0044376B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>?</w:t>
      </w:r>
    </w:p>
    <w:p w14:paraId="5BDB5898" w14:textId="0D0B3F55" w:rsidR="009F6595" w:rsidRPr="0044376B" w:rsidRDefault="00267F23" w:rsidP="0065667B">
      <w:pPr>
        <w:pStyle w:val="ListParagraph"/>
        <w:numPr>
          <w:ilvl w:val="0"/>
          <w:numId w:val="6"/>
        </w:numPr>
        <w:spacing w:line="240" w:lineRule="auto"/>
        <w:ind w:hanging="436"/>
        <w:contextualSpacing w:val="0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</w:pPr>
      <w:r w:rsidRPr="0044376B">
        <w:rPr>
          <w:rFonts w:ascii="Times New Roman" w:hAnsi="Times New Roman" w:cs="Times New Roman"/>
          <w:i/>
          <w:sz w:val="28"/>
          <w:szCs w:val="28"/>
          <w:lang w:val="ro-RO"/>
        </w:rPr>
        <w:t>Persoana solicitată va fi reţinută pe parcursul derulării întregii proceduri</w:t>
      </w:r>
      <w:r w:rsidR="009F6595" w:rsidRPr="0044376B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>?</w:t>
      </w:r>
    </w:p>
    <w:p w14:paraId="08E2B695" w14:textId="5452FFD4" w:rsidR="00C76691" w:rsidRPr="0044376B" w:rsidRDefault="00267F23" w:rsidP="0065667B">
      <w:pPr>
        <w:pStyle w:val="ListParagraph"/>
        <w:numPr>
          <w:ilvl w:val="0"/>
          <w:numId w:val="6"/>
        </w:numPr>
        <w:spacing w:line="240" w:lineRule="auto"/>
        <w:ind w:hanging="436"/>
        <w:contextualSpacing w:val="0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</w:pPr>
      <w:r w:rsidRPr="0044376B">
        <w:rPr>
          <w:rFonts w:ascii="Times New Roman" w:hAnsi="Times New Roman" w:cs="Times New Roman"/>
          <w:i/>
          <w:sz w:val="28"/>
          <w:szCs w:val="28"/>
          <w:lang w:val="ro-RO"/>
        </w:rPr>
        <w:t>Care dintre autorităţile ambelor state vor fi implicate în punerea în executare a mandatului european de arestare</w:t>
      </w:r>
      <w:r w:rsidR="00C76691" w:rsidRPr="0044376B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>?</w:t>
      </w:r>
    </w:p>
    <w:p w14:paraId="7C83332A" w14:textId="0C972332" w:rsidR="00C76691" w:rsidRPr="0044376B" w:rsidRDefault="00267F23" w:rsidP="0065667B">
      <w:pPr>
        <w:pStyle w:val="ListParagraph"/>
        <w:numPr>
          <w:ilvl w:val="0"/>
          <w:numId w:val="6"/>
        </w:numPr>
        <w:spacing w:line="240" w:lineRule="auto"/>
        <w:ind w:hanging="436"/>
        <w:contextualSpacing w:val="0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</w:pPr>
      <w:r w:rsidRPr="0044376B">
        <w:rPr>
          <w:rFonts w:ascii="Times New Roman" w:hAnsi="Times New Roman" w:cs="Times New Roman"/>
          <w:i/>
          <w:sz w:val="28"/>
          <w:szCs w:val="28"/>
          <w:lang w:val="ro-RO"/>
        </w:rPr>
        <w:t>Care este procedura impusă de dispoziţiile legislaţiei olandeze şi în ce termen se realizează</w:t>
      </w:r>
      <w:r w:rsidR="00C76691" w:rsidRPr="0044376B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>?</w:t>
      </w:r>
    </w:p>
    <w:p w14:paraId="504EC592" w14:textId="79A4E7EA" w:rsidR="00C76691" w:rsidRPr="0044376B" w:rsidRDefault="00267F23" w:rsidP="0065667B">
      <w:pPr>
        <w:pStyle w:val="ListParagraph"/>
        <w:numPr>
          <w:ilvl w:val="0"/>
          <w:numId w:val="6"/>
        </w:numPr>
        <w:spacing w:line="240" w:lineRule="auto"/>
        <w:ind w:hanging="436"/>
        <w:contextualSpacing w:val="0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</w:pPr>
      <w:r w:rsidRPr="0044376B">
        <w:rPr>
          <w:rFonts w:ascii="Times New Roman" w:hAnsi="Times New Roman" w:cs="Times New Roman"/>
          <w:i/>
          <w:sz w:val="28"/>
          <w:szCs w:val="28"/>
          <w:lang w:val="ro-RO"/>
        </w:rPr>
        <w:t>Care este rolul autorităţilor greceşti în procedura de predare</w:t>
      </w:r>
      <w:r w:rsidR="00C76691" w:rsidRPr="0044376B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>?</w:t>
      </w:r>
    </w:p>
    <w:p w14:paraId="295910E2" w14:textId="62E9BC53" w:rsidR="00276523" w:rsidRPr="0044376B" w:rsidRDefault="00267F23" w:rsidP="0065667B">
      <w:pPr>
        <w:pStyle w:val="ListParagraph"/>
        <w:numPr>
          <w:ilvl w:val="0"/>
          <w:numId w:val="6"/>
        </w:numPr>
        <w:spacing w:line="240" w:lineRule="auto"/>
        <w:ind w:hanging="436"/>
        <w:contextualSpacing w:val="0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</w:pPr>
      <w:r w:rsidRPr="0044376B">
        <w:rPr>
          <w:rFonts w:ascii="Times New Roman" w:hAnsi="Times New Roman" w:cs="Times New Roman"/>
          <w:i/>
          <w:sz w:val="28"/>
          <w:szCs w:val="28"/>
          <w:lang w:val="ro-RO"/>
        </w:rPr>
        <w:t>În ce moment şi în ce modalitate va avea loc procedura de predare</w:t>
      </w:r>
      <w:r w:rsidR="00276523" w:rsidRPr="0044376B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>?</w:t>
      </w:r>
    </w:p>
    <w:p w14:paraId="32660F12" w14:textId="02BB7C0B" w:rsidR="00C76691" w:rsidRPr="0044376B" w:rsidRDefault="00267F23" w:rsidP="0065667B">
      <w:pPr>
        <w:pStyle w:val="ListParagraph"/>
        <w:numPr>
          <w:ilvl w:val="0"/>
          <w:numId w:val="6"/>
        </w:numPr>
        <w:spacing w:line="240" w:lineRule="auto"/>
        <w:ind w:hanging="436"/>
        <w:contextualSpacing w:val="0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</w:pPr>
      <w:r w:rsidRPr="0044376B">
        <w:rPr>
          <w:rFonts w:ascii="Times New Roman" w:hAnsi="Times New Roman" w:cs="Times New Roman"/>
          <w:i/>
          <w:sz w:val="28"/>
          <w:szCs w:val="28"/>
          <w:lang w:val="ro-RO"/>
        </w:rPr>
        <w:t>Să presupunem că procedura de predare este efectuată cu succes. În ce condiţii poate procurorul grec să-l incrimineze pe Drion pentru o infracţiune ulterioară de furt</w:t>
      </w:r>
      <w:r w:rsidR="009F6595" w:rsidRPr="0044376B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>?</w:t>
      </w:r>
    </w:p>
    <w:p w14:paraId="105CF784" w14:textId="78F5FFC7" w:rsidR="00C76691" w:rsidRPr="0044376B" w:rsidRDefault="00C76691" w:rsidP="0065667B">
      <w:pPr>
        <w:pStyle w:val="ListParagraph"/>
        <w:numPr>
          <w:ilvl w:val="0"/>
          <w:numId w:val="5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</w:pPr>
      <w:r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lastRenderedPageBreak/>
        <w:t xml:space="preserve">II. </w:t>
      </w:r>
      <w:r w:rsidR="00CB2E0B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>Exerciţii</w:t>
      </w:r>
      <w:r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>:</w:t>
      </w:r>
    </w:p>
    <w:p w14:paraId="0AE13E85" w14:textId="2070EEEA" w:rsidR="00C76691" w:rsidRPr="0044376B" w:rsidRDefault="00276523" w:rsidP="0065667B">
      <w:pPr>
        <w:spacing w:after="16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Identificaţi</w:t>
      </w:r>
      <w:r w:rsidR="00453A4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,</w:t>
      </w:r>
      <w:r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atât autorităţile competente </w:t>
      </w:r>
      <w:r w:rsidR="00BB7BB8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de executare</w:t>
      </w:r>
      <w:r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, cât şi limba în care urmează a fi completat Certificatul</w:t>
      </w:r>
      <w:r w:rsidR="00C76691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:</w:t>
      </w:r>
    </w:p>
    <w:p w14:paraId="7E281B33" w14:textId="561F1CDB" w:rsidR="00CE154A" w:rsidRPr="0044376B" w:rsidRDefault="00D739ED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1</w:t>
      </w:r>
      <w:r w:rsidR="00CE154A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="00276523" w:rsidRPr="0044376B">
        <w:rPr>
          <w:rFonts w:ascii="Times New Roman" w:hAnsi="Times New Roman" w:cs="Times New Roman"/>
          <w:sz w:val="28"/>
          <w:szCs w:val="28"/>
        </w:rPr>
        <w:t>Un procuror portughez</w:t>
      </w:r>
      <w:r w:rsidR="008C10C1">
        <w:rPr>
          <w:rFonts w:ascii="Times New Roman" w:hAnsi="Times New Roman" w:cs="Times New Roman"/>
          <w:sz w:val="28"/>
          <w:szCs w:val="28"/>
        </w:rPr>
        <w:t xml:space="preserve"> din Braga solicită predarea cetăț</w:t>
      </w:r>
      <w:r w:rsidR="00276523" w:rsidRPr="0044376B">
        <w:rPr>
          <w:rFonts w:ascii="Times New Roman" w:hAnsi="Times New Roman" w:cs="Times New Roman"/>
          <w:sz w:val="28"/>
          <w:szCs w:val="28"/>
        </w:rPr>
        <w:t>eanului german Dieter Müller, aflat în prezent în Turku, Finlanda, în scopul desfăşurării unor proceduri penale</w:t>
      </w:r>
      <w:r w:rsidR="00CE154A" w:rsidRPr="0044376B">
        <w:rPr>
          <w:rFonts w:ascii="Times New Roman" w:hAnsi="Times New Roman" w:cs="Times New Roman"/>
          <w:sz w:val="28"/>
          <w:szCs w:val="28"/>
        </w:rPr>
        <w:t>.</w:t>
      </w:r>
    </w:p>
    <w:p w14:paraId="63A87E25" w14:textId="0F934285" w:rsidR="00CE154A" w:rsidRPr="0044376B" w:rsidRDefault="00276523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76B">
        <w:rPr>
          <w:rFonts w:ascii="Times New Roman" w:hAnsi="Times New Roman" w:cs="Times New Roman"/>
          <w:i/>
          <w:sz w:val="28"/>
          <w:szCs w:val="28"/>
        </w:rPr>
        <w:t>Autoritatea competentă</w:t>
      </w:r>
      <w:r w:rsidR="00CE154A" w:rsidRPr="0044376B">
        <w:rPr>
          <w:rFonts w:ascii="Times New Roman" w:hAnsi="Times New Roman" w:cs="Times New Roman"/>
          <w:i/>
          <w:sz w:val="28"/>
          <w:szCs w:val="28"/>
        </w:rPr>
        <w:t>:</w:t>
      </w:r>
    </w:p>
    <w:p w14:paraId="524EB83E" w14:textId="5BA353BB" w:rsidR="00CE154A" w:rsidRPr="0044376B" w:rsidRDefault="00276523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76B">
        <w:rPr>
          <w:rFonts w:ascii="Times New Roman" w:hAnsi="Times New Roman" w:cs="Times New Roman"/>
          <w:i/>
          <w:sz w:val="28"/>
          <w:szCs w:val="28"/>
        </w:rPr>
        <w:t>Limba</w:t>
      </w:r>
      <w:r w:rsidR="00CE154A" w:rsidRPr="0044376B">
        <w:rPr>
          <w:rFonts w:ascii="Times New Roman" w:hAnsi="Times New Roman" w:cs="Times New Roman"/>
          <w:i/>
          <w:sz w:val="28"/>
          <w:szCs w:val="28"/>
        </w:rPr>
        <w:t>:</w:t>
      </w:r>
    </w:p>
    <w:p w14:paraId="30FEF638" w14:textId="0346DCE6" w:rsidR="00CE154A" w:rsidRPr="0044376B" w:rsidRDefault="00A22B7A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2.</w:t>
      </w:r>
      <w:r w:rsidR="00CE154A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1E4A81" w:rsidRPr="001E4A81">
        <w:rPr>
          <w:rFonts w:ascii="Times New Roman" w:hAnsi="Times New Roman" w:cs="Times New Roman"/>
          <w:sz w:val="28"/>
          <w:szCs w:val="28"/>
        </w:rPr>
        <w:t>O</w:t>
      </w:r>
      <w:r w:rsidRPr="001E4A81">
        <w:rPr>
          <w:rFonts w:ascii="Times New Roman" w:hAnsi="Times New Roman" w:cs="Times New Roman"/>
          <w:sz w:val="28"/>
          <w:szCs w:val="28"/>
        </w:rPr>
        <w:t>rganele de urmărire penală irlandeze</w:t>
      </w:r>
      <w:r w:rsidR="00CE154A" w:rsidRPr="001E4A81">
        <w:rPr>
          <w:rFonts w:ascii="Times New Roman" w:hAnsi="Times New Roman" w:cs="Times New Roman"/>
          <w:sz w:val="28"/>
          <w:szCs w:val="28"/>
        </w:rPr>
        <w:t xml:space="preserve"> </w:t>
      </w:r>
      <w:r w:rsidRPr="001E4A81">
        <w:rPr>
          <w:rFonts w:ascii="Times New Roman" w:hAnsi="Times New Roman" w:cs="Times New Roman"/>
          <w:sz w:val="28"/>
          <w:szCs w:val="28"/>
        </w:rPr>
        <w:t>au primit</w:t>
      </w:r>
      <w:r w:rsidR="00CE154A" w:rsidRPr="001E4A81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un MEA</w:t>
      </w:r>
      <w:r w:rsidR="00CE154A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privind o hotărâre de condamnare în lipsă a cetăţeanului francez</w:t>
      </w:r>
      <w:r w:rsidR="00CE154A" w:rsidRPr="0044376B">
        <w:rPr>
          <w:rFonts w:ascii="Times New Roman" w:hAnsi="Times New Roman" w:cs="Times New Roman"/>
          <w:sz w:val="28"/>
          <w:szCs w:val="28"/>
        </w:rPr>
        <w:t xml:space="preserve"> Leon Laselle </w:t>
      </w:r>
      <w:r w:rsidRPr="0044376B">
        <w:rPr>
          <w:rFonts w:ascii="Times New Roman" w:hAnsi="Times New Roman" w:cs="Times New Roman"/>
          <w:sz w:val="28"/>
          <w:szCs w:val="28"/>
        </w:rPr>
        <w:t>pronunţată de</w:t>
      </w:r>
      <w:r w:rsidR="00CE154A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Tribunalul de Primă Instanţă din</w:t>
      </w:r>
      <w:r w:rsidR="00CE154A" w:rsidRPr="0044376B">
        <w:rPr>
          <w:rFonts w:ascii="Times New Roman" w:hAnsi="Times New Roman" w:cs="Times New Roman"/>
          <w:sz w:val="28"/>
          <w:szCs w:val="28"/>
        </w:rPr>
        <w:t xml:space="preserve"> Bordeaux, </w:t>
      </w:r>
      <w:r w:rsidRPr="0044376B">
        <w:rPr>
          <w:rFonts w:ascii="Times New Roman" w:hAnsi="Times New Roman" w:cs="Times New Roman"/>
          <w:sz w:val="28"/>
          <w:szCs w:val="28"/>
        </w:rPr>
        <w:t>Franţa</w:t>
      </w:r>
      <w:r w:rsidR="00CE154A" w:rsidRPr="004437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96C727" w14:textId="77777777" w:rsidR="00276523" w:rsidRPr="0044376B" w:rsidRDefault="00276523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76B">
        <w:rPr>
          <w:rFonts w:ascii="Times New Roman" w:hAnsi="Times New Roman" w:cs="Times New Roman"/>
          <w:i/>
          <w:sz w:val="28"/>
          <w:szCs w:val="28"/>
        </w:rPr>
        <w:t>Autoritatea competentă:</w:t>
      </w:r>
    </w:p>
    <w:p w14:paraId="4E8620CA" w14:textId="0C62E08A" w:rsidR="00CE154A" w:rsidRPr="0044376B" w:rsidRDefault="00276523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76B">
        <w:rPr>
          <w:rFonts w:ascii="Times New Roman" w:hAnsi="Times New Roman" w:cs="Times New Roman"/>
          <w:i/>
          <w:sz w:val="28"/>
          <w:szCs w:val="28"/>
        </w:rPr>
        <w:t>Limba:</w:t>
      </w:r>
    </w:p>
    <w:p w14:paraId="0AA4C55F" w14:textId="55F2A4DA" w:rsidR="00CE154A" w:rsidRPr="0044376B" w:rsidRDefault="00CE154A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 xml:space="preserve">3. </w:t>
      </w:r>
      <w:r w:rsidR="00E70F54" w:rsidRPr="0044376B">
        <w:rPr>
          <w:rFonts w:ascii="Times New Roman" w:hAnsi="Times New Roman" w:cs="Times New Roman"/>
          <w:sz w:val="28"/>
          <w:szCs w:val="28"/>
        </w:rPr>
        <w:t>O autoritate spaniolă competentă solicită prezenţa cetăţeanului rus Michail Lebedenski, domiciliat în Nicosia, Cipru</w:t>
      </w:r>
      <w:r w:rsidRPr="0044376B">
        <w:rPr>
          <w:rFonts w:ascii="Times New Roman" w:hAnsi="Times New Roman" w:cs="Times New Roman"/>
          <w:sz w:val="28"/>
          <w:szCs w:val="28"/>
        </w:rPr>
        <w:t>.</w:t>
      </w:r>
    </w:p>
    <w:p w14:paraId="4943913D" w14:textId="77777777" w:rsidR="00276523" w:rsidRPr="0044376B" w:rsidRDefault="00276523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Hlk54103106"/>
      <w:r w:rsidRPr="0044376B">
        <w:rPr>
          <w:rFonts w:ascii="Times New Roman" w:hAnsi="Times New Roman" w:cs="Times New Roman"/>
          <w:i/>
          <w:sz w:val="28"/>
          <w:szCs w:val="28"/>
        </w:rPr>
        <w:t>Autoritatea competentă:</w:t>
      </w:r>
    </w:p>
    <w:p w14:paraId="1736306B" w14:textId="7B546CB1" w:rsidR="00C76691" w:rsidRPr="0044376B" w:rsidRDefault="00276523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44376B">
        <w:rPr>
          <w:rFonts w:ascii="Times New Roman" w:hAnsi="Times New Roman" w:cs="Times New Roman"/>
          <w:i/>
          <w:sz w:val="28"/>
          <w:szCs w:val="28"/>
        </w:rPr>
        <w:t>Limba</w:t>
      </w:r>
      <w:r w:rsidR="00CE154A" w:rsidRPr="0044376B">
        <w:rPr>
          <w:rFonts w:ascii="Times New Roman" w:hAnsi="Times New Roman" w:cs="Times New Roman"/>
          <w:i/>
          <w:sz w:val="28"/>
          <w:szCs w:val="28"/>
        </w:rPr>
        <w:t>:</w:t>
      </w:r>
      <w:bookmarkEnd w:id="0"/>
    </w:p>
    <w:p w14:paraId="451790DD" w14:textId="2A813658" w:rsidR="00D353E2" w:rsidRPr="0044376B" w:rsidRDefault="00A145A2" w:rsidP="0065667B">
      <w:pPr>
        <w:pStyle w:val="ListParagraph"/>
        <w:numPr>
          <w:ilvl w:val="0"/>
          <w:numId w:val="8"/>
        </w:numPr>
        <w:suppressAutoHyphens/>
        <w:autoSpaceDN w:val="0"/>
        <w:spacing w:line="240" w:lineRule="auto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</w:pPr>
      <w:r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 xml:space="preserve">III. </w:t>
      </w:r>
      <w:r w:rsidR="00276523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>Speţa nr. 2</w:t>
      </w:r>
      <w:r w:rsidR="00E372D1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 xml:space="preserve">, </w:t>
      </w:r>
      <w:r w:rsidR="00276523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>continuarea</w:t>
      </w:r>
      <w:r w:rsidR="00E372D1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 xml:space="preserve"> </w:t>
      </w:r>
      <w:r w:rsidR="00276523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>Speţei nr.</w:t>
      </w:r>
      <w:r w:rsidR="00E372D1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 xml:space="preserve"> 1</w:t>
      </w:r>
      <w:r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>:</w:t>
      </w:r>
    </w:p>
    <w:p w14:paraId="62E8FF59" w14:textId="02A2E6FD" w:rsidR="00A145A2" w:rsidRPr="0044376B" w:rsidRDefault="00E376C2" w:rsidP="0065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La audierea desf</w:t>
      </w:r>
      <w:r w:rsidR="00F4554A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ăşurată la </w:t>
      </w:r>
      <w:r w:rsidR="001E4A81" w:rsidRPr="001E4A81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instanța</w:t>
      </w:r>
      <w:r w:rsidR="00F4554A" w:rsidRPr="001E4A81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olandez</w:t>
      </w:r>
      <w:r w:rsidR="001E4A81" w:rsidRPr="001E4A81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ă</w:t>
      </w:r>
      <w:r w:rsidRPr="001E4A81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145A2" w:rsidRPr="001E4A81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apărătorul</w:t>
      </w:r>
      <w:r w:rsidR="00A145A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dr. Drion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declară faptul că condiţiile de detenţie din Grecia sunt inferioare standardelor aplicate de Curtea Europeană a Drepturilor Omului în cazul Aranyosi</w:t>
      </w:r>
      <w:r w:rsidR="00A145A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907C3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Apărătorul se teme de faptul că Drion se va confrunta cu un tratament degradant şi inuman în închisorile din Grecia</w:t>
      </w:r>
      <w:r w:rsidR="00A145A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907C3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Această situaţie</w:t>
      </w:r>
      <w:r w:rsidR="00A145A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907C3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conform concluziilor </w:t>
      </w:r>
      <w:r w:rsidR="008A3EBF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formulate de către apărătorul lui Drion</w:t>
      </w:r>
      <w:r w:rsidR="00A145A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A3EBF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ar </w:t>
      </w:r>
      <w:r w:rsidR="00675AE1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încălca drepturile prevă</w:t>
      </w:r>
      <w:r w:rsidR="008C10C1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z</w:t>
      </w:r>
      <w:r w:rsidR="00675AE1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ute în a</w:t>
      </w:r>
      <w:r w:rsidR="008A3EBF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rt. 3 din Convenţia Europeană a Drepturilor Omului, </w:t>
      </w:r>
      <w:r w:rsidR="00675AE1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precum şi a</w:t>
      </w:r>
      <w:r w:rsidR="008A3EBF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rt. 4 din</w:t>
      </w:r>
      <w:r w:rsidR="00A145A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3EBF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Cartă</w:t>
      </w:r>
      <w:r w:rsidR="00A145A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E1C6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A3EBF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Apărătorul lui Drion solicită Curţii respingerea solicitării de predare</w:t>
      </w:r>
      <w:r w:rsidR="00FE1C6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F98D4F9" w14:textId="63CBDBDA" w:rsidR="009F6595" w:rsidRPr="0044376B" w:rsidRDefault="00276523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Întrebări</w:t>
      </w:r>
      <w:r w:rsidR="00994DDC"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  <w:r w:rsidR="009F6595"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14:paraId="452F0D8D" w14:textId="3C647872" w:rsidR="009F6595" w:rsidRPr="0044376B" w:rsidRDefault="00312334" w:rsidP="0065667B">
      <w:pPr>
        <w:pStyle w:val="ListParagraph"/>
        <w:numPr>
          <w:ilvl w:val="3"/>
          <w:numId w:val="8"/>
        </w:numPr>
        <w:spacing w:line="240" w:lineRule="auto"/>
        <w:ind w:left="709" w:hanging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44376B">
        <w:rPr>
          <w:rFonts w:ascii="Times New Roman" w:hAnsi="Times New Roman" w:cs="Times New Roman"/>
          <w:i/>
          <w:sz w:val="28"/>
          <w:szCs w:val="28"/>
          <w:lang w:val="ro-RO"/>
        </w:rPr>
        <w:t>Este obligată autoritatea de executare să soluţioneze această chestiune</w:t>
      </w:r>
      <w:r w:rsidR="009F6595" w:rsidRPr="0044376B">
        <w:rPr>
          <w:rFonts w:ascii="Times New Roman" w:hAnsi="Times New Roman" w:cs="Times New Roman"/>
          <w:i/>
          <w:sz w:val="28"/>
          <w:szCs w:val="28"/>
          <w:lang w:val="ro-RO"/>
        </w:rPr>
        <w:t>?</w:t>
      </w:r>
    </w:p>
    <w:p w14:paraId="3927C3CC" w14:textId="15F108BD" w:rsidR="009F6595" w:rsidRPr="00CA6729" w:rsidRDefault="00312334" w:rsidP="0065667B">
      <w:pPr>
        <w:pStyle w:val="ListParagraph"/>
        <w:numPr>
          <w:ilvl w:val="3"/>
          <w:numId w:val="8"/>
        </w:numPr>
        <w:spacing w:line="240" w:lineRule="auto"/>
        <w:ind w:left="709" w:hanging="709"/>
        <w:contextualSpacing w:val="0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</w:pPr>
      <w:r w:rsidRPr="00CA6729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>În caz afirmativ</w:t>
      </w:r>
      <w:r w:rsidR="009F6595" w:rsidRPr="00CA6729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 xml:space="preserve">, </w:t>
      </w:r>
      <w:r w:rsidRPr="00CA6729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>în ce manieră va proceda</w:t>
      </w:r>
      <w:r w:rsidR="009F6595" w:rsidRPr="00CA6729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>?</w:t>
      </w:r>
    </w:p>
    <w:p w14:paraId="458F4053" w14:textId="15BD2BEC" w:rsidR="009F6595" w:rsidRPr="00CA6729" w:rsidRDefault="00312334" w:rsidP="0065667B">
      <w:pPr>
        <w:pStyle w:val="ListParagraph"/>
        <w:numPr>
          <w:ilvl w:val="3"/>
          <w:numId w:val="8"/>
        </w:numPr>
        <w:spacing w:line="240" w:lineRule="auto"/>
        <w:ind w:left="709" w:hanging="709"/>
        <w:contextualSpacing w:val="0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</w:pPr>
      <w:r w:rsidRPr="00CA6729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>Autoritatea emitentă are vreun rol în această chestiune</w:t>
      </w:r>
      <w:r w:rsidR="009F6595" w:rsidRPr="00CA6729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>?</w:t>
      </w:r>
    </w:p>
    <w:p w14:paraId="69D5AF7C" w14:textId="529F07E7" w:rsidR="00312334" w:rsidRPr="0044376B" w:rsidRDefault="00312334" w:rsidP="0065667B">
      <w:pPr>
        <w:pStyle w:val="ListParagraph"/>
        <w:numPr>
          <w:ilvl w:val="3"/>
          <w:numId w:val="8"/>
        </w:numPr>
        <w:spacing w:line="240" w:lineRule="auto"/>
        <w:ind w:left="709" w:hanging="709"/>
        <w:contextualSpacing w:val="0"/>
        <w:jc w:val="both"/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>Are autoritatea de executare posibilitatea de a amâna sau de a refuza executarea MEA</w:t>
      </w:r>
      <w:r w:rsidR="009F6595" w:rsidRPr="0044376B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  <w:lang w:val="ro-RO"/>
        </w:rPr>
        <w:t>?</w:t>
      </w:r>
    </w:p>
    <w:p w14:paraId="39FF1B7C" w14:textId="77777777" w:rsidR="00312334" w:rsidRPr="0044376B" w:rsidRDefault="00312334" w:rsidP="0065667B">
      <w:pPr>
        <w:pStyle w:val="ListParagraph"/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14:paraId="3D216B40" w14:textId="66F98F94" w:rsidR="00FE1C68" w:rsidRPr="0044376B" w:rsidRDefault="00FE1C68" w:rsidP="0065667B">
      <w:pPr>
        <w:pStyle w:val="ListParagraph"/>
        <w:numPr>
          <w:ilvl w:val="0"/>
          <w:numId w:val="14"/>
        </w:numPr>
        <w:spacing w:line="240" w:lineRule="auto"/>
        <w:ind w:left="0" w:firstLine="0"/>
        <w:contextualSpacing w:val="0"/>
        <w:jc w:val="both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ro-RO"/>
        </w:rPr>
      </w:pPr>
      <w:r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ro-RO"/>
        </w:rPr>
        <w:lastRenderedPageBreak/>
        <w:t>IV</w:t>
      </w:r>
      <w:r w:rsidR="00C87BC5"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ro-RO"/>
        </w:rPr>
        <w:t>.</w:t>
      </w:r>
      <w:r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ro-RO"/>
        </w:rPr>
        <w:t xml:space="preserve"> </w:t>
      </w:r>
      <w:r w:rsidR="001465DE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>Sarcină suplimentară: MEA pentru Norvegia</w:t>
      </w:r>
      <w:r w:rsidR="005D1164"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ro-RO"/>
        </w:rPr>
        <w:t>?</w:t>
      </w:r>
    </w:p>
    <w:p w14:paraId="46563E3E" w14:textId="12651297" w:rsidR="00FE1C68" w:rsidRDefault="001465DE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>În Speţa nr. 1</w:t>
      </w:r>
      <w:r w:rsidR="00CA6729"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r w:rsidR="00FE1C68"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>înlocuiţi Olanda cu Norvegia, Olandez</w:t>
      </w:r>
      <w:r w:rsidR="00FE1C68"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>cu</w:t>
      </w:r>
      <w:r w:rsidR="00FE1C68"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>Norvegian</w:t>
      </w:r>
      <w:r w:rsidR="00FE1C68"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>şi</w:t>
      </w:r>
      <w:r w:rsidR="00FE1C68"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Maastricht </w:t>
      </w:r>
      <w:r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>cu</w:t>
      </w:r>
      <w:r w:rsidR="00FE1C68"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Bergen. </w:t>
      </w:r>
      <w:r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>Celelalte informaţii rămân neschimbate</w:t>
      </w:r>
      <w:r w:rsidR="00FE1C68"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>În ce modalitate şi în conformitate</w:t>
      </w:r>
      <w:r w:rsidR="00CA6729"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r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ce dispoziţii va fi emis mandatul de arestare</w:t>
      </w:r>
      <w:r w:rsidR="00FE1C68"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>?</w:t>
      </w:r>
      <w:r w:rsidRPr="00CA67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vor fi răspunsurile la întrebările de la Speţa nr. 1?</w:t>
      </w:r>
    </w:p>
    <w:p w14:paraId="4A86F0FD" w14:textId="77777777" w:rsidR="00CA6729" w:rsidRPr="00CA6729" w:rsidRDefault="00CA6729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14:paraId="6C687C66" w14:textId="068D31B8" w:rsidR="00C35570" w:rsidRPr="0044376B" w:rsidRDefault="001465DE" w:rsidP="0065667B">
      <w:pPr>
        <w:pStyle w:val="Test"/>
        <w:shd w:val="clear" w:color="auto" w:fill="DED888"/>
        <w:spacing w:after="160" w:line="240" w:lineRule="auto"/>
        <w:jc w:val="center"/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ro-RO"/>
        </w:rPr>
      </w:pPr>
      <w:r w:rsidRPr="004437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ro-RO"/>
        </w:rPr>
        <w:t>Partea</w:t>
      </w:r>
      <w:r w:rsidR="00C35570" w:rsidRPr="004437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ro-RO"/>
        </w:rPr>
        <w:t xml:space="preserve"> B. </w:t>
      </w:r>
      <w:r w:rsidR="007363FB">
        <w:rPr>
          <w:rFonts w:ascii="Times New Roman" w:hAnsi="Times New Roman"/>
          <w:bCs/>
          <w:color w:val="365F91" w:themeColor="accent1" w:themeShade="BF"/>
          <w:sz w:val="32"/>
          <w:szCs w:val="32"/>
          <w:lang w:val="ro-RO"/>
        </w:rPr>
        <w:t>Informaţii</w:t>
      </w:r>
      <w:r w:rsidRPr="0044376B">
        <w:rPr>
          <w:rFonts w:ascii="Times New Roman" w:hAnsi="Times New Roman"/>
          <w:bCs/>
          <w:color w:val="365F91" w:themeColor="accent1" w:themeShade="BF"/>
          <w:sz w:val="32"/>
          <w:szCs w:val="32"/>
          <w:lang w:val="ro-RO"/>
        </w:rPr>
        <w:t xml:space="preserve"> suplimentare pentru formatori cu privire la cazuri</w:t>
      </w:r>
    </w:p>
    <w:p w14:paraId="7F79388E" w14:textId="249283F2" w:rsidR="00C35570" w:rsidRPr="0044376B" w:rsidRDefault="00C35570" w:rsidP="0065667B">
      <w:pPr>
        <w:spacing w:after="160" w:line="240" w:lineRule="auto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A. I. </w:t>
      </w:r>
      <w:r w:rsidR="001465DE"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Speţa nr.</w:t>
      </w:r>
      <w:r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1:</w:t>
      </w:r>
    </w:p>
    <w:p w14:paraId="6AEFCBA5" w14:textId="4114A228" w:rsidR="00C35570" w:rsidRPr="0044376B" w:rsidRDefault="001465DE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44376B">
        <w:rPr>
          <w:rFonts w:ascii="Times New Roman" w:hAnsi="Times New Roman" w:cs="Times New Roman"/>
          <w:bCs/>
          <w:sz w:val="28"/>
          <w:szCs w:val="28"/>
        </w:rPr>
        <w:t>În funcţie de statul membru în care are loc seminarul,</w:t>
      </w:r>
      <w:r w:rsidR="00C35570" w:rsidRPr="00443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bCs/>
          <w:sz w:val="28"/>
          <w:szCs w:val="28"/>
        </w:rPr>
        <w:t>ţările de la Speţele nr.</w:t>
      </w:r>
      <w:r w:rsidR="00C35570" w:rsidRPr="0044376B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Pr="0044376B">
        <w:rPr>
          <w:rFonts w:ascii="Times New Roman" w:hAnsi="Times New Roman" w:cs="Times New Roman"/>
          <w:bCs/>
          <w:sz w:val="28"/>
          <w:szCs w:val="28"/>
        </w:rPr>
        <w:t>şi</w:t>
      </w:r>
      <w:r w:rsidR="00C35570" w:rsidRPr="0044376B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Pr="0044376B">
        <w:rPr>
          <w:rFonts w:ascii="Times New Roman" w:hAnsi="Times New Roman" w:cs="Times New Roman"/>
          <w:bCs/>
          <w:sz w:val="28"/>
          <w:szCs w:val="28"/>
        </w:rPr>
        <w:t>se vor schimba</w:t>
      </w:r>
      <w:r w:rsidR="00C35570" w:rsidRPr="004437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F7417" w:rsidRPr="0044376B">
        <w:rPr>
          <w:rFonts w:ascii="Times New Roman" w:hAnsi="Times New Roman" w:cs="Times New Roman"/>
          <w:bCs/>
          <w:sz w:val="28"/>
          <w:szCs w:val="28"/>
        </w:rPr>
        <w:t>Asiguraţi-vă că alegeţi un stat membru care se opune puternic eutanasiei şi un alt stat membru care permite acest lucru, în anumite condiţii.</w:t>
      </w:r>
    </w:p>
    <w:p w14:paraId="0C64581B" w14:textId="00FDF5A3" w:rsidR="00C35570" w:rsidRPr="0044376B" w:rsidRDefault="00C35570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A. IV. </w:t>
      </w:r>
      <w:r w:rsidR="001465DE"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Sarcină suplimentară</w:t>
      </w:r>
      <w:r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</w:t>
      </w:r>
      <w:r w:rsidR="001465DE"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MEA</w:t>
      </w:r>
      <w:r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1465DE"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pentru</w:t>
      </w:r>
      <w:r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1465DE"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Norvegia</w:t>
      </w:r>
      <w:r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?</w:t>
      </w:r>
    </w:p>
    <w:p w14:paraId="0094AB4D" w14:textId="7355075C" w:rsidR="00C35570" w:rsidRPr="0044376B" w:rsidRDefault="005F7417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Această sarcină poate fi îndeplinită</w:t>
      </w:r>
      <w:r w:rsidR="00C35570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în măsura în care timpul permite</w:t>
      </w:r>
      <w:r w:rsidR="00C35570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şi ar trebui atribuită unor practicieni experimentaţi.</w:t>
      </w:r>
    </w:p>
    <w:p w14:paraId="75BEC30B" w14:textId="7B2E547C" w:rsidR="00107C53" w:rsidRPr="0044376B" w:rsidRDefault="00107C53" w:rsidP="0065667B">
      <w:pPr>
        <w:pStyle w:val="Test"/>
        <w:shd w:val="clear" w:color="auto" w:fill="DED888"/>
        <w:spacing w:after="160" w:line="240" w:lineRule="auto"/>
        <w:jc w:val="center"/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ro-RO"/>
        </w:rPr>
      </w:pPr>
      <w:r w:rsidRPr="004437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ro-RO"/>
        </w:rPr>
        <w:t>Part</w:t>
      </w:r>
      <w:r w:rsidR="001465DE" w:rsidRPr="004437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ro-RO"/>
        </w:rPr>
        <w:t>ea</w:t>
      </w:r>
      <w:r w:rsidRPr="004437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ro-RO"/>
        </w:rPr>
        <w:t xml:space="preserve"> </w:t>
      </w:r>
      <w:r w:rsidR="00C35570" w:rsidRPr="004437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ro-RO"/>
        </w:rPr>
        <w:t>C</w:t>
      </w:r>
      <w:r w:rsidR="005D1164" w:rsidRPr="004437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ro-RO"/>
        </w:rPr>
        <w:t xml:space="preserve">. </w:t>
      </w:r>
      <w:r w:rsidR="001465DE" w:rsidRPr="0044376B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ro-RO"/>
        </w:rPr>
        <w:t>Abordarea metodologică</w:t>
      </w:r>
    </w:p>
    <w:p w14:paraId="324D8178" w14:textId="563ED91B" w:rsidR="00107C53" w:rsidRPr="0044376B" w:rsidRDefault="00C0255C" w:rsidP="0065667B">
      <w:pPr>
        <w:numPr>
          <w:ilvl w:val="0"/>
          <w:numId w:val="1"/>
        </w:numPr>
        <w:suppressAutoHyphens/>
        <w:autoSpaceDN w:val="0"/>
        <w:spacing w:after="16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4376B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</w:rPr>
        <w:t>Ideile generale şi temele principale</w:t>
      </w:r>
    </w:p>
    <w:p w14:paraId="626CB7D3" w14:textId="2B08B622" w:rsidR="00D353E2" w:rsidRPr="0044376B" w:rsidRDefault="00C0255C" w:rsidP="0065667B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2B0E96">
        <w:rPr>
          <w:rFonts w:ascii="Times New Roman" w:eastAsia="Calibri" w:hAnsi="Times New Roman" w:cs="Times New Roman"/>
          <w:bCs/>
          <w:sz w:val="28"/>
          <w:szCs w:val="28"/>
        </w:rPr>
        <w:t>Ideea primei speţe este de a aborda conceptul de recunoaştere reciprocă</w:t>
      </w:r>
      <w:r w:rsidR="007D5CAB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611B9" w:rsidRPr="002B0E96">
        <w:rPr>
          <w:rFonts w:ascii="Times New Roman" w:eastAsia="Calibri" w:hAnsi="Times New Roman" w:cs="Times New Roman"/>
          <w:bCs/>
          <w:sz w:val="28"/>
          <w:szCs w:val="28"/>
        </w:rPr>
        <w:t>Acest lucru implică un grad ridicat de încredere în diferitele sisteme judiciare penale</w:t>
      </w:r>
      <w:r w:rsidR="007D5CAB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611B9" w:rsidRPr="002B0E96">
        <w:rPr>
          <w:rFonts w:ascii="Times New Roman" w:eastAsia="Calibri" w:hAnsi="Times New Roman" w:cs="Times New Roman"/>
          <w:bCs/>
          <w:sz w:val="28"/>
          <w:szCs w:val="28"/>
        </w:rPr>
        <w:t>şi</w:t>
      </w:r>
      <w:r w:rsidR="007D5CAB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611B9" w:rsidRPr="002B0E96">
        <w:rPr>
          <w:rFonts w:ascii="Times New Roman" w:eastAsia="Calibri" w:hAnsi="Times New Roman" w:cs="Times New Roman"/>
          <w:bCs/>
          <w:sz w:val="28"/>
          <w:szCs w:val="28"/>
        </w:rPr>
        <w:t>presupune ca procesul de cooperare judiciară să aibă loc</w:t>
      </w:r>
      <w:r w:rsidR="007D5CAB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611B9" w:rsidRPr="002B0E96">
        <w:rPr>
          <w:rFonts w:ascii="Times New Roman" w:eastAsia="Calibri" w:hAnsi="Times New Roman" w:cs="Times New Roman"/>
          <w:bCs/>
          <w:sz w:val="28"/>
          <w:szCs w:val="28"/>
        </w:rPr>
        <w:t>chi</w:t>
      </w:r>
      <w:r w:rsidR="002B0E96" w:rsidRPr="002B0E96"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4611B9" w:rsidRPr="002B0E96">
        <w:rPr>
          <w:rFonts w:ascii="Times New Roman" w:eastAsia="Calibri" w:hAnsi="Times New Roman" w:cs="Times New Roman"/>
          <w:bCs/>
          <w:sz w:val="28"/>
          <w:szCs w:val="28"/>
        </w:rPr>
        <w:t>r în situaţiile în care soluţia pronunţată ar fi total diferită faţă de cea din propriul stat</w:t>
      </w:r>
      <w:r w:rsidR="007D5CAB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611B9" w:rsidRPr="002B0E96">
        <w:rPr>
          <w:rFonts w:ascii="Times New Roman" w:eastAsia="Calibri" w:hAnsi="Times New Roman" w:cs="Times New Roman"/>
          <w:bCs/>
          <w:sz w:val="28"/>
          <w:szCs w:val="28"/>
        </w:rPr>
        <w:t>Este important de reţinut faptul că, de cele mai multe ori, calificările juridice conform legislaţiei naţionale nu se aplică</w:t>
      </w:r>
      <w:r w:rsidR="007D5CAB" w:rsidRPr="002B0E9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353E2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611B9" w:rsidRPr="002B0E96">
        <w:rPr>
          <w:rFonts w:ascii="Times New Roman" w:eastAsia="Calibri" w:hAnsi="Times New Roman" w:cs="Times New Roman"/>
          <w:bCs/>
          <w:sz w:val="28"/>
          <w:szCs w:val="28"/>
        </w:rPr>
        <w:t>De regulă</w:t>
      </w:r>
      <w:r w:rsidR="00D353E2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611B9" w:rsidRPr="002B0E96">
        <w:rPr>
          <w:rFonts w:ascii="Times New Roman" w:eastAsia="Calibri" w:hAnsi="Times New Roman" w:cs="Times New Roman"/>
          <w:bCs/>
          <w:sz w:val="28"/>
          <w:szCs w:val="28"/>
        </w:rPr>
        <w:t>mandatele de arestare trebuie recunoscute ca atare şi puse în executare</w:t>
      </w:r>
      <w:r w:rsidR="00D353E2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611B9" w:rsidRPr="002B0E96">
        <w:rPr>
          <w:rFonts w:ascii="Times New Roman" w:eastAsia="Calibri" w:hAnsi="Times New Roman" w:cs="Times New Roman"/>
          <w:bCs/>
          <w:sz w:val="28"/>
          <w:szCs w:val="28"/>
        </w:rPr>
        <w:t>În majoritatea situaţiilor</w:t>
      </w:r>
      <w:r w:rsidR="005D1164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611B9" w:rsidRPr="002B0E96">
        <w:rPr>
          <w:rFonts w:ascii="Times New Roman" w:eastAsia="Calibri" w:hAnsi="Times New Roman" w:cs="Times New Roman"/>
          <w:bCs/>
          <w:sz w:val="28"/>
          <w:szCs w:val="28"/>
        </w:rPr>
        <w:t>statul membru emitent stabileşte condiţiile de executare</w:t>
      </w:r>
      <w:r w:rsidR="005D1164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611B9" w:rsidRPr="002B0E96">
        <w:rPr>
          <w:rFonts w:ascii="Times New Roman" w:eastAsia="Calibri" w:hAnsi="Times New Roman" w:cs="Times New Roman"/>
          <w:bCs/>
          <w:sz w:val="28"/>
          <w:szCs w:val="28"/>
        </w:rPr>
        <w:t>Cu toate acestea</w:t>
      </w:r>
      <w:r w:rsidR="005D1164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611B9" w:rsidRPr="002B0E96">
        <w:rPr>
          <w:rFonts w:ascii="Times New Roman" w:eastAsia="Calibri" w:hAnsi="Times New Roman" w:cs="Times New Roman"/>
          <w:bCs/>
          <w:sz w:val="28"/>
          <w:szCs w:val="28"/>
        </w:rPr>
        <w:t>există câteva excepţii</w:t>
      </w:r>
      <w:r w:rsidR="005D1164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D0431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În jurisprudenţa </w:t>
      </w:r>
      <w:r w:rsidR="002B0E96" w:rsidRPr="002B0E96">
        <w:rPr>
          <w:rFonts w:ascii="Times New Roman" w:eastAsia="Calibri" w:hAnsi="Times New Roman" w:cs="Times New Roman"/>
          <w:bCs/>
          <w:sz w:val="28"/>
          <w:szCs w:val="28"/>
        </w:rPr>
        <w:t>CJUE,</w:t>
      </w:r>
      <w:r w:rsidR="00D353E2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0431" w:rsidRPr="002B0E96">
        <w:rPr>
          <w:rFonts w:ascii="Times New Roman" w:eastAsia="Calibri" w:hAnsi="Times New Roman" w:cs="Times New Roman"/>
          <w:bCs/>
          <w:sz w:val="28"/>
          <w:szCs w:val="28"/>
        </w:rPr>
        <w:t>există unele excepţii la care dispoziţiile Deciziei-cadru nu fac referire, însă care se regăsesc în practica judiciară.</w:t>
      </w:r>
      <w:r w:rsidR="00D353E2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0431" w:rsidRPr="002B0E96">
        <w:rPr>
          <w:rFonts w:ascii="Times New Roman" w:eastAsia="Calibri" w:hAnsi="Times New Roman" w:cs="Times New Roman"/>
          <w:bCs/>
          <w:sz w:val="28"/>
          <w:szCs w:val="28"/>
        </w:rPr>
        <w:t xml:space="preserve">În pregătirea lor profesională, personalul instanţelor judecătoreşti trebuie </w:t>
      </w:r>
      <w:r w:rsidR="001D0431" w:rsidRPr="0044376B">
        <w:rPr>
          <w:rFonts w:ascii="Times New Roman" w:eastAsia="Calibri" w:hAnsi="Times New Roman" w:cs="Times New Roman"/>
          <w:bCs/>
          <w:sz w:val="28"/>
          <w:szCs w:val="28"/>
        </w:rPr>
        <w:t>să dezvolte abilităţi în recunoaşterea unor astfel de situaţii, întrucât acestea pot provoca întârzieri sau impedimente cu consecinţe ce se pot produce după parcurgerea procesului de predare</w:t>
      </w:r>
      <w:r w:rsidR="00D353E2" w:rsidRPr="0044376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2167D61" w14:textId="6D060338" w:rsidR="00E22DFC" w:rsidRPr="0044376B" w:rsidRDefault="003058CE" w:rsidP="0065667B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376B">
        <w:rPr>
          <w:rFonts w:ascii="Times New Roman" w:eastAsia="Calibri" w:hAnsi="Times New Roman" w:cs="Times New Roman"/>
          <w:bCs/>
          <w:sz w:val="28"/>
          <w:szCs w:val="28"/>
        </w:rPr>
        <w:t>Speţel</w:t>
      </w:r>
      <w:r w:rsidR="008C10C1">
        <w:rPr>
          <w:rFonts w:ascii="Times New Roman" w:eastAsia="Calibri" w:hAnsi="Times New Roman" w:cs="Times New Roman"/>
          <w:bCs/>
          <w:sz w:val="28"/>
          <w:szCs w:val="28"/>
        </w:rPr>
        <w:t>e şi întrebările au fost stabil</w:t>
      </w:r>
      <w:r w:rsidRPr="0044376B">
        <w:rPr>
          <w:rFonts w:ascii="Times New Roman" w:eastAsia="Calibri" w:hAnsi="Times New Roman" w:cs="Times New Roman"/>
          <w:bCs/>
          <w:sz w:val="28"/>
          <w:szCs w:val="28"/>
        </w:rPr>
        <w:t>ite pentru a permite formatorului şi cursanţilor să abordeze</w:t>
      </w:r>
      <w:r w:rsidR="00D353E2" w:rsidRPr="0044376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86FEAE1" w14:textId="77777777" w:rsidR="002B0E96" w:rsidRDefault="008008F5" w:rsidP="0065667B">
      <w:pPr>
        <w:pStyle w:val="ListParagraph"/>
        <w:numPr>
          <w:ilvl w:val="3"/>
          <w:numId w:val="1"/>
        </w:numPr>
        <w:spacing w:line="240" w:lineRule="auto"/>
        <w:ind w:left="567" w:hanging="567"/>
        <w:contextualSpacing w:val="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</w:pPr>
      <w:r w:rsidRPr="0044376B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Structura și prezumțiile de bază privind recunoașterea reciprocă, în general, și, în special, în contextul specific al deciziei-cadru 2002/584/JAI a </w:t>
      </w:r>
      <w:r w:rsidRPr="0044376B">
        <w:rPr>
          <w:rFonts w:ascii="Times New Roman" w:eastAsia="Calibri" w:hAnsi="Times New Roman" w:cs="Times New Roman"/>
          <w:bCs/>
          <w:sz w:val="28"/>
          <w:szCs w:val="28"/>
          <w:lang w:val="ro-RO"/>
        </w:rPr>
        <w:lastRenderedPageBreak/>
        <w:t>Consiliului din 13 iunie 2002 privind mandatul european de arestare și procedurile de predare între statele membre</w:t>
      </w:r>
      <w:r w:rsidR="00D353E2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;</w:t>
      </w:r>
      <w:r w:rsidR="005D1164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 </w:t>
      </w:r>
    </w:p>
    <w:p w14:paraId="2C876128" w14:textId="71EBF6E6" w:rsidR="00D353E2" w:rsidRDefault="005D1164" w:rsidP="002B0E96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C242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NB: </w:t>
      </w:r>
      <w:r w:rsidR="008008F5" w:rsidRPr="002C242A">
        <w:rPr>
          <w:rStyle w:val="Strong"/>
          <w:rFonts w:ascii="Times New Roman" w:hAnsi="Times New Roman" w:cs="Times New Roman"/>
          <w:b w:val="0"/>
          <w:sz w:val="28"/>
          <w:szCs w:val="28"/>
        </w:rPr>
        <w:t>MEA</w:t>
      </w:r>
      <w:r w:rsidRPr="002C242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8F5" w:rsidRPr="002C242A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r w:rsidRPr="002C242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008F5" w:rsidRPr="002C242A">
        <w:rPr>
          <w:rStyle w:val="Strong"/>
          <w:rFonts w:ascii="Times New Roman" w:hAnsi="Times New Roman" w:cs="Times New Roman"/>
          <w:b w:val="0"/>
          <w:sz w:val="28"/>
          <w:szCs w:val="28"/>
        </w:rPr>
        <w:t>ca cel mai vechi şi exclusiv instrument de extrădare/predare</w:t>
      </w:r>
      <w:r w:rsidRPr="002C242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C242A" w:rsidRPr="002C242A">
        <w:rPr>
          <w:rStyle w:val="Strong"/>
          <w:rFonts w:ascii="Times New Roman" w:hAnsi="Times New Roman" w:cs="Times New Roman"/>
          <w:b w:val="0"/>
          <w:sz w:val="28"/>
          <w:szCs w:val="28"/>
        </w:rPr>
        <w:t>piatra de temelie</w:t>
      </w:r>
      <w:r w:rsidR="008008F5" w:rsidRPr="002C242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pentru toate celelalte instrumente juridice privind recunoaşterea reciprocă</w:t>
      </w:r>
      <w:r w:rsidRPr="002C242A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008F5" w:rsidRPr="002B0E9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Prin urmare, jurisprudenţa privind MEA</w:t>
      </w:r>
      <w:r w:rsidRPr="002B0E9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08F5" w:rsidRPr="002B0E9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are un impact imediat</w:t>
      </w:r>
      <w:r w:rsidRPr="002B0E9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008F5" w:rsidRPr="002B0E9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asupra oricărei alte forme de cooperare</w:t>
      </w:r>
      <w:r w:rsidRPr="002B0E9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!</w:t>
      </w:r>
    </w:p>
    <w:p w14:paraId="25DA8246" w14:textId="77777777" w:rsidR="002C242A" w:rsidRPr="002B0E96" w:rsidRDefault="002C242A" w:rsidP="002B0E96">
      <w:pPr>
        <w:spacing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0A6FE71" w14:textId="703DDBB5" w:rsidR="00D353E2" w:rsidRPr="0044376B" w:rsidRDefault="008008F5" w:rsidP="0065667B">
      <w:pPr>
        <w:pStyle w:val="ListParagraph"/>
        <w:numPr>
          <w:ilvl w:val="3"/>
          <w:numId w:val="1"/>
        </w:numPr>
        <w:spacing w:line="240" w:lineRule="auto"/>
        <w:ind w:left="567" w:hanging="567"/>
        <w:contextualSpacing w:val="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</w:pP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Identificare autorităţilor implicate de ambele părţi</w:t>
      </w:r>
      <w:r w:rsidR="00D353E2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;</w:t>
      </w:r>
    </w:p>
    <w:p w14:paraId="017C16C3" w14:textId="0D1A6761" w:rsidR="00D353E2" w:rsidRPr="0044376B" w:rsidRDefault="008008F5" w:rsidP="0065667B">
      <w:pPr>
        <w:pStyle w:val="ListParagraph"/>
        <w:numPr>
          <w:ilvl w:val="3"/>
          <w:numId w:val="1"/>
        </w:numPr>
        <w:spacing w:line="240" w:lineRule="auto"/>
        <w:ind w:left="567" w:hanging="567"/>
        <w:contextualSpacing w:val="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</w:pP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Modalitatea de împărţire a sarcinilor între autoritatea emitentă şi cea de executare</w:t>
      </w:r>
      <w:r w:rsidR="00D353E2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 xml:space="preserve">; </w:t>
      </w:r>
    </w:p>
    <w:p w14:paraId="1081E4ED" w14:textId="046BD40A" w:rsidR="00D353E2" w:rsidRPr="0044376B" w:rsidRDefault="003341E9" w:rsidP="0065667B">
      <w:pPr>
        <w:pStyle w:val="ListParagraph"/>
        <w:numPr>
          <w:ilvl w:val="3"/>
          <w:numId w:val="1"/>
        </w:numPr>
        <w:spacing w:line="240" w:lineRule="auto"/>
        <w:ind w:left="567" w:hanging="567"/>
        <w:contextualSpacing w:val="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o-RO"/>
        </w:rPr>
        <w:t>Cu</w:t>
      </w:r>
      <w:r w:rsidR="002C242A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o-RO"/>
        </w:rPr>
        <w:t>m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o-RO"/>
        </w:rPr>
        <w:t xml:space="preserve"> poate fi stabilit contactul între autorităţi şi ce fel de garanţii trebuie acordate</w:t>
      </w:r>
      <w:r w:rsidR="00D353E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ro-RO"/>
        </w:rPr>
        <w:t>;</w:t>
      </w:r>
    </w:p>
    <w:p w14:paraId="62380069" w14:textId="6F332646" w:rsidR="00D353E2" w:rsidRPr="00A55217" w:rsidRDefault="003341E9" w:rsidP="0065667B">
      <w:pPr>
        <w:pStyle w:val="ListParagraph"/>
        <w:numPr>
          <w:ilvl w:val="3"/>
          <w:numId w:val="1"/>
        </w:numPr>
        <w:spacing w:line="240" w:lineRule="auto"/>
        <w:ind w:left="567" w:hanging="567"/>
        <w:contextualSpacing w:val="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</w:pPr>
      <w:r w:rsidRPr="00A5521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Care sunt consecinţele unei </w:t>
      </w:r>
      <w:r w:rsidR="00A55217" w:rsidRPr="00A5521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predări asupra urmăririi penale</w:t>
      </w:r>
      <w:r w:rsidRPr="00A5521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 în statul membru emitent</w:t>
      </w:r>
      <w:r w:rsidR="00E372D1" w:rsidRPr="00A5521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;</w:t>
      </w:r>
    </w:p>
    <w:p w14:paraId="197496D9" w14:textId="102E7AE1" w:rsidR="00E372D1" w:rsidRPr="00A55217" w:rsidRDefault="003341E9" w:rsidP="0065667B">
      <w:pPr>
        <w:pStyle w:val="ListParagraph"/>
        <w:numPr>
          <w:ilvl w:val="3"/>
          <w:numId w:val="1"/>
        </w:numPr>
        <w:spacing w:line="240" w:lineRule="auto"/>
        <w:ind w:left="567" w:hanging="567"/>
        <w:contextualSpacing w:val="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</w:pPr>
      <w:r w:rsidRPr="00A5521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Care sunt consecinţele </w:t>
      </w:r>
      <w:r w:rsidR="00A55217" w:rsidRPr="00A5521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unei predări asupra </w:t>
      </w:r>
      <w:r w:rsidRPr="00A5521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detenţie</w:t>
      </w:r>
      <w:r w:rsidR="00A55217" w:rsidRPr="00A5521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i</w:t>
      </w:r>
      <w:r w:rsidRPr="00A5521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 xml:space="preserve"> în statul membru emitent</w:t>
      </w:r>
      <w:r w:rsidR="00E372D1" w:rsidRPr="00A55217">
        <w:rPr>
          <w:rStyle w:val="Strong"/>
          <w:rFonts w:ascii="Times New Roman" w:hAnsi="Times New Roman" w:cs="Times New Roman"/>
          <w:b w:val="0"/>
          <w:sz w:val="28"/>
          <w:szCs w:val="28"/>
          <w:lang w:val="ro-RO"/>
        </w:rPr>
        <w:t>;</w:t>
      </w:r>
    </w:p>
    <w:p w14:paraId="28CBC4C5" w14:textId="5FC19ADD" w:rsidR="00D353E2" w:rsidRPr="0044376B" w:rsidRDefault="003341E9" w:rsidP="0065667B">
      <w:pPr>
        <w:pStyle w:val="ListParagraph"/>
        <w:numPr>
          <w:ilvl w:val="3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r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Rolul concluziilor formulate de apărător în încercarea de a bloca procesul de predare sau de a obţine condiţii favorabile</w:t>
      </w:r>
      <w:r w:rsidR="00E372D1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o-RO"/>
        </w:rPr>
        <w:t>.</w:t>
      </w:r>
    </w:p>
    <w:p w14:paraId="2C488D6A" w14:textId="7A321BCC" w:rsidR="00784CC7" w:rsidRPr="0044376B" w:rsidRDefault="003341E9" w:rsidP="0065667B">
      <w:pPr>
        <w:numPr>
          <w:ilvl w:val="0"/>
          <w:numId w:val="1"/>
        </w:numPr>
        <w:suppressAutoHyphens/>
        <w:autoSpaceDN w:val="0"/>
        <w:spacing w:after="16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4376B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</w:rPr>
        <w:t>Grupuri de lucru şi structura seminarului</w:t>
      </w:r>
    </w:p>
    <w:p w14:paraId="7665D8CC" w14:textId="39D6489C" w:rsidR="005D1164" w:rsidRPr="0044376B" w:rsidRDefault="00481889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Anterior desfăşurării seminarului,</w:t>
      </w:r>
      <w:r w:rsidR="005D1164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formatorul va trimite participanţilor un chestionar de o pagină</w:t>
      </w:r>
      <w:r w:rsidR="005D1164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pentru a afla experienţa profesională a acestora în legătură cu Decizia cadru şi aplicabilitatea acesteia</w:t>
      </w:r>
      <w:r w:rsidR="00390CDB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Pr="00A55217">
        <w:rPr>
          <w:rFonts w:ascii="Times New Roman" w:hAnsi="Times New Roman" w:cs="Times New Roman"/>
          <w:sz w:val="28"/>
          <w:szCs w:val="28"/>
        </w:rPr>
        <w:t>De asemenea, chestionarul va viza</w:t>
      </w:r>
      <w:r w:rsidR="00390CDB" w:rsidRPr="00A55217">
        <w:rPr>
          <w:rFonts w:ascii="Times New Roman" w:hAnsi="Times New Roman" w:cs="Times New Roman"/>
          <w:sz w:val="28"/>
          <w:szCs w:val="28"/>
        </w:rPr>
        <w:t xml:space="preserve"> </w:t>
      </w:r>
      <w:r w:rsidRPr="00A55217">
        <w:rPr>
          <w:rFonts w:ascii="Times New Roman" w:hAnsi="Times New Roman" w:cs="Times New Roman"/>
          <w:sz w:val="28"/>
          <w:szCs w:val="28"/>
        </w:rPr>
        <w:t>atât aşteptările acestora, cât şi întrebările pe care aceştia le au în legătură cu tema seminarului</w:t>
      </w:r>
      <w:r w:rsidR="0014764B" w:rsidRPr="00A55217">
        <w:rPr>
          <w:rFonts w:ascii="Times New Roman" w:hAnsi="Times New Roman" w:cs="Times New Roman"/>
          <w:sz w:val="28"/>
          <w:szCs w:val="28"/>
        </w:rPr>
        <w:t>.</w:t>
      </w:r>
      <w:r w:rsidR="00390CDB" w:rsidRPr="00A55217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Informaţiile astfel obţinute vor fi folosite</w:t>
      </w:r>
      <w:r w:rsidR="00390CDB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atât la prezentare, cât şi la alegerea temelor de discuţie sau la alegerea potenţialelor întrebări suplimentare</w:t>
      </w:r>
      <w:r w:rsidR="00390CDB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Pr="0044376B">
        <w:rPr>
          <w:rFonts w:ascii="Times New Roman" w:hAnsi="Times New Roman" w:cs="Times New Roman"/>
          <w:sz w:val="28"/>
          <w:szCs w:val="28"/>
        </w:rPr>
        <w:t>Aceste informaţii sunt importante, întrucât este posibil</w:t>
      </w:r>
      <w:r w:rsidR="00390CDB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ca experienţa profesională a participanţilor,</w:t>
      </w:r>
      <w:r w:rsidR="00390CDB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aptitudinile lingvistice ale acestora, precum şi atribuţiile profesionale</w:t>
      </w:r>
      <w:r w:rsidR="00390CDB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să varieze</w:t>
      </w:r>
      <w:r w:rsidR="00390CDB" w:rsidRPr="0044376B">
        <w:rPr>
          <w:rFonts w:ascii="Times New Roman" w:hAnsi="Times New Roman" w:cs="Times New Roman"/>
          <w:sz w:val="28"/>
          <w:szCs w:val="28"/>
        </w:rPr>
        <w:t>.</w:t>
      </w:r>
    </w:p>
    <w:p w14:paraId="3C3AFA47" w14:textId="622CC155" w:rsidR="004D5F0E" w:rsidRPr="0044376B" w:rsidRDefault="00481889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Formatorul va realiza o scurtă prezentare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(Power point) </w:t>
      </w:r>
      <w:r w:rsidR="00492D48" w:rsidRPr="0044376B">
        <w:rPr>
          <w:rFonts w:ascii="Times New Roman" w:hAnsi="Times New Roman" w:cs="Times New Roman"/>
          <w:sz w:val="28"/>
          <w:szCs w:val="28"/>
        </w:rPr>
        <w:t>evidenţiind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492D48" w:rsidRPr="0044376B">
        <w:rPr>
          <w:rFonts w:ascii="Times New Roman" w:hAnsi="Times New Roman" w:cs="Times New Roman"/>
          <w:sz w:val="28"/>
          <w:szCs w:val="28"/>
        </w:rPr>
        <w:t>aspectele importante ale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9873FD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Deciziei</w:t>
      </w:r>
      <w:r w:rsidR="00492D48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cadru a C</w:t>
      </w:r>
      <w:r w:rsidR="00EA313E">
        <w:rPr>
          <w:rStyle w:val="Strong"/>
          <w:rFonts w:ascii="Times New Roman" w:hAnsi="Times New Roman" w:cs="Times New Roman"/>
          <w:color w:val="000000"/>
          <w:sz w:val="28"/>
          <w:szCs w:val="28"/>
        </w:rPr>
        <w:t>onsiliului 2002/584/JAI din 13 i</w:t>
      </w:r>
      <w:r w:rsidR="00492D48" w:rsidRPr="0044376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unie 2002 privind mandatul european de arestare şi procedurile de predare între statele membre</w:t>
      </w:r>
      <w:r w:rsidR="00E372D1" w:rsidRPr="0044376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– </w:t>
      </w:r>
      <w:r w:rsidR="00492D48" w:rsidRPr="0044376B">
        <w:rPr>
          <w:rFonts w:ascii="Times New Roman" w:hAnsi="Times New Roman" w:cs="Times New Roman"/>
          <w:sz w:val="28"/>
          <w:szCs w:val="28"/>
        </w:rPr>
        <w:t>domeniul de aplicare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492D48" w:rsidRPr="0044376B">
        <w:rPr>
          <w:rFonts w:ascii="Times New Roman" w:hAnsi="Times New Roman" w:cs="Times New Roman"/>
          <w:sz w:val="28"/>
          <w:szCs w:val="28"/>
        </w:rPr>
        <w:t>definiţii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492D48" w:rsidRPr="0044376B">
        <w:rPr>
          <w:rFonts w:ascii="Times New Roman" w:hAnsi="Times New Roman" w:cs="Times New Roman"/>
          <w:sz w:val="28"/>
          <w:szCs w:val="28"/>
        </w:rPr>
        <w:t>autorităţi competente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492D48" w:rsidRPr="00A55217">
        <w:rPr>
          <w:rFonts w:ascii="Times New Roman" w:hAnsi="Times New Roman" w:cs="Times New Roman"/>
          <w:sz w:val="28"/>
          <w:szCs w:val="28"/>
        </w:rPr>
        <w:t>distincţia dintre predarea în vederea urmăririi penale şi cea în vederea executării</w:t>
      </w:r>
      <w:r w:rsidR="00A55217" w:rsidRPr="00A55217">
        <w:rPr>
          <w:rFonts w:ascii="Times New Roman" w:hAnsi="Times New Roman" w:cs="Times New Roman"/>
          <w:sz w:val="28"/>
          <w:szCs w:val="28"/>
        </w:rPr>
        <w:t xml:space="preserve"> pedepsei</w:t>
      </w:r>
      <w:r w:rsidR="00E372D1" w:rsidRPr="00A55217">
        <w:rPr>
          <w:rFonts w:ascii="Times New Roman" w:hAnsi="Times New Roman" w:cs="Times New Roman"/>
          <w:sz w:val="28"/>
          <w:szCs w:val="28"/>
        </w:rPr>
        <w:t xml:space="preserve">, </w:t>
      </w:r>
      <w:r w:rsidR="00492D48" w:rsidRPr="0044376B">
        <w:rPr>
          <w:rFonts w:ascii="Times New Roman" w:hAnsi="Times New Roman" w:cs="Times New Roman"/>
          <w:sz w:val="28"/>
          <w:szCs w:val="28"/>
        </w:rPr>
        <w:t>rolul naţionalităţii sau domiciliului persoanei solicitate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492D48" w:rsidRPr="0044376B">
        <w:rPr>
          <w:rFonts w:ascii="Times New Roman" w:hAnsi="Times New Roman" w:cs="Times New Roman"/>
          <w:sz w:val="28"/>
          <w:szCs w:val="28"/>
        </w:rPr>
        <w:t>motivele de refuz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492D48" w:rsidRPr="0044376B">
        <w:rPr>
          <w:rFonts w:ascii="Times New Roman" w:hAnsi="Times New Roman" w:cs="Times New Roman"/>
          <w:sz w:val="28"/>
          <w:szCs w:val="28"/>
        </w:rPr>
        <w:t>termene limită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492D48" w:rsidRPr="0044376B">
        <w:rPr>
          <w:rFonts w:ascii="Times New Roman" w:hAnsi="Times New Roman" w:cs="Times New Roman"/>
          <w:sz w:val="28"/>
          <w:szCs w:val="28"/>
        </w:rPr>
        <w:t>legea aplicabilă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492D48" w:rsidRPr="0044376B">
        <w:rPr>
          <w:rFonts w:ascii="Times New Roman" w:hAnsi="Times New Roman" w:cs="Times New Roman"/>
          <w:sz w:val="28"/>
          <w:szCs w:val="28"/>
        </w:rPr>
        <w:t>hotărâri ulterioare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492D48" w:rsidRPr="0044376B">
        <w:rPr>
          <w:rFonts w:ascii="Times New Roman" w:hAnsi="Times New Roman" w:cs="Times New Roman"/>
          <w:sz w:val="28"/>
          <w:szCs w:val="28"/>
        </w:rPr>
        <w:t>obligaţii pentru statele membre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(</w:t>
      </w:r>
      <w:r w:rsidR="00492D48" w:rsidRPr="0044376B">
        <w:rPr>
          <w:rFonts w:ascii="Times New Roman" w:hAnsi="Times New Roman" w:cs="Times New Roman"/>
          <w:b/>
          <w:bCs/>
          <w:sz w:val="28"/>
          <w:szCs w:val="28"/>
        </w:rPr>
        <w:t>ap</w:t>
      </w:r>
      <w:r w:rsidR="00E372D1" w:rsidRPr="0044376B">
        <w:rPr>
          <w:rFonts w:ascii="Times New Roman" w:hAnsi="Times New Roman" w:cs="Times New Roman"/>
          <w:b/>
          <w:bCs/>
          <w:sz w:val="28"/>
          <w:szCs w:val="28"/>
        </w:rPr>
        <w:t>rox. 15-20 min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DA04C7C" w14:textId="62D0780B" w:rsidR="00E372D1" w:rsidRPr="0044376B" w:rsidRDefault="00A55217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Spe</w:t>
      </w:r>
      <w:r w:rsidR="00492D48" w:rsidRPr="004437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ța nr.</w:t>
      </w:r>
      <w:r w:rsidR="00E372D1" w:rsidRPr="004437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C609BC" w:rsidRPr="0044376B">
        <w:rPr>
          <w:rFonts w:ascii="Times New Roman" w:hAnsi="Times New Roman" w:cs="Times New Roman"/>
          <w:sz w:val="28"/>
          <w:szCs w:val="28"/>
        </w:rPr>
        <w:t>este proiectat</w:t>
      </w:r>
      <w:r w:rsidR="00F67703">
        <w:rPr>
          <w:rFonts w:ascii="Times New Roman" w:hAnsi="Times New Roman" w:cs="Times New Roman"/>
          <w:sz w:val="28"/>
          <w:szCs w:val="28"/>
        </w:rPr>
        <w:t>ă</w:t>
      </w:r>
      <w:r w:rsidR="00C609BC" w:rsidRPr="0044376B">
        <w:rPr>
          <w:rFonts w:ascii="Times New Roman" w:hAnsi="Times New Roman" w:cs="Times New Roman"/>
          <w:sz w:val="28"/>
          <w:szCs w:val="28"/>
        </w:rPr>
        <w:t xml:space="preserve"> să abordeze atât problemele de bază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C609BC" w:rsidRPr="0044376B">
        <w:rPr>
          <w:rFonts w:ascii="Times New Roman" w:hAnsi="Times New Roman" w:cs="Times New Roman"/>
          <w:sz w:val="28"/>
          <w:szCs w:val="28"/>
        </w:rPr>
        <w:t>cât şi cele mai profunde ce se pot ivi</w:t>
      </w:r>
      <w:r w:rsidR="00C85C71" w:rsidRPr="0044376B">
        <w:rPr>
          <w:rFonts w:ascii="Times New Roman" w:hAnsi="Times New Roman" w:cs="Times New Roman"/>
          <w:sz w:val="28"/>
          <w:szCs w:val="28"/>
        </w:rPr>
        <w:t>.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C609BC" w:rsidRPr="0044376B">
        <w:rPr>
          <w:rFonts w:ascii="Times New Roman" w:hAnsi="Times New Roman" w:cs="Times New Roman"/>
          <w:sz w:val="28"/>
          <w:szCs w:val="28"/>
        </w:rPr>
        <w:t>Participanţii vor lucra în grupe de câte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4-5 </w:t>
      </w:r>
      <w:r w:rsidR="00C609BC" w:rsidRPr="0044376B">
        <w:rPr>
          <w:rFonts w:ascii="Times New Roman" w:hAnsi="Times New Roman" w:cs="Times New Roman"/>
          <w:sz w:val="28"/>
          <w:szCs w:val="28"/>
        </w:rPr>
        <w:t xml:space="preserve">şi vor avea un </w:t>
      </w:r>
      <w:r w:rsidR="00C609BC" w:rsidRPr="0044376B">
        <w:rPr>
          <w:rFonts w:ascii="Times New Roman" w:hAnsi="Times New Roman" w:cs="Times New Roman"/>
          <w:sz w:val="28"/>
          <w:szCs w:val="28"/>
        </w:rPr>
        <w:lastRenderedPageBreak/>
        <w:t>laptop cu conexiune la internet pentru a răspunde la întrebări</w:t>
      </w:r>
      <w:r w:rsidR="00E372D1" w:rsidRPr="0044376B">
        <w:rPr>
          <w:rFonts w:ascii="Times New Roman" w:hAnsi="Times New Roman" w:cs="Times New Roman"/>
          <w:sz w:val="28"/>
          <w:szCs w:val="28"/>
        </w:rPr>
        <w:t>.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C609BC" w:rsidRPr="0044376B">
        <w:rPr>
          <w:rFonts w:ascii="Times New Roman" w:hAnsi="Times New Roman" w:cs="Times New Roman"/>
          <w:sz w:val="28"/>
          <w:szCs w:val="28"/>
        </w:rPr>
        <w:t>Sunt recomandate, în special, site-urile web ale RJE, Eurlex şi Curţii de Justiţie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="00EA2566" w:rsidRPr="0044376B">
        <w:rPr>
          <w:rFonts w:ascii="Times New Roman" w:hAnsi="Times New Roman" w:cs="Times New Roman"/>
          <w:sz w:val="28"/>
          <w:szCs w:val="28"/>
        </w:rPr>
        <w:t>Scopul este de a învăţa participanţii să folosească aceste site-uri web pentru a obţine informaţiile necesare soluţionării problemelor apărute în activitatea lor</w:t>
      </w:r>
      <w:r w:rsidR="00C85C71" w:rsidRPr="0044376B">
        <w:rPr>
          <w:rFonts w:ascii="Times New Roman" w:hAnsi="Times New Roman" w:cs="Times New Roman"/>
          <w:sz w:val="28"/>
          <w:szCs w:val="28"/>
        </w:rPr>
        <w:t>.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EA2566" w:rsidRPr="0044376B">
        <w:rPr>
          <w:rFonts w:ascii="Times New Roman" w:hAnsi="Times New Roman" w:cs="Times New Roman"/>
          <w:sz w:val="28"/>
          <w:szCs w:val="28"/>
        </w:rPr>
        <w:t>Rezolvarea Speţei nr.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1 </w:t>
      </w:r>
      <w:r w:rsidR="00EA2566" w:rsidRPr="0044376B">
        <w:rPr>
          <w:rFonts w:ascii="Times New Roman" w:hAnsi="Times New Roman" w:cs="Times New Roman"/>
          <w:sz w:val="28"/>
          <w:szCs w:val="28"/>
        </w:rPr>
        <w:t>şi răspunsurile la întrebări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EA2566" w:rsidRPr="0044376B">
        <w:rPr>
          <w:rFonts w:ascii="Times New Roman" w:hAnsi="Times New Roman" w:cs="Times New Roman"/>
          <w:sz w:val="28"/>
          <w:szCs w:val="28"/>
        </w:rPr>
        <w:t xml:space="preserve">ar trebui să </w:t>
      </w:r>
      <w:r w:rsidR="00A079ED" w:rsidRPr="0044376B">
        <w:rPr>
          <w:rFonts w:ascii="Times New Roman" w:hAnsi="Times New Roman" w:cs="Times New Roman"/>
          <w:sz w:val="28"/>
          <w:szCs w:val="28"/>
        </w:rPr>
        <w:t>dureze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EA2566" w:rsidRPr="0044376B">
        <w:rPr>
          <w:rFonts w:ascii="Times New Roman" w:hAnsi="Times New Roman" w:cs="Times New Roman"/>
          <w:b/>
          <w:bCs/>
          <w:sz w:val="28"/>
          <w:szCs w:val="28"/>
        </w:rPr>
        <w:t>ap</w:t>
      </w:r>
      <w:r w:rsidR="00E372D1" w:rsidRPr="0044376B">
        <w:rPr>
          <w:rFonts w:ascii="Times New Roman" w:hAnsi="Times New Roman" w:cs="Times New Roman"/>
          <w:b/>
          <w:bCs/>
          <w:sz w:val="28"/>
          <w:szCs w:val="28"/>
        </w:rPr>
        <w:t xml:space="preserve">rox. </w:t>
      </w:r>
      <w:r w:rsidR="00EA2566" w:rsidRPr="0044376B">
        <w:rPr>
          <w:rFonts w:ascii="Times New Roman" w:hAnsi="Times New Roman" w:cs="Times New Roman"/>
          <w:b/>
          <w:bCs/>
          <w:sz w:val="28"/>
          <w:szCs w:val="28"/>
        </w:rPr>
        <w:t>o oră</w:t>
      </w:r>
      <w:r w:rsidR="00E372D1" w:rsidRPr="004437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2566" w:rsidRPr="0044376B">
        <w:rPr>
          <w:rFonts w:ascii="Times New Roman" w:hAnsi="Times New Roman" w:cs="Times New Roman"/>
          <w:b/>
          <w:bCs/>
          <w:sz w:val="28"/>
          <w:szCs w:val="28"/>
        </w:rPr>
        <w:t>şi 40 minute</w:t>
      </w:r>
      <w:r w:rsidR="00E372D1" w:rsidRPr="0044376B">
        <w:rPr>
          <w:rFonts w:ascii="Times New Roman" w:hAnsi="Times New Roman" w:cs="Times New Roman"/>
          <w:sz w:val="28"/>
          <w:szCs w:val="28"/>
        </w:rPr>
        <w:t>.</w:t>
      </w:r>
      <w:r w:rsidR="00390CDB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EA2566" w:rsidRPr="0044376B">
        <w:rPr>
          <w:rFonts w:ascii="Times New Roman" w:hAnsi="Times New Roman" w:cs="Times New Roman"/>
          <w:sz w:val="28"/>
          <w:szCs w:val="28"/>
        </w:rPr>
        <w:t>Echipele pot fi formate prin gruparea participanţilor cu aceeaşi experienţă profesională</w:t>
      </w:r>
      <w:r w:rsidR="00390CDB" w:rsidRPr="0044376B">
        <w:rPr>
          <w:rFonts w:ascii="Times New Roman" w:hAnsi="Times New Roman" w:cs="Times New Roman"/>
          <w:sz w:val="28"/>
          <w:szCs w:val="28"/>
        </w:rPr>
        <w:t>.</w:t>
      </w:r>
    </w:p>
    <w:p w14:paraId="49A310F4" w14:textId="0E46D3BA" w:rsidR="00D739ED" w:rsidRPr="0044376B" w:rsidRDefault="00EA2566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O pauză de 10 minute este recomandată la acest moment</w:t>
      </w:r>
      <w:r w:rsidR="00E372D1" w:rsidRPr="0044376B">
        <w:rPr>
          <w:rFonts w:ascii="Times New Roman" w:hAnsi="Times New Roman" w:cs="Times New Roman"/>
          <w:sz w:val="28"/>
          <w:szCs w:val="28"/>
        </w:rPr>
        <w:t>.</w:t>
      </w:r>
    </w:p>
    <w:p w14:paraId="0FCE4DAA" w14:textId="6C2F4CEC" w:rsidR="00E372D1" w:rsidRPr="0044376B" w:rsidRDefault="00EA2566" w:rsidP="0065667B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4376B">
        <w:rPr>
          <w:rFonts w:ascii="Times New Roman" w:hAnsi="Times New Roman" w:cs="Times New Roman"/>
          <w:sz w:val="28"/>
          <w:szCs w:val="28"/>
        </w:rPr>
        <w:t>Rezolvarea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b/>
          <w:bCs/>
          <w:sz w:val="28"/>
          <w:szCs w:val="28"/>
        </w:rPr>
        <w:t>exerciţiilor</w:t>
      </w:r>
      <w:r w:rsidR="00E372D1" w:rsidRPr="004437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de la punctul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A.II </w:t>
      </w:r>
      <w:r w:rsidRPr="0044376B">
        <w:rPr>
          <w:rFonts w:ascii="Times New Roman" w:hAnsi="Times New Roman" w:cs="Times New Roman"/>
          <w:sz w:val="28"/>
          <w:szCs w:val="28"/>
        </w:rPr>
        <w:t>ar trebui să dureze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b/>
          <w:bCs/>
          <w:sz w:val="28"/>
          <w:szCs w:val="28"/>
        </w:rPr>
        <w:t>10 minute</w:t>
      </w:r>
      <w:r w:rsidR="00A079ED" w:rsidRPr="0044376B">
        <w:rPr>
          <w:rFonts w:ascii="Times New Roman" w:hAnsi="Times New Roman" w:cs="Times New Roman"/>
          <w:sz w:val="28"/>
          <w:szCs w:val="28"/>
        </w:rPr>
        <w:t>, acestea fiind menite să ajute participanţii în procesul de identificare a autorităţii competente şi a limbii în care urmează să fie completat Certificatul</w:t>
      </w:r>
      <w:r w:rsidR="00E372D1" w:rsidRPr="0044376B">
        <w:rPr>
          <w:rFonts w:ascii="Times New Roman" w:hAnsi="Times New Roman" w:cs="Times New Roman"/>
          <w:sz w:val="28"/>
          <w:szCs w:val="28"/>
        </w:rPr>
        <w:t>.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A079ED" w:rsidRPr="0044376B">
        <w:rPr>
          <w:rFonts w:ascii="Times New Roman" w:hAnsi="Times New Roman" w:cs="Times New Roman"/>
          <w:sz w:val="28"/>
          <w:szCs w:val="28"/>
        </w:rPr>
        <w:t>După consultarea prealabilă a site-ului web al RJE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A079ED" w:rsidRPr="0044376B">
        <w:rPr>
          <w:rFonts w:ascii="Times New Roman" w:hAnsi="Times New Roman" w:cs="Times New Roman"/>
          <w:sz w:val="28"/>
          <w:szCs w:val="28"/>
        </w:rPr>
        <w:t>acest exerciţiu poate fi folosit şi ca unul de control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="00A079ED" w:rsidRPr="0044376B">
        <w:rPr>
          <w:rFonts w:ascii="Times New Roman" w:hAnsi="Times New Roman" w:cs="Times New Roman"/>
          <w:sz w:val="28"/>
          <w:szCs w:val="28"/>
        </w:rPr>
        <w:t>În cazul în care rezolvarea Speţei nr. 1 necesită mai mult timp decât cel anticipat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A079ED" w:rsidRPr="0044376B">
        <w:rPr>
          <w:rFonts w:ascii="Times New Roman" w:hAnsi="Times New Roman" w:cs="Times New Roman"/>
          <w:sz w:val="28"/>
          <w:szCs w:val="28"/>
        </w:rPr>
        <w:t>acest exerciţiu poate fi omis şi dat ca temă de lucru pentru acasă</w:t>
      </w:r>
      <w:r w:rsidR="00C85C71" w:rsidRPr="0044376B">
        <w:rPr>
          <w:rFonts w:ascii="Times New Roman" w:hAnsi="Times New Roman" w:cs="Times New Roman"/>
          <w:sz w:val="28"/>
          <w:szCs w:val="28"/>
        </w:rPr>
        <w:t>.</w:t>
      </w:r>
    </w:p>
    <w:p w14:paraId="7886313F" w14:textId="085AF13B" w:rsidR="00E372D1" w:rsidRPr="0044376B" w:rsidRDefault="00A079ED" w:rsidP="0065667B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437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Speţa nr.</w:t>
      </w:r>
      <w:r w:rsidR="00EA26C1" w:rsidRPr="004437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372D1" w:rsidRPr="004437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va determina participanţii să abordeze probleme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ce nu se regăsesc în dispoziţiile Deciziei cadru şi care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Pr="0044376B">
        <w:rPr>
          <w:rFonts w:ascii="Times New Roman" w:hAnsi="Times New Roman" w:cs="Times New Roman"/>
          <w:sz w:val="28"/>
          <w:szCs w:val="28"/>
        </w:rPr>
        <w:t>totuşi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Pr="0044376B">
        <w:rPr>
          <w:rFonts w:ascii="Times New Roman" w:hAnsi="Times New Roman" w:cs="Times New Roman"/>
          <w:sz w:val="28"/>
          <w:szCs w:val="28"/>
        </w:rPr>
        <w:t>apar în practică şi necesită un răspuns prompt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Pr="0044376B">
        <w:rPr>
          <w:rFonts w:ascii="Times New Roman" w:hAnsi="Times New Roman" w:cs="Times New Roman"/>
          <w:sz w:val="28"/>
          <w:szCs w:val="28"/>
        </w:rPr>
        <w:t>Participanţii vor lucra în grupe de câte 4-5 şi vor avea un laptop cu conexiune la internet pentru a răspunde la întrebări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Pr="0044376B">
        <w:rPr>
          <w:rFonts w:ascii="Times New Roman" w:hAnsi="Times New Roman" w:cs="Times New Roman"/>
          <w:sz w:val="28"/>
          <w:szCs w:val="28"/>
        </w:rPr>
        <w:t>Rezolvarea Speţei nr.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2 </w:t>
      </w:r>
      <w:r w:rsidR="00A12C22" w:rsidRPr="0044376B">
        <w:rPr>
          <w:rFonts w:ascii="Times New Roman" w:hAnsi="Times New Roman" w:cs="Times New Roman"/>
          <w:sz w:val="28"/>
          <w:szCs w:val="28"/>
        </w:rPr>
        <w:t>ar trebui să dureze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A12C22" w:rsidRPr="0044376B">
        <w:rPr>
          <w:rFonts w:ascii="Times New Roman" w:hAnsi="Times New Roman" w:cs="Times New Roman"/>
          <w:b/>
          <w:bCs/>
          <w:sz w:val="28"/>
          <w:szCs w:val="28"/>
        </w:rPr>
        <w:t>aprox. 40-45 minute</w:t>
      </w:r>
      <w:r w:rsidR="00E372D1" w:rsidRPr="0044376B">
        <w:rPr>
          <w:rFonts w:ascii="Times New Roman" w:hAnsi="Times New Roman" w:cs="Times New Roman"/>
          <w:sz w:val="28"/>
          <w:szCs w:val="28"/>
        </w:rPr>
        <w:t>.</w:t>
      </w:r>
    </w:p>
    <w:p w14:paraId="0695ABFD" w14:textId="6EC2B3A4" w:rsidR="0011743E" w:rsidRPr="0044376B" w:rsidRDefault="004A674B" w:rsidP="0065667B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4376B">
        <w:rPr>
          <w:rFonts w:ascii="Times New Roman" w:hAnsi="Times New Roman" w:cs="Times New Roman"/>
          <w:sz w:val="28"/>
          <w:szCs w:val="28"/>
        </w:rPr>
        <w:t>Orice întrebări rămase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ar trebui discutate la finalul seminarului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(</w:t>
      </w:r>
      <w:r w:rsidRPr="0044376B">
        <w:rPr>
          <w:rFonts w:ascii="Times New Roman" w:hAnsi="Times New Roman" w:cs="Times New Roman"/>
          <w:sz w:val="28"/>
          <w:szCs w:val="28"/>
        </w:rPr>
        <w:t>pentru</w:t>
      </w:r>
      <w:r w:rsidR="00E372D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b/>
          <w:bCs/>
          <w:sz w:val="28"/>
          <w:szCs w:val="28"/>
        </w:rPr>
        <w:t>aprox. 5-10 minute</w:t>
      </w:r>
      <w:r w:rsidR="00E372D1" w:rsidRPr="0044376B">
        <w:rPr>
          <w:rFonts w:ascii="Times New Roman" w:hAnsi="Times New Roman" w:cs="Times New Roman"/>
          <w:sz w:val="28"/>
          <w:szCs w:val="28"/>
        </w:rPr>
        <w:t>).</w:t>
      </w:r>
    </w:p>
    <w:p w14:paraId="36F3C873" w14:textId="0ADE45C2" w:rsidR="00784CC7" w:rsidRPr="0044376B" w:rsidRDefault="002733A7" w:rsidP="0065667B">
      <w:pPr>
        <w:numPr>
          <w:ilvl w:val="0"/>
          <w:numId w:val="1"/>
        </w:numPr>
        <w:suppressAutoHyphens/>
        <w:autoSpaceDN w:val="0"/>
        <w:spacing w:after="16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4376B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</w:rPr>
        <w:t>Material suplimentar</w:t>
      </w:r>
    </w:p>
    <w:p w14:paraId="415DBED1" w14:textId="63132B9A" w:rsidR="00C85C71" w:rsidRPr="0044376B" w:rsidRDefault="00884DDF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Toţi participanţii trebuie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b/>
          <w:sz w:val="28"/>
          <w:szCs w:val="28"/>
        </w:rPr>
        <w:t>să aibă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o copie a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9873FD" w:rsidRPr="00443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Deciziei cadru a Consiliului </w:t>
      </w:r>
      <w:r w:rsidR="00EA3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2002/584/JAI din 13 i</w:t>
      </w:r>
      <w:r w:rsidR="009873FD" w:rsidRPr="00443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unie 2002 privind mandatul european de arestare şi procedurile de predare între statele membre</w:t>
      </w:r>
      <w:r w:rsidR="009873FD" w:rsidRPr="0044376B">
        <w:rPr>
          <w:rFonts w:ascii="Times New Roman" w:hAnsi="Times New Roman" w:cs="Times New Roman"/>
          <w:sz w:val="28"/>
          <w:szCs w:val="28"/>
        </w:rPr>
        <w:t>, inclusiv formularele din Anexă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="009873FD" w:rsidRPr="0044376B">
        <w:rPr>
          <w:rFonts w:ascii="Times New Roman" w:hAnsi="Times New Roman" w:cs="Times New Roman"/>
          <w:sz w:val="28"/>
          <w:szCs w:val="28"/>
        </w:rPr>
        <w:t>De asemenea</w:t>
      </w:r>
      <w:r w:rsidR="00D94DD6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9873FD" w:rsidRPr="0044376B">
        <w:rPr>
          <w:rFonts w:ascii="Times New Roman" w:hAnsi="Times New Roman" w:cs="Times New Roman"/>
          <w:sz w:val="28"/>
          <w:szCs w:val="28"/>
        </w:rPr>
        <w:t>participanţii trebui să aibă asupra lor sau să aibă acces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9873FD" w:rsidRPr="0044376B">
        <w:rPr>
          <w:rFonts w:ascii="Times New Roman" w:hAnsi="Times New Roman" w:cs="Times New Roman"/>
          <w:sz w:val="28"/>
          <w:szCs w:val="28"/>
        </w:rPr>
        <w:t>la dispoziţiile naţionale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9873FD" w:rsidRPr="0044376B">
        <w:rPr>
          <w:rFonts w:ascii="Times New Roman" w:hAnsi="Times New Roman" w:cs="Times New Roman"/>
          <w:sz w:val="28"/>
          <w:szCs w:val="28"/>
        </w:rPr>
        <w:t>referitoare la implementarea</w:t>
      </w:r>
      <w:r w:rsidR="00C85C71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0D5582">
        <w:rPr>
          <w:rFonts w:ascii="Times New Roman" w:hAnsi="Times New Roman" w:cs="Times New Roman"/>
          <w:sz w:val="28"/>
          <w:szCs w:val="28"/>
        </w:rPr>
        <w:t>Deciziei-</w:t>
      </w:r>
      <w:r w:rsidR="009873FD" w:rsidRPr="0044376B">
        <w:rPr>
          <w:rFonts w:ascii="Times New Roman" w:hAnsi="Times New Roman" w:cs="Times New Roman"/>
          <w:sz w:val="28"/>
          <w:szCs w:val="28"/>
        </w:rPr>
        <w:t>cadru</w:t>
      </w:r>
      <w:r w:rsidR="00C85C71" w:rsidRPr="0044376B">
        <w:rPr>
          <w:rFonts w:ascii="Times New Roman" w:hAnsi="Times New Roman" w:cs="Times New Roman"/>
          <w:sz w:val="28"/>
          <w:szCs w:val="28"/>
        </w:rPr>
        <w:t>.</w:t>
      </w:r>
      <w:r w:rsidR="00C87F56" w:rsidRPr="004437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4B22E" w14:textId="46F88459" w:rsidR="00EC5565" w:rsidRPr="0044376B" w:rsidRDefault="00C87F56" w:rsidP="0065667B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6B">
        <w:rPr>
          <w:rFonts w:ascii="Times New Roman" w:hAnsi="Times New Roman" w:cs="Times New Roman"/>
          <w:b/>
          <w:sz w:val="28"/>
          <w:szCs w:val="28"/>
        </w:rPr>
        <w:t>(</w:t>
      </w:r>
      <w:r w:rsidR="009873FD" w:rsidRPr="0044376B">
        <w:rPr>
          <w:rFonts w:ascii="Times New Roman" w:hAnsi="Times New Roman" w:cs="Times New Roman"/>
          <w:b/>
          <w:sz w:val="28"/>
          <w:szCs w:val="28"/>
        </w:rPr>
        <w:t>notă pentru formatori</w:t>
      </w:r>
      <w:r w:rsidRPr="004437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2A9B" w:rsidRPr="0044376B">
        <w:rPr>
          <w:rFonts w:ascii="Times New Roman" w:hAnsi="Times New Roman" w:cs="Times New Roman"/>
          <w:b/>
          <w:sz w:val="28"/>
          <w:szCs w:val="28"/>
        </w:rPr>
        <w:t>ar fi interesant de văzut sau de verificat dacă participanţii au asupra lor doar textul în limba naţională, sau dacă este vorba despre textul care conţine, atât modificările</w:t>
      </w:r>
      <w:r w:rsidRPr="00443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6C1" w:rsidRPr="0044376B">
        <w:rPr>
          <w:rFonts w:ascii="Times New Roman" w:hAnsi="Times New Roman" w:cs="Times New Roman"/>
          <w:b/>
          <w:sz w:val="28"/>
          <w:szCs w:val="28"/>
        </w:rPr>
        <w:t>(</w:t>
      </w:r>
      <w:r w:rsidR="0070702B" w:rsidRPr="0044376B">
        <w:rPr>
          <w:rFonts w:ascii="Times New Roman" w:hAnsi="Times New Roman" w:cs="Times New Roman"/>
          <w:b/>
          <w:sz w:val="28"/>
          <w:szCs w:val="28"/>
        </w:rPr>
        <w:t>precum</w:t>
      </w:r>
      <w:r w:rsidR="00EA26C1" w:rsidRPr="00443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02B" w:rsidRPr="0044376B">
        <w:rPr>
          <w:rFonts w:ascii="Times New Roman" w:hAnsi="Times New Roman" w:cs="Times New Roman"/>
          <w:b/>
          <w:sz w:val="28"/>
          <w:szCs w:val="28"/>
        </w:rPr>
        <w:t>Decizia cadru</w:t>
      </w:r>
      <w:r w:rsidR="00422A9B" w:rsidRPr="0044376B">
        <w:rPr>
          <w:rFonts w:ascii="Times New Roman" w:hAnsi="Times New Roman" w:cs="Times New Roman"/>
          <w:b/>
          <w:sz w:val="28"/>
          <w:szCs w:val="28"/>
        </w:rPr>
        <w:t xml:space="preserve"> 2009/299), cât şi</w:t>
      </w:r>
      <w:r w:rsidRPr="00443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A9B" w:rsidRPr="0044376B">
        <w:rPr>
          <w:rFonts w:ascii="Times New Roman" w:hAnsi="Times New Roman" w:cs="Times New Roman"/>
          <w:b/>
          <w:sz w:val="28"/>
          <w:szCs w:val="28"/>
        </w:rPr>
        <w:t>rectificările făcute</w:t>
      </w:r>
      <w:r w:rsidRPr="004437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A9B" w:rsidRPr="0044376B">
        <w:rPr>
          <w:rFonts w:ascii="Times New Roman" w:hAnsi="Times New Roman" w:cs="Times New Roman"/>
          <w:b/>
          <w:sz w:val="28"/>
          <w:szCs w:val="28"/>
        </w:rPr>
        <w:t>Se întâmplă de multe ori ca textul publicat în 2000</w:t>
      </w:r>
      <w:r w:rsidRPr="00443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A9B" w:rsidRPr="0044376B">
        <w:rPr>
          <w:rFonts w:ascii="Times New Roman" w:hAnsi="Times New Roman" w:cs="Times New Roman"/>
          <w:b/>
          <w:sz w:val="28"/>
          <w:szCs w:val="28"/>
        </w:rPr>
        <w:t>să fie folosit în practică</w:t>
      </w:r>
      <w:r w:rsidR="00CC2342" w:rsidRPr="00443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A9B" w:rsidRPr="0044376B">
        <w:rPr>
          <w:rFonts w:ascii="Times New Roman" w:hAnsi="Times New Roman" w:cs="Times New Roman"/>
          <w:b/>
          <w:sz w:val="28"/>
          <w:szCs w:val="28"/>
        </w:rPr>
        <w:t>fără modificările ulterioare</w:t>
      </w:r>
      <w:r w:rsidRPr="0044376B">
        <w:rPr>
          <w:rFonts w:ascii="Times New Roman" w:hAnsi="Times New Roman" w:cs="Times New Roman"/>
          <w:b/>
          <w:sz w:val="28"/>
          <w:szCs w:val="28"/>
        </w:rPr>
        <w:t xml:space="preserve">. NB: </w:t>
      </w:r>
      <w:r w:rsidR="006667C0" w:rsidRPr="0044376B">
        <w:rPr>
          <w:rFonts w:ascii="Times New Roman" w:hAnsi="Times New Roman" w:cs="Times New Roman"/>
          <w:b/>
          <w:sz w:val="28"/>
          <w:szCs w:val="28"/>
        </w:rPr>
        <w:t>în privinţa rectificărilor</w:t>
      </w:r>
      <w:r w:rsidRPr="004437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67C0" w:rsidRPr="0044376B">
        <w:rPr>
          <w:rFonts w:ascii="Times New Roman" w:hAnsi="Times New Roman" w:cs="Times New Roman"/>
          <w:b/>
          <w:sz w:val="28"/>
          <w:szCs w:val="28"/>
        </w:rPr>
        <w:t>acestea diferă de la o limbă la alta</w:t>
      </w:r>
      <w:r w:rsidRPr="00443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7C0" w:rsidRPr="0044376B">
        <w:rPr>
          <w:rFonts w:ascii="Times New Roman" w:hAnsi="Times New Roman" w:cs="Times New Roman"/>
          <w:b/>
          <w:sz w:val="28"/>
          <w:szCs w:val="28"/>
        </w:rPr>
        <w:t>şi pot surveni după anul 2002</w:t>
      </w:r>
      <w:r w:rsidRPr="004437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67C0" w:rsidRPr="0044376B">
        <w:rPr>
          <w:rFonts w:ascii="Times New Roman" w:hAnsi="Times New Roman" w:cs="Times New Roman"/>
          <w:b/>
          <w:sz w:val="28"/>
          <w:szCs w:val="28"/>
        </w:rPr>
        <w:t>de ex., versiunea în limba olandeză JO 2020 L 118/39</w:t>
      </w:r>
      <w:r w:rsidRPr="004437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67C0" w:rsidRPr="0044376B">
        <w:rPr>
          <w:rFonts w:ascii="Times New Roman" w:hAnsi="Times New Roman" w:cs="Times New Roman"/>
          <w:b/>
          <w:sz w:val="28"/>
          <w:szCs w:val="28"/>
        </w:rPr>
        <w:t>În cazul în care timpul permite</w:t>
      </w:r>
      <w:r w:rsidRPr="004437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3B83">
        <w:rPr>
          <w:rFonts w:ascii="Times New Roman" w:hAnsi="Times New Roman" w:cs="Times New Roman"/>
          <w:b/>
          <w:sz w:val="28"/>
          <w:szCs w:val="28"/>
        </w:rPr>
        <w:t>ar fi un moment priel</w:t>
      </w:r>
      <w:r w:rsidR="007458F2" w:rsidRPr="0044376B">
        <w:rPr>
          <w:rFonts w:ascii="Times New Roman" w:hAnsi="Times New Roman" w:cs="Times New Roman"/>
          <w:b/>
          <w:sz w:val="28"/>
          <w:szCs w:val="28"/>
        </w:rPr>
        <w:t xml:space="preserve">nic pentru a-i instrui să folosească </w:t>
      </w:r>
      <w:r w:rsidR="00053B83" w:rsidRPr="0044376B">
        <w:rPr>
          <w:rFonts w:ascii="Times New Roman" w:hAnsi="Times New Roman" w:cs="Times New Roman"/>
          <w:b/>
          <w:sz w:val="28"/>
          <w:szCs w:val="28"/>
        </w:rPr>
        <w:t>Eurlex</w:t>
      </w:r>
      <w:r w:rsidR="007458F2" w:rsidRPr="0044376B">
        <w:rPr>
          <w:rFonts w:ascii="Times New Roman" w:hAnsi="Times New Roman" w:cs="Times New Roman"/>
          <w:b/>
          <w:sz w:val="28"/>
          <w:szCs w:val="28"/>
        </w:rPr>
        <w:t>, precum şi</w:t>
      </w:r>
      <w:r w:rsidRPr="0044376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7458F2" w:rsidRPr="0044376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versiunile</w:t>
        </w:r>
      </w:hyperlink>
      <w:r w:rsidR="007458F2" w:rsidRPr="0044376B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consolidate ale textelor legale</w:t>
      </w:r>
      <w:r w:rsidR="00EC5565" w:rsidRPr="0044376B">
        <w:rPr>
          <w:rFonts w:ascii="Times New Roman" w:hAnsi="Times New Roman" w:cs="Times New Roman"/>
          <w:b/>
          <w:sz w:val="28"/>
          <w:szCs w:val="28"/>
        </w:rPr>
        <w:t>)</w:t>
      </w:r>
      <w:r w:rsidRPr="00443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F42497" w14:textId="24FC3676" w:rsidR="00784CC7" w:rsidRPr="0044376B" w:rsidRDefault="007458F2" w:rsidP="0065667B">
      <w:pPr>
        <w:spacing w:after="160" w:line="240" w:lineRule="auto"/>
        <w:jc w:val="both"/>
        <w:rPr>
          <w:rFonts w:ascii="Times New Roman" w:hAnsi="Times New Roman" w:cs="Times New Roman"/>
          <w:b/>
        </w:rPr>
      </w:pPr>
      <w:r w:rsidRPr="0044376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Este esenţial să </w:t>
      </w:r>
      <w:r w:rsidR="00D84261">
        <w:rPr>
          <w:rFonts w:ascii="Times New Roman" w:hAnsi="Times New Roman" w:cs="Times New Roman"/>
          <w:b/>
          <w:sz w:val="28"/>
          <w:szCs w:val="28"/>
          <w:highlight w:val="yellow"/>
        </w:rPr>
        <w:t>încurajăm</w:t>
      </w:r>
      <w:r w:rsidRPr="0044376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folosirea instrumentelor online</w:t>
      </w:r>
      <w:r w:rsidR="00390CDB" w:rsidRPr="0044376B">
        <w:rPr>
          <w:rFonts w:ascii="Times New Roman" w:hAnsi="Times New Roman" w:cs="Times New Roman"/>
          <w:b/>
          <w:sz w:val="28"/>
          <w:szCs w:val="28"/>
          <w:highlight w:val="yellow"/>
        </w:rPr>
        <w:t>!</w:t>
      </w:r>
    </w:p>
    <w:p w14:paraId="04B5A68B" w14:textId="77777777" w:rsidR="00D84261" w:rsidRDefault="00D84261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14:paraId="3E2CB6C8" w14:textId="7AC22295" w:rsidR="0011743E" w:rsidRPr="0044376B" w:rsidRDefault="00390CDB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color w:val="FFC00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 xml:space="preserve">IV. </w:t>
      </w:r>
      <w:r w:rsidR="002733A7" w:rsidRPr="00982EDB">
        <w:rPr>
          <w:rStyle w:val="Strong"/>
          <w:rFonts w:ascii="Times New Roman" w:hAnsi="Times New Roman" w:cs="Times New Roman"/>
          <w:color w:val="1F497D" w:themeColor="text2"/>
          <w:sz w:val="28"/>
          <w:szCs w:val="28"/>
        </w:rPr>
        <w:t>Ultimele progrese</w:t>
      </w:r>
      <w:r w:rsidRPr="00982EDB">
        <w:rPr>
          <w:rStyle w:val="Strong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14:paraId="546CEF4C" w14:textId="3107F79C" w:rsidR="00390CDB" w:rsidRDefault="00F65D9E" w:rsidP="0065667B">
      <w:pPr>
        <w:autoSpaceDN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76B">
        <w:rPr>
          <w:rFonts w:ascii="Times New Roman" w:eastAsia="Calibri" w:hAnsi="Times New Roman" w:cs="Times New Roman"/>
          <w:sz w:val="28"/>
          <w:szCs w:val="28"/>
        </w:rPr>
        <w:t>Vă rugăm să verificaţi dacă există un caz nou în aşteptare sau o trimitere preliminară la Curtea de Justiţie</w:t>
      </w:r>
      <w:r w:rsidR="00390CDB" w:rsidRPr="00443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eastAsia="Calibri" w:hAnsi="Times New Roman" w:cs="Times New Roman"/>
          <w:sz w:val="28"/>
          <w:szCs w:val="28"/>
        </w:rPr>
        <w:t>în ultimele trei luni</w:t>
      </w:r>
      <w:r w:rsidR="00390CDB" w:rsidRPr="0044376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C2D213" w14:textId="77777777" w:rsidR="00D84261" w:rsidRPr="0044376B" w:rsidRDefault="00D84261" w:rsidP="0065667B">
      <w:pPr>
        <w:autoSpaceDN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1922EA" w14:textId="3B7A58C7" w:rsidR="0011743E" w:rsidRPr="0044376B" w:rsidRDefault="0011743E" w:rsidP="0065667B">
      <w:pPr>
        <w:pStyle w:val="Test"/>
        <w:shd w:val="clear" w:color="auto" w:fill="DED888"/>
        <w:spacing w:after="160" w:line="240" w:lineRule="auto"/>
        <w:jc w:val="center"/>
        <w:rPr>
          <w:rFonts w:ascii="Times New Roman" w:hAnsi="Times New Roman"/>
          <w:color w:val="365F91" w:themeColor="accent1" w:themeShade="BF"/>
          <w:sz w:val="32"/>
          <w:szCs w:val="32"/>
          <w:lang w:val="ro-RO"/>
        </w:rPr>
      </w:pPr>
      <w:r w:rsidRPr="0044376B">
        <w:rPr>
          <w:rStyle w:val="Strong"/>
          <w:rFonts w:ascii="Times New Roman" w:hAnsi="Times New Roman"/>
          <w:b/>
          <w:bCs w:val="0"/>
          <w:color w:val="365F91" w:themeColor="accent1" w:themeShade="BF"/>
          <w:sz w:val="32"/>
          <w:szCs w:val="32"/>
          <w:lang w:val="ro-RO"/>
        </w:rPr>
        <w:t>Part</w:t>
      </w:r>
      <w:r w:rsidR="002733A7" w:rsidRPr="0044376B">
        <w:rPr>
          <w:rStyle w:val="Strong"/>
          <w:rFonts w:ascii="Times New Roman" w:hAnsi="Times New Roman"/>
          <w:b/>
          <w:bCs w:val="0"/>
          <w:color w:val="365F91" w:themeColor="accent1" w:themeShade="BF"/>
          <w:sz w:val="32"/>
          <w:szCs w:val="32"/>
          <w:lang w:val="ro-RO"/>
        </w:rPr>
        <w:t>ea</w:t>
      </w:r>
      <w:r w:rsidRPr="0044376B">
        <w:rPr>
          <w:rStyle w:val="Strong"/>
          <w:rFonts w:ascii="Times New Roman" w:hAnsi="Times New Roman"/>
          <w:b/>
          <w:bCs w:val="0"/>
          <w:color w:val="365F91" w:themeColor="accent1" w:themeShade="BF"/>
          <w:sz w:val="32"/>
          <w:szCs w:val="32"/>
          <w:lang w:val="ro-RO"/>
        </w:rPr>
        <w:t xml:space="preserve"> </w:t>
      </w:r>
      <w:r w:rsidR="001610C0" w:rsidRPr="0044376B">
        <w:rPr>
          <w:rStyle w:val="Strong"/>
          <w:rFonts w:ascii="Times New Roman" w:hAnsi="Times New Roman"/>
          <w:b/>
          <w:bCs w:val="0"/>
          <w:color w:val="365F91" w:themeColor="accent1" w:themeShade="BF"/>
          <w:sz w:val="32"/>
          <w:szCs w:val="32"/>
          <w:lang w:val="ro-RO"/>
        </w:rPr>
        <w:t>D</w:t>
      </w:r>
      <w:r w:rsidR="00784CC7" w:rsidRPr="0044376B">
        <w:rPr>
          <w:rStyle w:val="Strong"/>
          <w:rFonts w:ascii="Times New Roman" w:hAnsi="Times New Roman"/>
          <w:b/>
          <w:bCs w:val="0"/>
          <w:color w:val="365F91" w:themeColor="accent1" w:themeShade="BF"/>
          <w:sz w:val="32"/>
          <w:szCs w:val="32"/>
          <w:lang w:val="ro-RO"/>
        </w:rPr>
        <w:t xml:space="preserve">. </w:t>
      </w:r>
      <w:r w:rsidR="002733A7" w:rsidRPr="0044376B">
        <w:rPr>
          <w:rStyle w:val="Strong"/>
          <w:rFonts w:ascii="Times New Roman" w:hAnsi="Times New Roman"/>
          <w:b/>
          <w:bCs w:val="0"/>
          <w:color w:val="365F91" w:themeColor="accent1" w:themeShade="BF"/>
          <w:sz w:val="32"/>
          <w:szCs w:val="32"/>
          <w:lang w:val="ro-RO"/>
        </w:rPr>
        <w:t>Rezolvări</w:t>
      </w:r>
    </w:p>
    <w:p w14:paraId="2F5D2959" w14:textId="048FFB1F" w:rsidR="00C35570" w:rsidRPr="0044376B" w:rsidRDefault="00D51D85" w:rsidP="0065667B">
      <w:pPr>
        <w:spacing w:after="16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A. I. </w:t>
      </w:r>
      <w:r w:rsidR="002733A7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Speţa nr. 1</w:t>
      </w:r>
      <w:r w:rsidR="00784CC7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:</w:t>
      </w:r>
    </w:p>
    <w:p w14:paraId="240819F8" w14:textId="107E8918" w:rsidR="00C87F56" w:rsidRDefault="002733A7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Întrebări</w:t>
      </w:r>
      <w:r w:rsidR="00D94DD6"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  <w:r w:rsidR="00C87F56" w:rsidRPr="0044376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14:paraId="2D85C131" w14:textId="77777777" w:rsidR="00501E63" w:rsidRPr="0044376B" w:rsidRDefault="00501E63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14:paraId="513D216C" w14:textId="06ECB4FD" w:rsidR="00EE08F8" w:rsidRPr="0044376B" w:rsidRDefault="002733A7" w:rsidP="0065667B">
      <w:pPr>
        <w:spacing w:after="16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4437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Î1</w:t>
      </w:r>
      <w:r w:rsidR="00C87F56" w:rsidRPr="004437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. </w:t>
      </w:r>
      <w:r w:rsidR="005A3EAF" w:rsidRPr="0044376B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Există obligaţia Olandei de a-l preda pe medicul Drion, iar, în caz afirmativ, în ce condiţii</w:t>
      </w:r>
      <w:r w:rsidR="00C87F56" w:rsidRPr="004437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? </w:t>
      </w:r>
    </w:p>
    <w:p w14:paraId="31381270" w14:textId="448FC6FC" w:rsidR="00390CDB" w:rsidRPr="0044376B" w:rsidRDefault="00F65D9E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376B">
        <w:rPr>
          <w:rFonts w:ascii="Times New Roman" w:hAnsi="Times New Roman" w:cs="Times New Roman"/>
          <w:sz w:val="28"/>
          <w:szCs w:val="28"/>
          <w:u w:val="single"/>
        </w:rPr>
        <w:t>Chestiuni preliminare</w:t>
      </w:r>
    </w:p>
    <w:p w14:paraId="4F28233C" w14:textId="13FBA877" w:rsidR="005117DE" w:rsidRPr="0044376B" w:rsidRDefault="00DE6EA0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Natura autorităţii emitente ar trebui să declanşeze o întrebare preliminară, şi-anume</w:t>
      </w:r>
      <w:r w:rsidR="00EE08F8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dacă autoritatea emitentă este</w:t>
      </w:r>
      <w:r w:rsidR="00EE08F8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o</w:t>
      </w:r>
      <w:r w:rsidR="00EE08F8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i/>
          <w:sz w:val="28"/>
          <w:szCs w:val="28"/>
        </w:rPr>
        <w:t>autoritate judiciară</w:t>
      </w:r>
      <w:r w:rsidR="00EE08F8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în conformitate cu dispoziţiile art.</w:t>
      </w:r>
      <w:r w:rsidR="00EE08F8" w:rsidRPr="0044376B">
        <w:rPr>
          <w:rFonts w:ascii="Times New Roman" w:hAnsi="Times New Roman" w:cs="Times New Roman"/>
          <w:sz w:val="28"/>
          <w:szCs w:val="28"/>
        </w:rPr>
        <w:t xml:space="preserve"> 6 </w:t>
      </w:r>
      <w:r w:rsidRPr="0044376B">
        <w:rPr>
          <w:rFonts w:ascii="Times New Roman" w:hAnsi="Times New Roman" w:cs="Times New Roman"/>
          <w:sz w:val="28"/>
          <w:szCs w:val="28"/>
        </w:rPr>
        <w:t>al Deciziei cadru</w:t>
      </w:r>
      <w:r w:rsidR="00EE08F8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Pr="0044376B">
        <w:rPr>
          <w:rFonts w:ascii="Times New Roman" w:hAnsi="Times New Roman" w:cs="Times New Roman"/>
          <w:sz w:val="28"/>
          <w:szCs w:val="28"/>
        </w:rPr>
        <w:t>Un organ de poliţie nu poate fi o astfel de autoritate</w:t>
      </w:r>
      <w:r w:rsidR="00EC5565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Pr="0044376B">
        <w:rPr>
          <w:rFonts w:ascii="Times New Roman" w:hAnsi="Times New Roman" w:cs="Times New Roman"/>
          <w:sz w:val="28"/>
          <w:szCs w:val="28"/>
        </w:rPr>
        <w:t>astfel cum a reţinut Curtea în</w:t>
      </w:r>
      <w:r w:rsidR="00EC5565" w:rsidRPr="0044376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cazul</w:t>
        </w:r>
        <w:r w:rsidR="00EC5565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r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Poltorak </w:t>
        </w:r>
        <w:r w:rsidR="00EC5565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(C-452/16 PPU)</w:t>
        </w:r>
      </w:hyperlink>
      <w:r w:rsidR="00EC5565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Pr="0044376B">
        <w:rPr>
          <w:rFonts w:ascii="Times New Roman" w:hAnsi="Times New Roman" w:cs="Times New Roman"/>
          <w:sz w:val="28"/>
          <w:szCs w:val="28"/>
        </w:rPr>
        <w:t>Mai nou</w:t>
      </w:r>
      <w:r w:rsidR="00B33F0A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Pr="0044376B">
        <w:rPr>
          <w:rFonts w:ascii="Times New Roman" w:hAnsi="Times New Roman" w:cs="Times New Roman"/>
          <w:sz w:val="28"/>
          <w:szCs w:val="28"/>
        </w:rPr>
        <w:t>Curtea a adăugat cerinţe suplimentare pentru procurori</w:t>
      </w:r>
      <w:r w:rsidR="00B33F0A" w:rsidRPr="0044376B">
        <w:rPr>
          <w:rFonts w:ascii="Times New Roman" w:hAnsi="Times New Roman" w:cs="Times New Roman"/>
          <w:sz w:val="28"/>
          <w:szCs w:val="28"/>
        </w:rPr>
        <w:t xml:space="preserve"> (</w:t>
      </w:r>
      <w:r w:rsidRPr="0044376B">
        <w:rPr>
          <w:rFonts w:ascii="Times New Roman" w:hAnsi="Times New Roman" w:cs="Times New Roman"/>
          <w:sz w:val="28"/>
          <w:szCs w:val="28"/>
        </w:rPr>
        <w:t>vezi</w:t>
      </w:r>
      <w:r w:rsidR="00EC5565" w:rsidRPr="00443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C5565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C-489/19 PPU - NJ [Parquet de Vienne]</w:t>
        </w:r>
      </w:hyperlink>
      <w:r w:rsidR="00EC5565" w:rsidRPr="0044376B">
        <w:rPr>
          <w:rFonts w:ascii="Times New Roman" w:hAnsi="Times New Roman" w:cs="Times New Roman"/>
          <w:sz w:val="28"/>
          <w:szCs w:val="28"/>
        </w:rPr>
        <w:t xml:space="preserve">). </w:t>
      </w:r>
      <w:r w:rsidRPr="0044376B">
        <w:rPr>
          <w:rFonts w:ascii="Times New Roman" w:hAnsi="Times New Roman" w:cs="Times New Roman"/>
          <w:sz w:val="28"/>
          <w:szCs w:val="28"/>
        </w:rPr>
        <w:t>În esenţă</w:t>
      </w:r>
      <w:r w:rsidR="00EE08F8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993BDC" w:rsidRPr="0044376B">
        <w:rPr>
          <w:rFonts w:ascii="Times New Roman" w:hAnsi="Times New Roman" w:cs="Times New Roman"/>
          <w:sz w:val="28"/>
          <w:szCs w:val="28"/>
        </w:rPr>
        <w:t>aceasta înseamnă că a fost o evaluare individuală a proporţionalităţii</w:t>
      </w:r>
      <w:r w:rsidR="00EE08F8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993BDC" w:rsidRPr="0044376B">
        <w:rPr>
          <w:rFonts w:ascii="Times New Roman" w:hAnsi="Times New Roman" w:cs="Times New Roman"/>
          <w:sz w:val="28"/>
          <w:szCs w:val="28"/>
        </w:rPr>
        <w:t xml:space="preserve">MEA, </w:t>
      </w:r>
      <w:r w:rsidR="00053B83">
        <w:rPr>
          <w:rFonts w:ascii="Times New Roman" w:hAnsi="Times New Roman" w:cs="Times New Roman"/>
          <w:sz w:val="28"/>
          <w:szCs w:val="28"/>
        </w:rPr>
        <w:t>dublată de o sup</w:t>
      </w:r>
      <w:r w:rsidR="00993BDC" w:rsidRPr="0048507F">
        <w:rPr>
          <w:rFonts w:ascii="Times New Roman" w:hAnsi="Times New Roman" w:cs="Times New Roman"/>
          <w:sz w:val="28"/>
          <w:szCs w:val="28"/>
        </w:rPr>
        <w:t>r</w:t>
      </w:r>
      <w:r w:rsidR="00053B83">
        <w:rPr>
          <w:rFonts w:ascii="Times New Roman" w:hAnsi="Times New Roman" w:cs="Times New Roman"/>
          <w:sz w:val="28"/>
          <w:szCs w:val="28"/>
        </w:rPr>
        <w:t>a</w:t>
      </w:r>
      <w:r w:rsidR="00993BDC" w:rsidRPr="0048507F">
        <w:rPr>
          <w:rFonts w:ascii="Times New Roman" w:hAnsi="Times New Roman" w:cs="Times New Roman"/>
          <w:sz w:val="28"/>
          <w:szCs w:val="28"/>
        </w:rPr>
        <w:t>veghere judiciară/confirmare</w:t>
      </w:r>
      <w:r w:rsidR="00993BDC" w:rsidRPr="0044376B">
        <w:rPr>
          <w:rFonts w:ascii="Times New Roman" w:hAnsi="Times New Roman" w:cs="Times New Roman"/>
          <w:sz w:val="28"/>
          <w:szCs w:val="28"/>
        </w:rPr>
        <w:t xml:space="preserve"> a unui judecător sau a unei instanţe judecătoreşti</w:t>
      </w:r>
      <w:r w:rsidR="00EE08F8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="00993BDC" w:rsidRPr="0044376B">
        <w:rPr>
          <w:rFonts w:ascii="Times New Roman" w:hAnsi="Times New Roman" w:cs="Times New Roman"/>
          <w:sz w:val="28"/>
          <w:szCs w:val="28"/>
        </w:rPr>
        <w:t>În plus</w:t>
      </w:r>
      <w:r w:rsidR="00EE08F8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993BDC" w:rsidRPr="0044376B">
        <w:rPr>
          <w:rFonts w:ascii="Times New Roman" w:hAnsi="Times New Roman" w:cs="Times New Roman"/>
          <w:sz w:val="28"/>
          <w:szCs w:val="28"/>
        </w:rPr>
        <w:t>este esenţial de reţinut faptul că</w:t>
      </w:r>
      <w:r w:rsidR="00EE08F8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993BDC" w:rsidRPr="0044376B">
        <w:rPr>
          <w:rFonts w:ascii="Times New Roman" w:hAnsi="Times New Roman" w:cs="Times New Roman"/>
          <w:sz w:val="28"/>
          <w:szCs w:val="28"/>
        </w:rPr>
        <w:t>mandatul european de arestare</w:t>
      </w:r>
      <w:r w:rsidR="00EE08F8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993BDC" w:rsidRPr="0044376B">
        <w:rPr>
          <w:rFonts w:ascii="Times New Roman" w:hAnsi="Times New Roman" w:cs="Times New Roman"/>
          <w:sz w:val="28"/>
          <w:szCs w:val="28"/>
        </w:rPr>
        <w:t>se bazează pe un mandat naţional de arestare</w:t>
      </w:r>
      <w:r w:rsidR="00304030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993BDC" w:rsidRPr="0044376B">
        <w:rPr>
          <w:rFonts w:ascii="Times New Roman" w:hAnsi="Times New Roman" w:cs="Times New Roman"/>
          <w:sz w:val="28"/>
          <w:szCs w:val="28"/>
        </w:rPr>
        <w:t>vezi</w:t>
      </w:r>
      <w:r w:rsidR="00EC5565" w:rsidRPr="00443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93BDC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cazul</w:t>
        </w:r>
        <w:r w:rsidR="00EC5565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r w:rsidR="00993BDC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Bob-Dogi </w:t>
        </w:r>
        <w:r w:rsidR="00EC5565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(C-241/15)</w:t>
        </w:r>
      </w:hyperlink>
      <w:r w:rsidR="001573FD" w:rsidRPr="0044376B">
        <w:rPr>
          <w:rFonts w:ascii="Times New Roman" w:hAnsi="Times New Roman" w:cs="Times New Roman"/>
          <w:sz w:val="28"/>
          <w:szCs w:val="28"/>
        </w:rPr>
        <w:t>.</w:t>
      </w:r>
      <w:r w:rsidR="00EC5565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993BDC" w:rsidRPr="0044376B">
        <w:rPr>
          <w:rFonts w:ascii="Times New Roman" w:hAnsi="Times New Roman" w:cs="Times New Roman"/>
          <w:sz w:val="28"/>
          <w:szCs w:val="28"/>
        </w:rPr>
        <w:t>Unele state membre</w:t>
      </w:r>
      <w:r w:rsidR="005117DE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993BDC" w:rsidRPr="0044376B">
        <w:rPr>
          <w:rFonts w:ascii="Times New Roman" w:hAnsi="Times New Roman" w:cs="Times New Roman"/>
          <w:sz w:val="28"/>
          <w:szCs w:val="28"/>
        </w:rPr>
        <w:t>aplică un sistem în care</w:t>
      </w:r>
      <w:r w:rsidR="005117DE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993BDC" w:rsidRPr="0044376B">
        <w:rPr>
          <w:rFonts w:ascii="Times New Roman" w:hAnsi="Times New Roman" w:cs="Times New Roman"/>
          <w:sz w:val="28"/>
          <w:szCs w:val="28"/>
        </w:rPr>
        <w:t xml:space="preserve">un singur mandat de arestare acoperă ambele </w:t>
      </w:r>
      <w:r w:rsidR="007013F9" w:rsidRPr="0044376B">
        <w:rPr>
          <w:rFonts w:ascii="Times New Roman" w:hAnsi="Times New Roman" w:cs="Times New Roman"/>
          <w:sz w:val="28"/>
          <w:szCs w:val="28"/>
        </w:rPr>
        <w:t>tipuri de mandate</w:t>
      </w:r>
      <w:r w:rsidR="005117DE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="007013F9" w:rsidRPr="0044376B">
        <w:rPr>
          <w:rFonts w:ascii="Times New Roman" w:hAnsi="Times New Roman" w:cs="Times New Roman"/>
          <w:sz w:val="28"/>
          <w:szCs w:val="28"/>
        </w:rPr>
        <w:t>Curtea doreşte să existe ambele</w:t>
      </w:r>
      <w:r w:rsidR="005117DE" w:rsidRPr="0044376B">
        <w:rPr>
          <w:rFonts w:ascii="Times New Roman" w:hAnsi="Times New Roman" w:cs="Times New Roman"/>
          <w:sz w:val="28"/>
          <w:szCs w:val="28"/>
        </w:rPr>
        <w:t>.</w:t>
      </w:r>
    </w:p>
    <w:p w14:paraId="51DC98C0" w14:textId="67D9F591" w:rsidR="001573FD" w:rsidRPr="0044376B" w:rsidRDefault="007013F9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Aceste cerinţe dezvoltate în jurisprudenţă</w:t>
      </w:r>
      <w:r w:rsidR="005117DE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pot conduce la formularea unor întrebări adresate de autoritatea de executare autorităţii emitente</w:t>
      </w:r>
      <w:r w:rsidR="005117DE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Pr="0044376B">
        <w:rPr>
          <w:rFonts w:ascii="Times New Roman" w:hAnsi="Times New Roman" w:cs="Times New Roman"/>
          <w:sz w:val="28"/>
          <w:szCs w:val="28"/>
        </w:rPr>
        <w:t>Din păcate</w:t>
      </w:r>
      <w:r w:rsidR="005117DE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Pr="0044376B">
        <w:rPr>
          <w:rFonts w:ascii="Times New Roman" w:hAnsi="Times New Roman" w:cs="Times New Roman"/>
          <w:sz w:val="28"/>
          <w:szCs w:val="28"/>
        </w:rPr>
        <w:t>acest lucru poate conduce la întârzieri şi frustrări</w:t>
      </w:r>
      <w:r w:rsidR="005117DE" w:rsidRPr="0044376B">
        <w:rPr>
          <w:rFonts w:ascii="Times New Roman" w:hAnsi="Times New Roman" w:cs="Times New Roman"/>
          <w:sz w:val="28"/>
          <w:szCs w:val="28"/>
        </w:rPr>
        <w:t>.</w:t>
      </w:r>
      <w:r w:rsidR="001573FD" w:rsidRPr="004437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CE36E" w14:textId="49EE6E4E" w:rsidR="00EC6418" w:rsidRDefault="007013F9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Odată stabilit faptul că autoritatea emitentă este o</w:t>
      </w:r>
      <w:r w:rsidR="005117DE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i/>
          <w:sz w:val="28"/>
          <w:szCs w:val="28"/>
        </w:rPr>
        <w:t>autoritate judiciară</w:t>
      </w:r>
      <w:r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510397" w:rsidRPr="0044376B">
        <w:rPr>
          <w:rFonts w:ascii="Times New Roman" w:hAnsi="Times New Roman" w:cs="Times New Roman"/>
          <w:sz w:val="28"/>
          <w:szCs w:val="28"/>
        </w:rPr>
        <w:t xml:space="preserve">(NB: ca regulă generală, majoritatea formalităţilor </w:t>
      </w:r>
      <w:r w:rsidR="00510397" w:rsidRPr="00EB7F78">
        <w:rPr>
          <w:rFonts w:ascii="Times New Roman" w:hAnsi="Times New Roman" w:cs="Times New Roman"/>
          <w:sz w:val="28"/>
          <w:szCs w:val="28"/>
        </w:rPr>
        <w:t>pot fi reparate</w:t>
      </w:r>
      <w:r w:rsidR="005117DE" w:rsidRPr="00EB7F78">
        <w:rPr>
          <w:rFonts w:ascii="Times New Roman" w:hAnsi="Times New Roman" w:cs="Times New Roman"/>
          <w:sz w:val="28"/>
          <w:szCs w:val="28"/>
        </w:rPr>
        <w:t xml:space="preserve">. </w:t>
      </w:r>
      <w:r w:rsidR="00510397" w:rsidRPr="00EB7F78">
        <w:rPr>
          <w:rFonts w:ascii="Times New Roman" w:hAnsi="Times New Roman" w:cs="Times New Roman"/>
          <w:sz w:val="28"/>
          <w:szCs w:val="28"/>
        </w:rPr>
        <w:t>Nu există</w:t>
      </w:r>
      <w:r w:rsidR="005117DE" w:rsidRPr="00EB7F78">
        <w:rPr>
          <w:rFonts w:ascii="Times New Roman" w:hAnsi="Times New Roman" w:cs="Times New Roman"/>
          <w:sz w:val="28"/>
          <w:szCs w:val="28"/>
        </w:rPr>
        <w:t xml:space="preserve"> ne bis in idem </w:t>
      </w:r>
      <w:r w:rsidR="00510397" w:rsidRPr="00EB7F78">
        <w:rPr>
          <w:rFonts w:ascii="Times New Roman" w:hAnsi="Times New Roman" w:cs="Times New Roman"/>
          <w:sz w:val="28"/>
          <w:szCs w:val="28"/>
        </w:rPr>
        <w:t>în privinţa emiterii</w:t>
      </w:r>
      <w:r w:rsidR="005117DE" w:rsidRPr="00EB7F78">
        <w:rPr>
          <w:rFonts w:ascii="Times New Roman" w:hAnsi="Times New Roman" w:cs="Times New Roman"/>
          <w:sz w:val="28"/>
          <w:szCs w:val="28"/>
        </w:rPr>
        <w:t xml:space="preserve"> </w:t>
      </w:r>
      <w:r w:rsidR="00510397" w:rsidRPr="00EB7F78">
        <w:rPr>
          <w:rFonts w:ascii="Times New Roman" w:hAnsi="Times New Roman" w:cs="Times New Roman"/>
          <w:sz w:val="28"/>
          <w:szCs w:val="28"/>
        </w:rPr>
        <w:t>mandatelor europene de arestare</w:t>
      </w:r>
      <w:r w:rsidR="005117DE" w:rsidRPr="00EB7F78">
        <w:rPr>
          <w:rFonts w:ascii="Times New Roman" w:hAnsi="Times New Roman" w:cs="Times New Roman"/>
          <w:sz w:val="28"/>
          <w:szCs w:val="28"/>
        </w:rPr>
        <w:t xml:space="preserve">) </w:t>
      </w:r>
      <w:r w:rsidRPr="00EB7F78">
        <w:rPr>
          <w:rFonts w:ascii="Times New Roman" w:hAnsi="Times New Roman" w:cs="Times New Roman"/>
          <w:sz w:val="28"/>
          <w:szCs w:val="28"/>
        </w:rPr>
        <w:t xml:space="preserve">MEA poate fi </w:t>
      </w:r>
      <w:r w:rsidR="00EB7F78" w:rsidRPr="00EB7F78">
        <w:rPr>
          <w:rFonts w:ascii="Times New Roman" w:hAnsi="Times New Roman" w:cs="Times New Roman"/>
          <w:sz w:val="28"/>
          <w:szCs w:val="28"/>
        </w:rPr>
        <w:t>analizat</w:t>
      </w:r>
      <w:r w:rsidR="005117DE" w:rsidRPr="00EB7F78">
        <w:rPr>
          <w:rFonts w:ascii="Times New Roman" w:hAnsi="Times New Roman" w:cs="Times New Roman"/>
          <w:sz w:val="28"/>
          <w:szCs w:val="28"/>
        </w:rPr>
        <w:t>.</w:t>
      </w:r>
      <w:r w:rsidR="00816309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510397" w:rsidRPr="0044376B">
        <w:rPr>
          <w:rFonts w:ascii="Times New Roman" w:hAnsi="Times New Roman" w:cs="Times New Roman"/>
          <w:sz w:val="28"/>
          <w:szCs w:val="28"/>
        </w:rPr>
        <w:t>A se vedea în continuare răspunsul de la Întrebarea nr. 3</w:t>
      </w:r>
      <w:r w:rsidR="00816309" w:rsidRPr="0044376B">
        <w:rPr>
          <w:rFonts w:ascii="Times New Roman" w:hAnsi="Times New Roman" w:cs="Times New Roman"/>
          <w:sz w:val="28"/>
          <w:szCs w:val="28"/>
        </w:rPr>
        <w:t>.</w:t>
      </w:r>
    </w:p>
    <w:p w14:paraId="7F514E69" w14:textId="77777777" w:rsidR="00501E63" w:rsidRPr="0044376B" w:rsidRDefault="00501E63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47A59" w14:textId="4200E508" w:rsidR="0014764B" w:rsidRPr="0044376B" w:rsidRDefault="002733A7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Î</w:t>
      </w:r>
      <w:r w:rsidR="0014764B" w:rsidRPr="004437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2</w:t>
      </w:r>
      <w:r w:rsidRPr="004437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EAF" w:rsidRPr="0044376B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Ar fi fost vreo diferenţă în situaţia în care infracţiunile nu ar fi fost săvârşite pe teritoriul Greciei, ci pe cel al Olandei</w:t>
      </w:r>
      <w:r w:rsidR="0014764B" w:rsidRPr="004437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?</w:t>
      </w:r>
    </w:p>
    <w:p w14:paraId="03A673DD" w14:textId="5524925A" w:rsidR="0014764B" w:rsidRDefault="00170260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78">
        <w:rPr>
          <w:rFonts w:ascii="Times New Roman" w:hAnsi="Times New Roman" w:cs="Times New Roman"/>
          <w:sz w:val="28"/>
          <w:szCs w:val="28"/>
        </w:rPr>
        <w:t>Dacă faptele ar fi fost săvârşite în Olanda</w:t>
      </w:r>
      <w:r w:rsidR="0014764B" w:rsidRPr="00EB7F78">
        <w:rPr>
          <w:rFonts w:ascii="Times New Roman" w:hAnsi="Times New Roman" w:cs="Times New Roman"/>
          <w:sz w:val="28"/>
          <w:szCs w:val="28"/>
        </w:rPr>
        <w:t xml:space="preserve">, </w:t>
      </w:r>
      <w:r w:rsidRPr="00EB7F78">
        <w:rPr>
          <w:rFonts w:ascii="Times New Roman" w:hAnsi="Times New Roman" w:cs="Times New Roman"/>
          <w:sz w:val="28"/>
          <w:szCs w:val="28"/>
        </w:rPr>
        <w:t>nu în Grecia</w:t>
      </w:r>
      <w:r w:rsidR="0014764B" w:rsidRPr="00EB7F78">
        <w:rPr>
          <w:rFonts w:ascii="Times New Roman" w:hAnsi="Times New Roman" w:cs="Times New Roman"/>
          <w:sz w:val="28"/>
          <w:szCs w:val="28"/>
        </w:rPr>
        <w:t xml:space="preserve">, </w:t>
      </w:r>
      <w:r w:rsidRPr="00EB7F78">
        <w:rPr>
          <w:rFonts w:ascii="Times New Roman" w:hAnsi="Times New Roman" w:cs="Times New Roman"/>
          <w:sz w:val="28"/>
          <w:szCs w:val="28"/>
        </w:rPr>
        <w:t>ar fi fost incident motivul de refuz prevăzut în art. 4 alin. 7</w:t>
      </w:r>
      <w:r w:rsidR="0014764B" w:rsidRPr="00EB7F78">
        <w:rPr>
          <w:rFonts w:ascii="Times New Roman" w:hAnsi="Times New Roman" w:cs="Times New Roman"/>
          <w:sz w:val="28"/>
          <w:szCs w:val="28"/>
        </w:rPr>
        <w:t xml:space="preserve">. </w:t>
      </w:r>
      <w:r w:rsidRPr="00EB7F78">
        <w:rPr>
          <w:rFonts w:ascii="Times New Roman" w:hAnsi="Times New Roman" w:cs="Times New Roman"/>
          <w:sz w:val="28"/>
          <w:szCs w:val="28"/>
        </w:rPr>
        <w:t xml:space="preserve">Infracţiunile </w:t>
      </w:r>
      <w:r w:rsidR="00053B83">
        <w:rPr>
          <w:rFonts w:ascii="Times New Roman" w:hAnsi="Times New Roman" w:cs="Times New Roman"/>
          <w:sz w:val="28"/>
          <w:szCs w:val="28"/>
        </w:rPr>
        <w:t>au fost săvârşite pe teri</w:t>
      </w:r>
      <w:r w:rsidRPr="0044376B">
        <w:rPr>
          <w:rFonts w:ascii="Times New Roman" w:hAnsi="Times New Roman" w:cs="Times New Roman"/>
          <w:sz w:val="28"/>
          <w:szCs w:val="28"/>
        </w:rPr>
        <w:t>toriul Olandei, iar acest lucru îi conferă dreptul de a refuza</w:t>
      </w:r>
      <w:r w:rsidR="0014764B" w:rsidRPr="0044376B">
        <w:rPr>
          <w:rFonts w:ascii="Times New Roman" w:hAnsi="Times New Roman" w:cs="Times New Roman"/>
          <w:sz w:val="28"/>
          <w:szCs w:val="28"/>
        </w:rPr>
        <w:t xml:space="preserve">. NB: </w:t>
      </w:r>
      <w:r w:rsidRPr="0044376B">
        <w:rPr>
          <w:rFonts w:ascii="Times New Roman" w:hAnsi="Times New Roman" w:cs="Times New Roman"/>
          <w:sz w:val="28"/>
          <w:szCs w:val="28"/>
        </w:rPr>
        <w:t xml:space="preserve">titlul </w:t>
      </w:r>
      <w:r w:rsidRPr="0044376B">
        <w:rPr>
          <w:rFonts w:ascii="Times New Roman" w:hAnsi="Times New Roman" w:cs="Times New Roman"/>
          <w:sz w:val="28"/>
          <w:szCs w:val="28"/>
        </w:rPr>
        <w:lastRenderedPageBreak/>
        <w:t>articolului menţionează faptul că „poate refuza”</w:t>
      </w:r>
      <w:r w:rsidR="0014764B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Pr="0044376B">
        <w:rPr>
          <w:rFonts w:ascii="Times New Roman" w:hAnsi="Times New Roman" w:cs="Times New Roman"/>
          <w:sz w:val="28"/>
          <w:szCs w:val="28"/>
        </w:rPr>
        <w:t>Astfel, nu există o obligaţie în acest sens</w:t>
      </w:r>
      <w:r w:rsidR="0014764B" w:rsidRPr="0044376B">
        <w:rPr>
          <w:rFonts w:ascii="Times New Roman" w:hAnsi="Times New Roman" w:cs="Times New Roman"/>
          <w:sz w:val="28"/>
          <w:szCs w:val="28"/>
        </w:rPr>
        <w:t xml:space="preserve">. NB: </w:t>
      </w:r>
      <w:r w:rsidRPr="0044376B">
        <w:rPr>
          <w:rFonts w:ascii="Times New Roman" w:hAnsi="Times New Roman" w:cs="Times New Roman"/>
          <w:sz w:val="28"/>
          <w:szCs w:val="28"/>
        </w:rPr>
        <w:t xml:space="preserve">Dacă este timp, ar fi interesant de văzut cum au implementat celelalte state membre acest </w:t>
      </w:r>
      <w:r w:rsidR="00F70A7B">
        <w:rPr>
          <w:rFonts w:ascii="Times New Roman" w:hAnsi="Times New Roman" w:cs="Times New Roman"/>
          <w:sz w:val="28"/>
          <w:szCs w:val="28"/>
        </w:rPr>
        <w:t>motiv facultativ</w:t>
      </w:r>
      <w:r w:rsidRPr="0044376B">
        <w:rPr>
          <w:rFonts w:ascii="Times New Roman" w:hAnsi="Times New Roman" w:cs="Times New Roman"/>
          <w:sz w:val="28"/>
          <w:szCs w:val="28"/>
        </w:rPr>
        <w:t xml:space="preserve"> de refuz</w:t>
      </w:r>
      <w:r w:rsidR="0014764B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Pr="00F70A7B">
        <w:rPr>
          <w:rFonts w:ascii="Times New Roman" w:hAnsi="Times New Roman" w:cs="Times New Roman"/>
          <w:sz w:val="28"/>
          <w:szCs w:val="28"/>
        </w:rPr>
        <w:t xml:space="preserve">Unele au păstrat caracterul </w:t>
      </w:r>
      <w:r w:rsidR="00F70A7B" w:rsidRPr="00F70A7B">
        <w:rPr>
          <w:rFonts w:ascii="Times New Roman" w:hAnsi="Times New Roman" w:cs="Times New Roman"/>
          <w:sz w:val="28"/>
          <w:szCs w:val="28"/>
        </w:rPr>
        <w:t>facultativ</w:t>
      </w:r>
      <w:r w:rsidRPr="00F70A7B">
        <w:rPr>
          <w:rFonts w:ascii="Times New Roman" w:hAnsi="Times New Roman" w:cs="Times New Roman"/>
          <w:sz w:val="28"/>
          <w:szCs w:val="28"/>
        </w:rPr>
        <w:t xml:space="preserve"> al acestui </w:t>
      </w:r>
      <w:r w:rsidR="00F70A7B" w:rsidRPr="00F70A7B">
        <w:rPr>
          <w:rFonts w:ascii="Times New Roman" w:hAnsi="Times New Roman" w:cs="Times New Roman"/>
          <w:sz w:val="28"/>
          <w:szCs w:val="28"/>
        </w:rPr>
        <w:t>motiv</w:t>
      </w:r>
      <w:r w:rsidR="0014764B" w:rsidRPr="00F70A7B">
        <w:rPr>
          <w:rFonts w:ascii="Times New Roman" w:hAnsi="Times New Roman" w:cs="Times New Roman"/>
          <w:sz w:val="28"/>
          <w:szCs w:val="28"/>
        </w:rPr>
        <w:t xml:space="preserve">, </w:t>
      </w:r>
      <w:r w:rsidRPr="00F70A7B">
        <w:rPr>
          <w:rFonts w:ascii="Times New Roman" w:hAnsi="Times New Roman" w:cs="Times New Roman"/>
          <w:sz w:val="28"/>
          <w:szCs w:val="28"/>
        </w:rPr>
        <w:t>iar alte state membre l-au transformat</w:t>
      </w:r>
      <w:r w:rsidR="00F659AA" w:rsidRPr="00F70A7B">
        <w:rPr>
          <w:rFonts w:ascii="Times New Roman" w:hAnsi="Times New Roman" w:cs="Times New Roman"/>
          <w:sz w:val="28"/>
          <w:szCs w:val="28"/>
        </w:rPr>
        <w:t xml:space="preserve"> într-un</w:t>
      </w:r>
      <w:r w:rsidRPr="00F70A7B">
        <w:rPr>
          <w:rFonts w:ascii="Times New Roman" w:hAnsi="Times New Roman" w:cs="Times New Roman"/>
          <w:sz w:val="28"/>
          <w:szCs w:val="28"/>
        </w:rPr>
        <w:t xml:space="preserve"> motiv obligatoriu de refuz</w:t>
      </w:r>
      <w:r w:rsidR="0014764B" w:rsidRPr="00F70A7B">
        <w:rPr>
          <w:rFonts w:ascii="Times New Roman" w:hAnsi="Times New Roman" w:cs="Times New Roman"/>
          <w:sz w:val="28"/>
          <w:szCs w:val="28"/>
        </w:rPr>
        <w:t>.</w:t>
      </w:r>
    </w:p>
    <w:p w14:paraId="6D3A1BA3" w14:textId="77777777" w:rsidR="00501E63" w:rsidRPr="00F70A7B" w:rsidRDefault="00501E63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1BB04" w14:textId="56E0546C" w:rsidR="00D94DD6" w:rsidRPr="0044376B" w:rsidRDefault="002733A7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Î</w:t>
      </w:r>
      <w:r w:rsidR="00794126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 xml:space="preserve">3. </w:t>
      </w:r>
      <w:r w:rsidR="005A3EAF" w:rsidRPr="0044376B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Poate Olanda să evalueze infracţiunile şi să le califice în conformitate cu legislaţia penală olandeză</w:t>
      </w:r>
      <w:r w:rsidR="00C87F56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?</w:t>
      </w:r>
    </w:p>
    <w:p w14:paraId="22D05E66" w14:textId="2698D518" w:rsidR="00794126" w:rsidRPr="0044376B" w:rsidRDefault="00F659AA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În principiu, există o obligaţie de predare</w:t>
      </w:r>
      <w:r w:rsidR="00794126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="00501E63" w:rsidRPr="00501E63">
        <w:rPr>
          <w:rFonts w:ascii="Times New Roman" w:hAnsi="Times New Roman" w:cs="Times New Roman"/>
          <w:sz w:val="28"/>
          <w:szCs w:val="28"/>
        </w:rPr>
        <w:t>Regula este că fiec</w:t>
      </w:r>
      <w:r w:rsidR="00FE395B" w:rsidRPr="00501E63">
        <w:rPr>
          <w:rFonts w:ascii="Times New Roman" w:hAnsi="Times New Roman" w:cs="Times New Roman"/>
          <w:sz w:val="28"/>
          <w:szCs w:val="28"/>
        </w:rPr>
        <w:t xml:space="preserve">are faptă va fi </w:t>
      </w:r>
      <w:r w:rsidR="00501E63" w:rsidRPr="00501E63">
        <w:rPr>
          <w:rFonts w:ascii="Times New Roman" w:hAnsi="Times New Roman" w:cs="Times New Roman"/>
          <w:sz w:val="28"/>
          <w:szCs w:val="28"/>
        </w:rPr>
        <w:t>analizată</w:t>
      </w:r>
      <w:r w:rsidR="00FE395B" w:rsidRPr="00501E63">
        <w:rPr>
          <w:rFonts w:ascii="Times New Roman" w:hAnsi="Times New Roman" w:cs="Times New Roman"/>
          <w:sz w:val="28"/>
          <w:szCs w:val="28"/>
        </w:rPr>
        <w:t xml:space="preserve"> individual</w:t>
      </w:r>
      <w:r w:rsidR="00794126" w:rsidRPr="00501E63">
        <w:rPr>
          <w:rFonts w:ascii="Times New Roman" w:hAnsi="Times New Roman" w:cs="Times New Roman"/>
          <w:sz w:val="28"/>
          <w:szCs w:val="28"/>
        </w:rPr>
        <w:t>.</w:t>
      </w:r>
      <w:r w:rsidR="00FE395B" w:rsidRPr="00501E63">
        <w:rPr>
          <w:rFonts w:ascii="Times New Roman" w:hAnsi="Times New Roman" w:cs="Times New Roman"/>
          <w:sz w:val="28"/>
          <w:szCs w:val="28"/>
        </w:rPr>
        <w:t xml:space="preserve"> Pri</w:t>
      </w:r>
      <w:r w:rsidR="00FE395B" w:rsidRPr="0044376B">
        <w:rPr>
          <w:rFonts w:ascii="Times New Roman" w:hAnsi="Times New Roman" w:cs="Times New Roman"/>
          <w:sz w:val="28"/>
          <w:szCs w:val="28"/>
        </w:rPr>
        <w:t>ma are legătură cu infracţiunea de omor</w:t>
      </w:r>
      <w:r w:rsidR="00794126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="00FE395B" w:rsidRPr="0044376B">
        <w:rPr>
          <w:rFonts w:ascii="Times New Roman" w:hAnsi="Times New Roman" w:cs="Times New Roman"/>
          <w:sz w:val="28"/>
          <w:szCs w:val="28"/>
        </w:rPr>
        <w:t>Aceasta se încadrează în lista cu infracţiuni prevăzută în art. 2 alin. 2</w:t>
      </w:r>
      <w:r w:rsidR="00794126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="00FE395B" w:rsidRPr="0044376B">
        <w:rPr>
          <w:rFonts w:ascii="Times New Roman" w:hAnsi="Times New Roman" w:cs="Times New Roman"/>
          <w:sz w:val="28"/>
          <w:szCs w:val="28"/>
        </w:rPr>
        <w:t>Cu siguranţă această infracţiune îndeplineşte cerinţele minime prevăzute în art.</w:t>
      </w:r>
      <w:r w:rsidR="00794126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FE395B" w:rsidRPr="0044376B">
        <w:rPr>
          <w:rFonts w:ascii="Times New Roman" w:hAnsi="Times New Roman" w:cs="Times New Roman"/>
          <w:sz w:val="28"/>
          <w:szCs w:val="28"/>
        </w:rPr>
        <w:t xml:space="preserve">2 alin. </w:t>
      </w:r>
      <w:r w:rsidR="00FE395B" w:rsidRPr="00501E63">
        <w:rPr>
          <w:rFonts w:ascii="Times New Roman" w:hAnsi="Times New Roman" w:cs="Times New Roman"/>
          <w:sz w:val="28"/>
          <w:szCs w:val="28"/>
        </w:rPr>
        <w:t>1</w:t>
      </w:r>
      <w:r w:rsidR="00794126" w:rsidRPr="00501E63">
        <w:rPr>
          <w:rFonts w:ascii="Times New Roman" w:hAnsi="Times New Roman" w:cs="Times New Roman"/>
          <w:sz w:val="28"/>
          <w:szCs w:val="28"/>
        </w:rPr>
        <w:t xml:space="preserve"> </w:t>
      </w:r>
      <w:r w:rsidR="00FE395B" w:rsidRPr="00501E63">
        <w:rPr>
          <w:rFonts w:ascii="Times New Roman" w:hAnsi="Times New Roman" w:cs="Times New Roman"/>
          <w:sz w:val="28"/>
          <w:szCs w:val="28"/>
        </w:rPr>
        <w:t>în ceea ce priveşte pedeapsa prevăzute de lege pentru infracţiunea săvârşită</w:t>
      </w:r>
      <w:r w:rsidR="00794126" w:rsidRPr="00501E63">
        <w:rPr>
          <w:rFonts w:ascii="Times New Roman" w:hAnsi="Times New Roman" w:cs="Times New Roman"/>
          <w:sz w:val="28"/>
          <w:szCs w:val="28"/>
        </w:rPr>
        <w:t xml:space="preserve">. </w:t>
      </w:r>
      <w:r w:rsidR="00FE395B" w:rsidRPr="0044376B">
        <w:rPr>
          <w:rFonts w:ascii="Times New Roman" w:hAnsi="Times New Roman" w:cs="Times New Roman"/>
          <w:sz w:val="28"/>
          <w:szCs w:val="28"/>
        </w:rPr>
        <w:t>Având în vedere faptul că autorităţile greceşti au bifat caseta aferentă infracţiunii de omor, autorităţile de executare nu pot face propria evaluare a faptei, ci trebuie să o accepte pe cea făcută</w:t>
      </w:r>
      <w:r w:rsidR="00794126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="00EE2777" w:rsidRPr="0044376B">
        <w:rPr>
          <w:rFonts w:ascii="Times New Roman" w:hAnsi="Times New Roman" w:cs="Times New Roman"/>
          <w:sz w:val="28"/>
          <w:szCs w:val="28"/>
        </w:rPr>
        <w:t>De asemenea, aceeaşi situaţie poate să apară</w:t>
      </w:r>
      <w:r w:rsidR="00794126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EE2777" w:rsidRPr="0044376B">
        <w:rPr>
          <w:rFonts w:ascii="Times New Roman" w:hAnsi="Times New Roman" w:cs="Times New Roman"/>
          <w:sz w:val="28"/>
          <w:szCs w:val="28"/>
        </w:rPr>
        <w:t>în cazul diferenţelor de percepţie în privinţa incriminării anumitor fapte</w:t>
      </w:r>
      <w:r w:rsidR="00794126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EE2777" w:rsidRPr="0044376B">
        <w:rPr>
          <w:rFonts w:ascii="Times New Roman" w:hAnsi="Times New Roman" w:cs="Times New Roman"/>
          <w:sz w:val="28"/>
          <w:szCs w:val="28"/>
        </w:rPr>
        <w:t xml:space="preserve">sau în privinţa </w:t>
      </w:r>
      <w:r w:rsidR="00EE2777" w:rsidRPr="00501E63">
        <w:rPr>
          <w:rFonts w:ascii="Times New Roman" w:hAnsi="Times New Roman" w:cs="Times New Roman"/>
          <w:sz w:val="28"/>
          <w:szCs w:val="28"/>
        </w:rPr>
        <w:t>aplicării motivelor de refuz</w:t>
      </w:r>
      <w:r w:rsidR="00794126" w:rsidRPr="00501E63">
        <w:rPr>
          <w:rFonts w:ascii="Times New Roman" w:hAnsi="Times New Roman" w:cs="Times New Roman"/>
          <w:sz w:val="28"/>
          <w:szCs w:val="28"/>
        </w:rPr>
        <w:t xml:space="preserve">. </w:t>
      </w:r>
      <w:r w:rsidR="00EE2777" w:rsidRPr="0044376B">
        <w:rPr>
          <w:rFonts w:ascii="Times New Roman" w:hAnsi="Times New Roman" w:cs="Times New Roman"/>
          <w:sz w:val="28"/>
          <w:szCs w:val="28"/>
        </w:rPr>
        <w:t>În prezenta speţă</w:t>
      </w:r>
      <w:r w:rsidR="00794126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EE2777" w:rsidRPr="0044376B">
        <w:rPr>
          <w:rFonts w:ascii="Times New Roman" w:hAnsi="Times New Roman" w:cs="Times New Roman"/>
          <w:sz w:val="28"/>
          <w:szCs w:val="28"/>
        </w:rPr>
        <w:t>autorităţile olandeze</w:t>
      </w:r>
      <w:r w:rsidR="00816309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EE2777" w:rsidRPr="0044376B">
        <w:rPr>
          <w:rFonts w:ascii="Times New Roman" w:hAnsi="Times New Roman" w:cs="Times New Roman"/>
          <w:sz w:val="28"/>
          <w:szCs w:val="28"/>
        </w:rPr>
        <w:t>nu pot aplica dispoziţiile legislaţiei penale olandeze</w:t>
      </w:r>
      <w:r w:rsidR="00794126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EE2777" w:rsidRPr="0044376B">
        <w:rPr>
          <w:rFonts w:ascii="Times New Roman" w:hAnsi="Times New Roman" w:cs="Times New Roman"/>
          <w:sz w:val="28"/>
          <w:szCs w:val="28"/>
        </w:rPr>
        <w:t>în detrimentul legislaţiei penale greceşti</w:t>
      </w:r>
      <w:r w:rsidR="00794126" w:rsidRPr="0044376B">
        <w:rPr>
          <w:rFonts w:ascii="Times New Roman" w:hAnsi="Times New Roman" w:cs="Times New Roman"/>
          <w:sz w:val="28"/>
          <w:szCs w:val="28"/>
        </w:rPr>
        <w:t>.</w:t>
      </w:r>
    </w:p>
    <w:p w14:paraId="6AAA9672" w14:textId="63ADB7D3" w:rsidR="00794126" w:rsidRDefault="00EE2777" w:rsidP="00501E63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A doua infracţiune este cea de</w:t>
      </w:r>
      <w:r w:rsidR="00794126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i/>
          <w:sz w:val="28"/>
          <w:szCs w:val="28"/>
        </w:rPr>
        <w:t>sabotaj</w:t>
      </w:r>
      <w:r w:rsidR="00794126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Pr="0044376B">
        <w:rPr>
          <w:rFonts w:ascii="Times New Roman" w:hAnsi="Times New Roman" w:cs="Times New Roman"/>
          <w:sz w:val="28"/>
          <w:szCs w:val="28"/>
        </w:rPr>
        <w:t>De asemenea, există o listă cu infracţiuni fiind aplicabile dispoziţiile menţionate anterior în cazul infracţiunii de omor</w:t>
      </w:r>
      <w:r w:rsidR="00794126" w:rsidRPr="0044376B">
        <w:rPr>
          <w:rFonts w:ascii="Times New Roman" w:hAnsi="Times New Roman" w:cs="Times New Roman"/>
          <w:sz w:val="28"/>
          <w:szCs w:val="28"/>
        </w:rPr>
        <w:t>.</w:t>
      </w:r>
      <w:r w:rsidR="008470B0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Minimul special al pedepsei prevăzut în art. 2 alin. 2 este de 3 ani</w:t>
      </w:r>
      <w:r w:rsidR="008470B0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="00F81B65" w:rsidRPr="00501E63">
        <w:rPr>
          <w:rFonts w:ascii="Times New Roman" w:hAnsi="Times New Roman" w:cs="Times New Roman"/>
          <w:sz w:val="28"/>
          <w:szCs w:val="28"/>
        </w:rPr>
        <w:t>Ar avea relevanţă dacă în legislaţia penală olandeză nu ar fi prevăzută infracţiunea de sabotaj</w:t>
      </w:r>
      <w:r w:rsidR="00EA313E" w:rsidRPr="00501E63">
        <w:rPr>
          <w:rFonts w:ascii="Times New Roman" w:hAnsi="Times New Roman" w:cs="Times New Roman"/>
          <w:sz w:val="28"/>
          <w:szCs w:val="28"/>
        </w:rPr>
        <w:t>?</w:t>
      </w:r>
      <w:r w:rsidR="00EA313E">
        <w:rPr>
          <w:rFonts w:ascii="Times New Roman" w:hAnsi="Times New Roman" w:cs="Times New Roman"/>
          <w:sz w:val="28"/>
          <w:szCs w:val="28"/>
        </w:rPr>
        <w:t xml:space="preserve"> (</w:t>
      </w:r>
      <w:r w:rsidRPr="0044376B">
        <w:rPr>
          <w:rFonts w:ascii="Times New Roman" w:hAnsi="Times New Roman" w:cs="Times New Roman"/>
          <w:b/>
          <w:sz w:val="28"/>
          <w:szCs w:val="28"/>
        </w:rPr>
        <w:t>notă pentru formatori</w:t>
      </w:r>
      <w:r w:rsidR="008470B0" w:rsidRPr="0044376B">
        <w:rPr>
          <w:rFonts w:ascii="Times New Roman" w:hAnsi="Times New Roman" w:cs="Times New Roman"/>
          <w:b/>
          <w:sz w:val="28"/>
          <w:szCs w:val="28"/>
        </w:rPr>
        <w:t>:</w:t>
      </w:r>
      <w:r w:rsidR="008470B0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053B83">
        <w:rPr>
          <w:rFonts w:ascii="Times New Roman" w:hAnsi="Times New Roman" w:cs="Times New Roman"/>
          <w:sz w:val="28"/>
          <w:szCs w:val="28"/>
        </w:rPr>
        <w:t>această che</w:t>
      </w:r>
      <w:r w:rsidR="00422B78" w:rsidRPr="0044376B">
        <w:rPr>
          <w:rFonts w:ascii="Times New Roman" w:hAnsi="Times New Roman" w:cs="Times New Roman"/>
          <w:sz w:val="28"/>
          <w:szCs w:val="28"/>
        </w:rPr>
        <w:t>s</w:t>
      </w:r>
      <w:r w:rsidR="00053B83">
        <w:rPr>
          <w:rFonts w:ascii="Times New Roman" w:hAnsi="Times New Roman" w:cs="Times New Roman"/>
          <w:sz w:val="28"/>
          <w:szCs w:val="28"/>
        </w:rPr>
        <w:t>t</w:t>
      </w:r>
      <w:r w:rsidR="00422B78" w:rsidRPr="0044376B">
        <w:rPr>
          <w:rFonts w:ascii="Times New Roman" w:hAnsi="Times New Roman" w:cs="Times New Roman"/>
          <w:sz w:val="28"/>
          <w:szCs w:val="28"/>
        </w:rPr>
        <w:t>iune s-ar putea transforma într-o dezbatere interesantă</w:t>
      </w:r>
      <w:r w:rsidR="008470B0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="00422B78" w:rsidRPr="0044376B">
        <w:rPr>
          <w:rFonts w:ascii="Times New Roman" w:hAnsi="Times New Roman" w:cs="Times New Roman"/>
          <w:sz w:val="28"/>
          <w:szCs w:val="28"/>
        </w:rPr>
        <w:t>În Codul penal olandez nu se regă</w:t>
      </w:r>
      <w:r w:rsidR="00853180">
        <w:rPr>
          <w:rFonts w:ascii="Times New Roman" w:hAnsi="Times New Roman" w:cs="Times New Roman"/>
          <w:sz w:val="28"/>
          <w:szCs w:val="28"/>
        </w:rPr>
        <w:t>se</w:t>
      </w:r>
      <w:r w:rsidR="00422B78" w:rsidRPr="0044376B">
        <w:rPr>
          <w:rFonts w:ascii="Times New Roman" w:hAnsi="Times New Roman" w:cs="Times New Roman"/>
          <w:sz w:val="28"/>
          <w:szCs w:val="28"/>
        </w:rPr>
        <w:t>şte infracţiunea de sabotaj, aceeaşi situaţie putând fi regăsită şi în alte legislaţii ale unor alte stat membre</w:t>
      </w:r>
      <w:r w:rsidR="008470B0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="00422B78" w:rsidRPr="0044376B">
        <w:rPr>
          <w:rFonts w:ascii="Times New Roman" w:hAnsi="Times New Roman" w:cs="Times New Roman"/>
          <w:sz w:val="28"/>
          <w:szCs w:val="28"/>
        </w:rPr>
        <w:t>Cu toate acestea</w:t>
      </w:r>
      <w:r w:rsidR="008470B0" w:rsidRPr="00501E63">
        <w:rPr>
          <w:rFonts w:ascii="Times New Roman" w:hAnsi="Times New Roman" w:cs="Times New Roman"/>
          <w:sz w:val="28"/>
          <w:szCs w:val="28"/>
        </w:rPr>
        <w:t xml:space="preserve">, </w:t>
      </w:r>
      <w:r w:rsidR="00422B78" w:rsidRPr="00501E63">
        <w:rPr>
          <w:rFonts w:ascii="Times New Roman" w:hAnsi="Times New Roman" w:cs="Times New Roman"/>
          <w:sz w:val="28"/>
          <w:szCs w:val="28"/>
        </w:rPr>
        <w:t>acest lucru nu este esenţial</w:t>
      </w:r>
      <w:r w:rsidR="008470B0" w:rsidRPr="00501E63">
        <w:rPr>
          <w:rFonts w:ascii="Times New Roman" w:hAnsi="Times New Roman" w:cs="Times New Roman"/>
          <w:sz w:val="28"/>
          <w:szCs w:val="28"/>
        </w:rPr>
        <w:t xml:space="preserve">. </w:t>
      </w:r>
      <w:r w:rsidR="00422B78" w:rsidRPr="00501E63">
        <w:rPr>
          <w:rFonts w:ascii="Times New Roman" w:hAnsi="Times New Roman" w:cs="Times New Roman"/>
          <w:sz w:val="28"/>
          <w:szCs w:val="28"/>
        </w:rPr>
        <w:t>C</w:t>
      </w:r>
      <w:r w:rsidR="00422B78" w:rsidRPr="0044376B">
        <w:rPr>
          <w:rFonts w:ascii="Times New Roman" w:hAnsi="Times New Roman" w:cs="Times New Roman"/>
          <w:sz w:val="28"/>
          <w:szCs w:val="28"/>
        </w:rPr>
        <w:t>eea ce contează este ca statul membru să bifeze caseta aferentă infracţiunii de sabotaj</w:t>
      </w:r>
      <w:r w:rsidR="008470B0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422B78" w:rsidRPr="0044376B">
        <w:rPr>
          <w:rFonts w:ascii="Times New Roman" w:hAnsi="Times New Roman" w:cs="Times New Roman"/>
          <w:sz w:val="28"/>
          <w:szCs w:val="28"/>
        </w:rPr>
        <w:t>iar, în consecinţă, dispoziţiile leg</w:t>
      </w:r>
      <w:r w:rsidR="00853180">
        <w:rPr>
          <w:rFonts w:ascii="Times New Roman" w:hAnsi="Times New Roman" w:cs="Times New Roman"/>
          <w:sz w:val="28"/>
          <w:szCs w:val="28"/>
        </w:rPr>
        <w:t>is</w:t>
      </w:r>
      <w:r w:rsidR="00422B78" w:rsidRPr="0044376B">
        <w:rPr>
          <w:rFonts w:ascii="Times New Roman" w:hAnsi="Times New Roman" w:cs="Times New Roman"/>
          <w:sz w:val="28"/>
          <w:szCs w:val="28"/>
        </w:rPr>
        <w:t>laţiei naţionale a statului membru de executare nu mai au relevanţă</w:t>
      </w:r>
      <w:r w:rsidR="00EA313E">
        <w:rPr>
          <w:rFonts w:ascii="Times New Roman" w:hAnsi="Times New Roman" w:cs="Times New Roman"/>
          <w:sz w:val="28"/>
          <w:szCs w:val="28"/>
        </w:rPr>
        <w:t>.)</w:t>
      </w:r>
    </w:p>
    <w:p w14:paraId="20E5DE16" w14:textId="77777777" w:rsidR="00501E63" w:rsidRPr="0044376B" w:rsidRDefault="00501E63" w:rsidP="00501E63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5A7486" w14:textId="3DB804EA" w:rsidR="00D94DD6" w:rsidRPr="0044376B" w:rsidRDefault="002733A7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Î</w:t>
      </w:r>
      <w:r w:rsidR="00794126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 xml:space="preserve">4. </w:t>
      </w:r>
      <w:r w:rsidR="005A3EAF" w:rsidRPr="0044376B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Are relevanţă naţionalitatea persoanei solicitate în această procedură</w:t>
      </w:r>
      <w:r w:rsidR="00C87F56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?</w:t>
      </w:r>
    </w:p>
    <w:p w14:paraId="0234FBBF" w14:textId="1A71FF8F" w:rsidR="008C521F" w:rsidRPr="002B5FAE" w:rsidRDefault="00025702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Da</w:t>
      </w:r>
      <w:r w:rsidR="008C521F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9412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aceasta are relevanţă</w:t>
      </w:r>
      <w:r w:rsidR="0079412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Persoana solicitate are naţionalitatea statului membru de executare</w:t>
      </w:r>
      <w:r w:rsidR="0079412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B5C9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 conformitate cu art. 5 alin. 3 din Decizia cadru</w:t>
      </w:r>
      <w:r w:rsidR="0079412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06CDF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autoritate poate dispune predarea persoanei sub condiţia ca</w:t>
      </w:r>
      <w:r w:rsidR="0079412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06CDF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după audiere, </w:t>
      </w:r>
      <w:r w:rsidR="00B06CDF" w:rsidRPr="002B5F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să se înto</w:t>
      </w:r>
      <w:r w:rsidR="0085318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</w:t>
      </w:r>
      <w:r w:rsidR="00B06CDF" w:rsidRPr="002B5F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rcă în Olanda pentru executarea pedepsei privative de libertate</w:t>
      </w:r>
      <w:r w:rsidR="00794126" w:rsidRPr="002B5F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06CDF" w:rsidRPr="002B5F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sau a măsurii </w:t>
      </w:r>
      <w:r w:rsidR="002B5FAE" w:rsidRPr="002B5F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educative</w:t>
      </w:r>
      <w:r w:rsidR="00B06CDF" w:rsidRPr="002B5F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privative de libertate pronunţate de statul membru emitent</w:t>
      </w:r>
      <w:r w:rsidR="00005608" w:rsidRPr="002B5F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B06CDF" w:rsidRPr="002B5FAE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</w:rPr>
        <w:t>obligaţia retrimiterii către expeditor</w:t>
      </w:r>
      <w:r w:rsidR="00005608" w:rsidRPr="002B5F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794126" w:rsidRPr="002B5F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45AA714E" w14:textId="355B5934" w:rsidR="000F5C94" w:rsidRPr="0044376B" w:rsidRDefault="00B06CDF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Participanţii ar trebui să fie în măsură să afle dacă Olanda va cere îndeplinirea acestei condiţii</w:t>
      </w:r>
      <w:r w:rsidR="0079412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E29E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Aceste informaţii nu pot fi regăsite în notificarea Olandei</w:t>
      </w:r>
      <w:r w:rsidR="000E29E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F5C9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vezi</w:t>
      </w:r>
      <w:r w:rsidR="000F5C9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12" w:history="1">
        <w:r w:rsidR="008E64EC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cazu</w:t>
        </w:r>
        <w:r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l </w:t>
        </w:r>
        <w:r w:rsidR="000F5C94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Bob-Dogi </w:t>
        </w:r>
      </w:hyperlink>
      <w:r w:rsidR="000F5C9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r w:rsidR="008E64EC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ci în art. 6 alin. 1</w:t>
      </w:r>
      <w:r w:rsidR="000F5C9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64EC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din legea naţională de implementare</w:t>
      </w:r>
      <w:r w:rsidR="000F5C9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E64EC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Vezi</w:t>
      </w:r>
      <w:r w:rsidR="000F5C9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13" w:history="1">
        <w:r w:rsidR="00853180">
          <w:rPr>
            <w:rStyle w:val="Hyperlink"/>
            <w:rFonts w:ascii="Times New Roman" w:hAnsi="Times New Roman" w:cs="Times New Roman"/>
            <w:sz w:val="28"/>
            <w:szCs w:val="28"/>
          </w:rPr>
          <w:t>bib</w:t>
        </w:r>
        <w:r w:rsidR="008E64EC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lioteca judiciară de pe site-ul web al</w:t>
        </w:r>
        <w:r w:rsidR="000F5C94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r w:rsidR="008E64EC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RJE</w:t>
        </w:r>
        <w:r w:rsidR="000F5C94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F5C9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6CAE598F" w14:textId="0D9EFC98" w:rsidR="00794126" w:rsidRDefault="00304030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2B5FAE">
        <w:rPr>
          <w:rFonts w:ascii="Times New Roman" w:hAnsi="Times New Roman" w:cs="Times New Roman"/>
          <w:sz w:val="28"/>
          <w:szCs w:val="28"/>
        </w:rPr>
        <w:t xml:space="preserve">NB: </w:t>
      </w:r>
      <w:r w:rsidR="00291E95" w:rsidRPr="002B5FAE">
        <w:rPr>
          <w:rFonts w:ascii="Times New Roman" w:hAnsi="Times New Roman" w:cs="Times New Roman"/>
          <w:sz w:val="28"/>
          <w:szCs w:val="28"/>
        </w:rPr>
        <w:t>atenţie</w:t>
      </w:r>
      <w:r w:rsidRPr="002B5FAE">
        <w:rPr>
          <w:rFonts w:ascii="Times New Roman" w:hAnsi="Times New Roman" w:cs="Times New Roman"/>
          <w:sz w:val="28"/>
          <w:szCs w:val="28"/>
        </w:rPr>
        <w:t xml:space="preserve">. </w:t>
      </w:r>
      <w:r w:rsidR="00853180">
        <w:rPr>
          <w:rFonts w:ascii="Times New Roman" w:hAnsi="Times New Roman" w:cs="Times New Roman"/>
          <w:sz w:val="28"/>
          <w:szCs w:val="28"/>
        </w:rPr>
        <w:t>Traducerile leg</w:t>
      </w:r>
      <w:r w:rsidR="00291E95" w:rsidRPr="002B5FAE">
        <w:rPr>
          <w:rFonts w:ascii="Times New Roman" w:hAnsi="Times New Roman" w:cs="Times New Roman"/>
          <w:sz w:val="28"/>
          <w:szCs w:val="28"/>
        </w:rPr>
        <w:t>i</w:t>
      </w:r>
      <w:r w:rsidR="00853180">
        <w:rPr>
          <w:rFonts w:ascii="Times New Roman" w:hAnsi="Times New Roman" w:cs="Times New Roman"/>
          <w:sz w:val="28"/>
          <w:szCs w:val="28"/>
        </w:rPr>
        <w:t>s</w:t>
      </w:r>
      <w:r w:rsidR="00291E95" w:rsidRPr="002B5FAE">
        <w:rPr>
          <w:rFonts w:ascii="Times New Roman" w:hAnsi="Times New Roman" w:cs="Times New Roman"/>
          <w:sz w:val="28"/>
          <w:szCs w:val="28"/>
        </w:rPr>
        <w:t>lațiilor naționale nu sunt mereu actualizate</w:t>
      </w:r>
      <w:r w:rsidRPr="002B5FAE">
        <w:rPr>
          <w:rFonts w:ascii="Times New Roman" w:hAnsi="Times New Roman" w:cs="Times New Roman"/>
          <w:sz w:val="28"/>
          <w:szCs w:val="28"/>
        </w:rPr>
        <w:t>.</w:t>
      </w:r>
      <w:r w:rsidR="00794126" w:rsidRPr="002B5FAE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84EA9" w:rsidRPr="002B5FAE">
        <w:rPr>
          <w:rStyle w:val="Strong"/>
          <w:rFonts w:ascii="Times New Roman" w:hAnsi="Times New Roman" w:cs="Times New Roman"/>
          <w:bCs w:val="0"/>
          <w:sz w:val="28"/>
          <w:szCs w:val="28"/>
        </w:rPr>
        <w:t>Această chestiune impune echipei să anticipeze şi să verifice dacă ambele infracţiuni impun</w:t>
      </w:r>
      <w:r w:rsidR="00794126" w:rsidRPr="002B5FAE">
        <w:rPr>
          <w:rStyle w:val="Strong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84EA9" w:rsidRPr="002B5FAE">
        <w:rPr>
          <w:rStyle w:val="Strong"/>
          <w:rFonts w:ascii="Times New Roman" w:hAnsi="Times New Roman" w:cs="Times New Roman"/>
          <w:bCs w:val="0"/>
          <w:sz w:val="28"/>
          <w:szCs w:val="28"/>
        </w:rPr>
        <w:t>transferul şi predarea în baza Deciziei cadru</w:t>
      </w:r>
      <w:r w:rsidR="00794126" w:rsidRPr="002B5FAE">
        <w:rPr>
          <w:rStyle w:val="Strong"/>
          <w:rFonts w:ascii="Times New Roman" w:hAnsi="Times New Roman" w:cs="Times New Roman"/>
          <w:bCs w:val="0"/>
          <w:sz w:val="28"/>
          <w:szCs w:val="28"/>
        </w:rPr>
        <w:t xml:space="preserve"> 2008/909.</w:t>
      </w:r>
      <w:r w:rsidR="000F5C94" w:rsidRPr="002B5FAE">
        <w:rPr>
          <w:rStyle w:val="Followed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84EA9" w:rsidRPr="002B5FAE">
        <w:rPr>
          <w:rStyle w:val="Strong"/>
          <w:rFonts w:ascii="Times New Roman" w:hAnsi="Times New Roman" w:cs="Times New Roman"/>
          <w:sz w:val="28"/>
          <w:szCs w:val="28"/>
        </w:rPr>
        <w:t>Minimul pedepsei închisorii trebuie să fie de 6 luni (art. 9 alin. 1 lit. h)</w:t>
      </w:r>
      <w:r w:rsidR="00411AAA" w:rsidRPr="002B5FAE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14:paraId="4F30E4EB" w14:textId="77777777" w:rsidR="000928BF" w:rsidRPr="002B5FAE" w:rsidRDefault="000928BF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Cs w:val="0"/>
          <w:sz w:val="28"/>
          <w:szCs w:val="28"/>
        </w:rPr>
      </w:pPr>
    </w:p>
    <w:p w14:paraId="77AEA866" w14:textId="0CB55C92" w:rsidR="00D94DD6" w:rsidRPr="0044376B" w:rsidRDefault="002733A7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Î</w:t>
      </w:r>
      <w:r w:rsidR="00005608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 xml:space="preserve">5. </w:t>
      </w:r>
      <w:r w:rsidR="005A3EAF" w:rsidRPr="0044376B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Persoana solicitată va fi reţinută pe parcursul derulării întregii proceduri</w:t>
      </w:r>
      <w:r w:rsidR="00C87F56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?</w:t>
      </w:r>
    </w:p>
    <w:p w14:paraId="027F4F2A" w14:textId="1D4DC51F" w:rsidR="0027629A" w:rsidRPr="0044376B" w:rsidRDefault="00084EA9" w:rsidP="0065667B">
      <w:pPr>
        <w:spacing w:after="16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Răspunsul este dat de dispoziţiile art. 12 al Deciziei cadru</w:t>
      </w:r>
      <w:r w:rsidR="0000560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70562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autoritatea de executare decide acest lucru, în conformitate cu dispoziţiile legislaţiei naţionale</w:t>
      </w:r>
      <w:r w:rsidR="0000560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Fonts w:ascii="Times New Roman" w:hAnsi="Times New Roman" w:cs="Times New Roman"/>
          <w:sz w:val="28"/>
          <w:szCs w:val="28"/>
        </w:rPr>
        <w:t>Vezi</w:t>
      </w:r>
      <w:r w:rsidR="000F5C94" w:rsidRPr="0044376B">
        <w:rPr>
          <w:rFonts w:ascii="Times New Roman" w:hAnsi="Times New Roman" w:cs="Times New Roman"/>
        </w:rPr>
        <w:t xml:space="preserve"> </w:t>
      </w:r>
      <w:hyperlink r:id="rId14" w:history="1">
        <w:r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cazul L</w:t>
        </w:r>
        <w:r w:rsidR="000F5C94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anigan (C-237/15 PPU)</w:t>
        </w:r>
      </w:hyperlink>
      <w:r w:rsidR="00304030" w:rsidRPr="0044376B">
        <w:rPr>
          <w:rFonts w:ascii="Times New Roman" w:hAnsi="Times New Roman" w:cs="Times New Roman"/>
          <w:sz w:val="28"/>
          <w:szCs w:val="28"/>
        </w:rPr>
        <w:t>.</w:t>
      </w:r>
      <w:r w:rsidR="00304030" w:rsidRPr="0044376B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690CA658" w14:textId="2BCEF3A2" w:rsidR="00005608" w:rsidRPr="0044376B" w:rsidRDefault="00705626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Formatorul poate propune participanţilor să verifice practica statului membru în cauză, precum şi practica statului membru de origine al participantului</w:t>
      </w:r>
      <w:r w:rsidR="00005608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="001203AA" w:rsidRPr="00826B47">
        <w:rPr>
          <w:rFonts w:ascii="Times New Roman" w:hAnsi="Times New Roman" w:cs="Times New Roman"/>
          <w:sz w:val="28"/>
          <w:szCs w:val="28"/>
        </w:rPr>
        <w:t xml:space="preserve">De cele mai multe ori, statele membre consideră că persoana solicitată ar pierde dreptul prevăzut în art. 5 alin. </w:t>
      </w:r>
      <w:r w:rsidR="00005608" w:rsidRPr="00826B47">
        <w:rPr>
          <w:rFonts w:ascii="Times New Roman" w:hAnsi="Times New Roman" w:cs="Times New Roman"/>
          <w:sz w:val="28"/>
          <w:szCs w:val="28"/>
        </w:rPr>
        <w:t>3</w:t>
      </w:r>
      <w:r w:rsidR="001203AA" w:rsidRPr="00826B47">
        <w:rPr>
          <w:rFonts w:ascii="Times New Roman" w:hAnsi="Times New Roman" w:cs="Times New Roman"/>
          <w:sz w:val="28"/>
          <w:szCs w:val="28"/>
        </w:rPr>
        <w:t>, şi ar putea reprezenta un motiv să nu îşi reţină proprii resortisanţi până la procedura de predare</w:t>
      </w:r>
      <w:r w:rsidR="00005608" w:rsidRPr="0044376B">
        <w:rPr>
          <w:rFonts w:ascii="Times New Roman" w:hAnsi="Times New Roman" w:cs="Times New Roman"/>
          <w:sz w:val="28"/>
          <w:szCs w:val="28"/>
        </w:rPr>
        <w:t>.</w:t>
      </w:r>
    </w:p>
    <w:p w14:paraId="003D55C7" w14:textId="77777777" w:rsidR="000928BF" w:rsidRDefault="000928BF" w:rsidP="000928BF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</w:pPr>
    </w:p>
    <w:p w14:paraId="7D791D1A" w14:textId="39EAD014" w:rsidR="00D94DD6" w:rsidRPr="0044376B" w:rsidRDefault="002733A7" w:rsidP="000928BF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Î</w:t>
      </w:r>
      <w:r w:rsidR="00005608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 xml:space="preserve">6. </w:t>
      </w:r>
      <w:r w:rsidR="005A3EAF" w:rsidRPr="0044376B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Care dintre autorităţile ambelor state vor fi implicate în punerea în executare a mandatului european de arestare</w:t>
      </w:r>
      <w:r w:rsidR="00C87F56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?</w:t>
      </w:r>
    </w:p>
    <w:p w14:paraId="2A5E6DC0" w14:textId="1175F7B9" w:rsidR="001540EB" w:rsidRPr="0044376B" w:rsidRDefault="00F630D3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Autoritatea emitentă este</w:t>
      </w:r>
      <w:r w:rsidR="0000560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Parchetul de pe lângă Curtea de Apel a Cretei de Est</w:t>
      </w:r>
      <w:r w:rsidR="0000560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ale cărui date de contact se regăsesc în Atlasul judiciar</w:t>
      </w:r>
      <w:r w:rsidR="0000560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54396F" w:rsidRPr="0044376B" w14:paraId="08CAEFC3" w14:textId="77777777" w:rsidTr="00081900">
        <w:trPr>
          <w:trHeight w:val="85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299B" w14:textId="4B148D4D" w:rsidR="0054396F" w:rsidRPr="0044376B" w:rsidRDefault="00F630D3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Nume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1540EB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540EB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376B">
              <w:rPr>
                <w:rFonts w:ascii="Times New Roman" w:hAnsi="Times New Roman" w:cs="Times New Roman"/>
                <w:sz w:val="28"/>
                <w:szCs w:val="28"/>
              </w:rPr>
              <w:t xml:space="preserve">Parchetul de pe lângă Curtea de Apel a Cretei de Est </w:t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>(Eisaggelia Efeton Anatolikis Kritis)</w:t>
            </w:r>
          </w:p>
          <w:p w14:paraId="7239E464" w14:textId="1450AEEF" w:rsidR="0054396F" w:rsidRPr="0044376B" w:rsidRDefault="00F630D3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Adresa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1540EB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540EB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>Plateia Daskalogianni</w:t>
            </w:r>
          </w:p>
          <w:p w14:paraId="31FBBC4D" w14:textId="1D784456" w:rsidR="0054396F" w:rsidRPr="0044376B" w:rsidRDefault="00F630D3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Serviciu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(</w:t>
            </w: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Divizie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):</w:t>
            </w:r>
          </w:p>
          <w:p w14:paraId="2173A613" w14:textId="646E1D4E" w:rsidR="0054396F" w:rsidRPr="0044376B" w:rsidRDefault="00F630D3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Oraş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1540EB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ab/>
            </w:r>
            <w:r w:rsidR="001540EB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540EB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>Irakleio</w:t>
            </w:r>
          </w:p>
          <w:p w14:paraId="6CB6E10B" w14:textId="5D93F3CA" w:rsidR="0054396F" w:rsidRPr="0044376B" w:rsidRDefault="00F630D3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Cod poştal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1540EB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ab/>
            </w: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         </w:t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>71201</w:t>
            </w:r>
          </w:p>
          <w:p w14:paraId="3EE46167" w14:textId="1D612EF0" w:rsidR="001540EB" w:rsidRPr="0044376B" w:rsidRDefault="00F630D3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Număr de telefon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>+30 2810 247813</w:t>
            </w:r>
          </w:p>
          <w:p w14:paraId="5A797060" w14:textId="0F2599BF" w:rsidR="0054396F" w:rsidRPr="0044376B" w:rsidRDefault="00F630D3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Telefon mobil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</w:p>
          <w:p w14:paraId="7FD90968" w14:textId="29664F02" w:rsidR="001540EB" w:rsidRPr="0044376B" w:rsidRDefault="00F630D3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Număr de fax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1540EB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>+30 2810 247813</w:t>
            </w:r>
          </w:p>
          <w:p w14:paraId="444AE89F" w14:textId="68F56700" w:rsidR="0054396F" w:rsidRPr="0044376B" w:rsidRDefault="00F630D3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Adresă de mail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1540EB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>eisefankr@yahoo.gr</w:t>
            </w:r>
          </w:p>
        </w:tc>
      </w:tr>
    </w:tbl>
    <w:p w14:paraId="3AF3D151" w14:textId="32A30F99" w:rsidR="0054396F" w:rsidRPr="0044376B" w:rsidRDefault="004C6D7E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928B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În cazul în care procurorul are competenţa materială de a emite un mandat european de arestare</w:t>
      </w:r>
      <w:r w:rsidR="0054396F" w:rsidRPr="000928B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28B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sau este necesară o hotărâre a unei instanţe sau a unui judecător</w:t>
      </w:r>
      <w:r w:rsidR="0054396F" w:rsidRPr="000928B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0928B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autoritatea respectivă trebuie să fie la rândul ei implicată în acest proces</w:t>
      </w:r>
      <w:r w:rsidR="0054396F" w:rsidRPr="000928B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4764B" w:rsidRPr="000928B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Auto</w:t>
      </w:r>
      <w:r w:rsidR="00BA52F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ritatea de executare este aceeaş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i pentru toată ţara</w:t>
      </w:r>
      <w:r w:rsidR="0054396F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54396F" w:rsidRPr="0044376B" w14:paraId="7AEFCC87" w14:textId="77777777" w:rsidTr="00081900">
        <w:trPr>
          <w:trHeight w:val="3203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E7DE" w14:textId="44C7C110" w:rsidR="0054396F" w:rsidRPr="0044376B" w:rsidRDefault="004C6D7E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Nume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2902B5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902B5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>Officier van Justitie te Amsterdam (</w:t>
            </w:r>
            <w:r w:rsidRPr="0044376B">
              <w:rPr>
                <w:rFonts w:ascii="Times New Roman" w:hAnsi="Times New Roman" w:cs="Times New Roman"/>
                <w:sz w:val="28"/>
                <w:szCs w:val="28"/>
              </w:rPr>
              <w:t>Autoritate centrală MEA</w:t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>) IRC Amsterdam</w:t>
            </w:r>
          </w:p>
          <w:p w14:paraId="62190883" w14:textId="4728B11B" w:rsidR="0054396F" w:rsidRPr="0044376B" w:rsidRDefault="004C6D7E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Adresă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2902B5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902B5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>Postbus 115</w:t>
            </w:r>
          </w:p>
          <w:p w14:paraId="756873C3" w14:textId="26167974" w:rsidR="002902B5" w:rsidRPr="0044376B" w:rsidRDefault="004C6D7E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Serviciu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(</w:t>
            </w: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Divizie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):</w:t>
            </w:r>
          </w:p>
          <w:p w14:paraId="432DE871" w14:textId="68E709ED" w:rsidR="0054396F" w:rsidRPr="0044376B" w:rsidRDefault="002902B5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C6D7E" w:rsidRPr="0044376B">
              <w:rPr>
                <w:rFonts w:ascii="Times New Roman" w:hAnsi="Times New Roman" w:cs="Times New Roman"/>
                <w:sz w:val="28"/>
                <w:szCs w:val="28"/>
              </w:rPr>
              <w:t>Autoritate centrală</w:t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D7E" w:rsidRPr="0044376B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D7E" w:rsidRPr="0044376B">
              <w:rPr>
                <w:rFonts w:ascii="Times New Roman" w:hAnsi="Times New Roman" w:cs="Times New Roman"/>
                <w:sz w:val="28"/>
                <w:szCs w:val="28"/>
              </w:rPr>
              <w:t>MEA</w:t>
            </w:r>
          </w:p>
          <w:p w14:paraId="533B0068" w14:textId="4C2E2F82" w:rsidR="0054396F" w:rsidRPr="0044376B" w:rsidRDefault="004C6D7E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Oraş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2902B5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ab/>
            </w:r>
            <w:r w:rsidR="002902B5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902B5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>Amsterdam</w:t>
            </w:r>
          </w:p>
          <w:p w14:paraId="198B68F4" w14:textId="123886C2" w:rsidR="0054396F" w:rsidRPr="0044376B" w:rsidRDefault="004C6D7E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Cod poştal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2902B5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ab/>
            </w:r>
            <w:r w:rsidR="002902B5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>1000AC</w:t>
            </w:r>
          </w:p>
          <w:p w14:paraId="144623F2" w14:textId="757E143C" w:rsidR="002902B5" w:rsidRPr="0044376B" w:rsidRDefault="004C6D7E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Număr de telefon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>+31 88 6991270</w:t>
            </w:r>
          </w:p>
          <w:p w14:paraId="61DDC371" w14:textId="0597F8A3" w:rsidR="0054396F" w:rsidRPr="0044376B" w:rsidRDefault="004C6D7E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Telefon mobil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2902B5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>+316 53332848</w:t>
            </w:r>
          </w:p>
          <w:p w14:paraId="139FBFAA" w14:textId="28A245EE" w:rsidR="002902B5" w:rsidRPr="0044376B" w:rsidRDefault="004C6D7E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Număr de fax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</w:p>
          <w:p w14:paraId="728888AA" w14:textId="1CA22C3D" w:rsidR="0054396F" w:rsidRPr="0044376B" w:rsidRDefault="004C6D7E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Adresă de mail</w:t>
            </w:r>
            <w:r w:rsidR="0054396F"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:</w:t>
            </w:r>
            <w:r w:rsidR="002902B5" w:rsidRPr="004437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96F" w:rsidRPr="0044376B">
              <w:rPr>
                <w:rFonts w:ascii="Times New Roman" w:hAnsi="Times New Roman" w:cs="Times New Roman"/>
                <w:sz w:val="28"/>
                <w:szCs w:val="28"/>
              </w:rPr>
              <w:t>eab.amsterdam@om.nl</w:t>
            </w:r>
          </w:p>
        </w:tc>
      </w:tr>
    </w:tbl>
    <w:p w14:paraId="2A2E852D" w14:textId="1C2D5AB4" w:rsidR="0027629A" w:rsidRDefault="0054396F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NB </w:t>
      </w:r>
      <w:r w:rsidR="004C6D7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pentru formatori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4C6D7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puteţi diversifica şi alege un alt stat membru în care nu există o autoritate centrală pentru mandatele europene de arestare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4C6D7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Ulterior, trebuie să stabiliţi domiciliul Dr. Drion pe teritoriul respectivului stat membru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E271ED1" w14:textId="77777777" w:rsidR="00265878" w:rsidRPr="0044376B" w:rsidRDefault="00265878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B7E118" w14:textId="2D25D9EC" w:rsidR="00722354" w:rsidRPr="0044376B" w:rsidRDefault="002733A7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Î</w:t>
      </w:r>
      <w:r w:rsidR="0054396F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 xml:space="preserve">7. </w:t>
      </w:r>
      <w:r w:rsidR="005A3EAF" w:rsidRPr="0044376B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Care este procedura impusă de dispoziţiile legislaţiei olandeze şi în ce termen se realizează</w:t>
      </w:r>
      <w:r w:rsidR="00C87F56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?</w:t>
      </w:r>
    </w:p>
    <w:p w14:paraId="4F7E675E" w14:textId="1A67EEB9" w:rsidR="00682CB5" w:rsidRDefault="00F4554A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Procedura va avea loc în </w:t>
      </w:r>
      <w:r w:rsidR="0026587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fața instanței</w:t>
      </w:r>
      <w:r w:rsidRPr="0044376B">
        <w:rPr>
          <w:rStyle w:val="Strong"/>
          <w:rFonts w:ascii="Times New Roman" w:hAnsi="Times New Roman" w:cs="Times New Roman"/>
          <w:b w:val="0"/>
          <w:bCs w:val="0"/>
          <w:color w:val="FFC000"/>
          <w:sz w:val="28"/>
          <w:szCs w:val="28"/>
        </w:rPr>
        <w:t xml:space="preserve"> </w:t>
      </w:r>
      <w:r w:rsidRPr="0026587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olandez</w:t>
      </w:r>
      <w:r w:rsidR="00265878" w:rsidRPr="0026587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e</w:t>
      </w:r>
      <w:r w:rsidR="00FE45E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 baza regulilor impuse de decizia cadru şi în baza legii naţionale de implementare</w:t>
      </w:r>
      <w:r w:rsidR="00FE45E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Este necesar să se verifice termenele limită prevăzute în art.</w:t>
      </w:r>
      <w:r w:rsidR="00FE45E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17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din decizia cadru</w:t>
      </w:r>
      <w:r w:rsidR="00FE45E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Drept urmare, hotărârea ar trebui luată în termen de 10 zile în cazul consimţământului persoanei</w:t>
      </w:r>
      <w:r w:rsidR="00FE45E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E340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(NB; </w:t>
      </w:r>
      <w:r w:rsidRPr="0026587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dacă este timp</w:t>
      </w:r>
      <w:r w:rsidR="006E3406" w:rsidRPr="0026587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26587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 fi un exerciţiu eficient să se pună în dezbatere conţinutul procedurii consimţământului</w:t>
      </w:r>
      <w:r w:rsidR="000C0AD0" w:rsidRPr="0026587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şi consecinţele acesteia</w:t>
      </w:r>
      <w:r w:rsidR="006E3406" w:rsidRPr="0026587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26587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E340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0AD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 alte cazuri</w:t>
      </w:r>
      <w:r w:rsidR="0026587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C0AD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hotărârea trebuie luată în termen de 60 de zile, iar, în situaţii excepţionale</w:t>
      </w:r>
      <w:r w:rsidR="00FE45E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0C0AD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termenul poate fi prelungit la 90 de zile</w:t>
      </w:r>
      <w:r w:rsidR="00FE45E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0C0AD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De regulă</w:t>
      </w:r>
      <w:r w:rsidR="006E340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0C0AD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statele membre nu reuşesc să respecte termenele limită prevăzute</w:t>
      </w:r>
      <w:r w:rsidR="00FE45E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0C0AD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Vezi</w:t>
      </w:r>
      <w:r w:rsidR="0008190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0AD0" w:rsidRPr="0044376B">
        <w:rPr>
          <w:rFonts w:ascii="Times New Roman" w:hAnsi="Times New Roman" w:cs="Times New Roman"/>
          <w:sz w:val="28"/>
          <w:szCs w:val="28"/>
        </w:rPr>
        <w:t>p. 9 şi</w:t>
      </w:r>
      <w:r w:rsidR="00081900" w:rsidRPr="0044376B">
        <w:rPr>
          <w:rFonts w:ascii="Times New Roman" w:hAnsi="Times New Roman" w:cs="Times New Roman"/>
          <w:sz w:val="28"/>
          <w:szCs w:val="28"/>
        </w:rPr>
        <w:t xml:space="preserve"> 10 </w:t>
      </w:r>
      <w:r w:rsidR="000C0AD0" w:rsidRPr="0044376B">
        <w:rPr>
          <w:rFonts w:ascii="Times New Roman" w:hAnsi="Times New Roman" w:cs="Times New Roman"/>
          <w:sz w:val="28"/>
          <w:szCs w:val="28"/>
        </w:rPr>
        <w:t>din</w:t>
      </w:r>
      <w:r w:rsidR="00081900" w:rsidRPr="00443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0C0AD0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acest</w:t>
        </w:r>
      </w:hyperlink>
      <w:r w:rsidR="000C0AD0" w:rsidRPr="0044376B">
        <w:rPr>
          <w:rStyle w:val="Hyperlink"/>
          <w:rFonts w:ascii="Times New Roman" w:hAnsi="Times New Roman" w:cs="Times New Roman"/>
          <w:sz w:val="28"/>
          <w:szCs w:val="28"/>
        </w:rPr>
        <w:t xml:space="preserve"> raport statistic privind Olanda</w:t>
      </w:r>
      <w:r w:rsidR="0008190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0C0AD0" w:rsidRPr="0044376B">
        <w:rPr>
          <w:rFonts w:ascii="Times New Roman" w:hAnsi="Times New Roman" w:cs="Times New Roman"/>
          <w:sz w:val="28"/>
          <w:szCs w:val="28"/>
        </w:rPr>
        <w:t>Decizia cadru nu prevede vreo sancţiune pentru nerespectarea termenelor limită</w:t>
      </w:r>
      <w:r w:rsidR="00FE45E8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="000C0AD0" w:rsidRPr="0044376B">
        <w:rPr>
          <w:rFonts w:ascii="Times New Roman" w:hAnsi="Times New Roman" w:cs="Times New Roman"/>
          <w:sz w:val="28"/>
          <w:szCs w:val="28"/>
        </w:rPr>
        <w:t>Cu toate acestea</w:t>
      </w:r>
      <w:r w:rsidR="00FE45E8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0C0AD0" w:rsidRPr="0044376B">
        <w:rPr>
          <w:rFonts w:ascii="Times New Roman" w:hAnsi="Times New Roman" w:cs="Times New Roman"/>
          <w:sz w:val="28"/>
          <w:szCs w:val="28"/>
        </w:rPr>
        <w:t>aceste cazuri trebuie raportate la</w:t>
      </w:r>
      <w:r w:rsidR="00FE45E8" w:rsidRPr="0044376B">
        <w:rPr>
          <w:rFonts w:ascii="Times New Roman" w:hAnsi="Times New Roman" w:cs="Times New Roman"/>
          <w:sz w:val="28"/>
          <w:szCs w:val="28"/>
        </w:rPr>
        <w:t xml:space="preserve"> Eurojust, </w:t>
      </w:r>
      <w:r w:rsidR="000C0AD0" w:rsidRPr="0044376B">
        <w:rPr>
          <w:rFonts w:ascii="Times New Roman" w:hAnsi="Times New Roman" w:cs="Times New Roman"/>
          <w:sz w:val="28"/>
          <w:szCs w:val="28"/>
        </w:rPr>
        <w:t>vezi art. 17 alin. 7</w:t>
      </w:r>
      <w:r w:rsidR="00FE45E8" w:rsidRPr="0044376B">
        <w:rPr>
          <w:rFonts w:ascii="Times New Roman" w:hAnsi="Times New Roman" w:cs="Times New Roman"/>
          <w:sz w:val="28"/>
          <w:szCs w:val="28"/>
        </w:rPr>
        <w:t>.</w:t>
      </w:r>
    </w:p>
    <w:p w14:paraId="203E005B" w14:textId="77777777" w:rsidR="00265878" w:rsidRPr="0044376B" w:rsidRDefault="00265878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F5073A4" w14:textId="5C755D12" w:rsidR="00294CB3" w:rsidRPr="0044376B" w:rsidRDefault="002733A7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Î</w:t>
      </w:r>
      <w:r w:rsidR="00FE45E8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 xml:space="preserve">8. </w:t>
      </w:r>
      <w:r w:rsidR="005A3EAF" w:rsidRPr="0044376B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Care este rolul autorităţilor greceşti în procedura de predare</w:t>
      </w:r>
      <w:r w:rsidR="00C87F56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?</w:t>
      </w:r>
    </w:p>
    <w:p w14:paraId="6B59DC8B" w14:textId="6FE2064C" w:rsidR="00081900" w:rsidRDefault="000C0AD0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Acestea trebui să fie disponibile pentru a răspunde oricăror întrebări şi nelămuriri</w:t>
      </w:r>
      <w:r w:rsidR="00FE45E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Pentru alte chestiuni nu au nicio responsabilitate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5A07209" w14:textId="77777777" w:rsidR="00265878" w:rsidRPr="0044376B" w:rsidRDefault="00265878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16EBD40" w14:textId="30447305" w:rsidR="00294CB3" w:rsidRPr="0044376B" w:rsidRDefault="002733A7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Î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 xml:space="preserve">9. </w:t>
      </w:r>
      <w:r w:rsidR="005A3EAF" w:rsidRPr="0044376B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În ce moment şi în ce modalitate va avea loc procedura de predare</w:t>
      </w:r>
      <w:r w:rsidR="00C87F56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?</w:t>
      </w:r>
    </w:p>
    <w:p w14:paraId="405F2AB9" w14:textId="4D97B911" w:rsidR="009C0A52" w:rsidRDefault="00DB5F8D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Predarea trebuie să aibă loc </w:t>
      </w:r>
      <w:r w:rsidR="0047527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de</w:t>
      </w:r>
      <w:r w:rsidR="00F15EB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îndată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 la o dată stabilită de autorităţile implicate (art.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23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alin. 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 conformitate cu art. 10 alin. 2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nu poate fi mai târziu de 10 zile după hotărârea privind predarea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Vă rugăm să </w:t>
      </w:r>
      <w:r w:rsidR="0047527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rețineri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că perioada poate fi prelungită, iar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art. 23 alin. 4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reglementează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amânarea predării pentru motive umanitare, precum boala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Decizia cadru nu prevede modalitatea în care procesul de predare efectivă are loc. </w:t>
      </w:r>
      <w:r w:rsidR="00BC319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De asemenea, acest aspect este stabilit de autorităţile implicate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C319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Cel mai comun mod este o cursă aeriană între cele două state membre,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19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 parcursul căreia persoana solicitată va fi însoţită de poliţie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C319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Țările vecine pot efectua predarea la un punct comun de trecere a frontierei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0A38EBA" w14:textId="77777777" w:rsidR="00475272" w:rsidRPr="0044376B" w:rsidRDefault="00475272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FEB788" w14:textId="3E6BCE3D" w:rsidR="000F6045" w:rsidRPr="0044376B" w:rsidRDefault="002733A7" w:rsidP="00475272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Î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 xml:space="preserve">10. </w:t>
      </w:r>
      <w:r w:rsidR="005A3EAF" w:rsidRPr="0044376B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Să presupunem că procedura de predare este efectuată cu succes. În ce condiţii poate procurorul grec să-l incrimineze pe Drion pentru o infracţiune ulterioară de furt</w:t>
      </w:r>
      <w:r w:rsidR="00C87F56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?</w:t>
      </w:r>
    </w:p>
    <w:p w14:paraId="43D3ACF4" w14:textId="031B67F5" w:rsidR="006E3406" w:rsidRPr="0044376B" w:rsidRDefault="005B5343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Această ipoteză declanşează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analiza regulii specialităţii</w:t>
      </w:r>
      <w:r w:rsidR="009C0A5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care protejează persoana solicitată</w:t>
      </w:r>
      <w:r w:rsidR="00587B4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împotriva</w:t>
      </w:r>
      <w:r w:rsidR="00587B4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punerii în mişcare a acţiunii penale împotriva sa</w:t>
      </w:r>
      <w:r w:rsidR="00587B4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pentru o infracţiune în cazul căreia nu a fost solicitată predare</w:t>
      </w:r>
      <w:r w:rsidR="00587B4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A52FC">
        <w:rPr>
          <w:rStyle w:val="Strong"/>
          <w:rFonts w:ascii="Times New Roman" w:hAnsi="Times New Roman" w:cs="Times New Roman"/>
          <w:bCs w:val="0"/>
          <w:sz w:val="28"/>
          <w:szCs w:val="28"/>
        </w:rPr>
        <w:t>sau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pentru care cererea de predare a fost respinsă</w:t>
      </w:r>
      <w:r w:rsidR="00587B4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2A9EF099" w14:textId="5768F554" w:rsidR="006E3406" w:rsidRPr="0044376B" w:rsidRDefault="00F749AA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După predare</w:t>
      </w:r>
      <w:r w:rsidR="006E340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este necesar solicitarea consimţământului pentru alte infracţiuni</w:t>
      </w:r>
      <w:r w:rsidR="006E340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Art. 27 alin. 4</w:t>
      </w:r>
      <w:r w:rsidR="006E340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reglementează o astfel de procedură</w:t>
      </w:r>
      <w:r w:rsidR="006E340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 practică</w:t>
      </w:r>
      <w:r w:rsidR="006E340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A52FC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evalu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area va fi în felul următor</w:t>
      </w:r>
      <w:r w:rsidR="006E340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E80DCE6" w14:textId="3917124C" w:rsidR="00587B46" w:rsidRPr="0044376B" w:rsidRDefault="00F749AA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Furtul nu se află pe lista de infracţiuni</w:t>
      </w:r>
      <w:r w:rsidR="006E340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Astfel, se aplică dispoziţiile art. 2 alin. 4 şi trebuie verificată dubla incriminare</w:t>
      </w:r>
      <w:r w:rsidR="006E340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Autoritatea emitentă trebuie să indice dispoziţiile legale aplicabile</w:t>
      </w:r>
      <w:r w:rsidR="006E340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să ver</w:t>
      </w:r>
      <w:r w:rsidR="00592A0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i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fice dacă este îndeplinită condiţia privind minimul de 12 luni al pedepsei cu închisoarea şi să ofere o descriere completă a faptelor</w:t>
      </w:r>
      <w:r w:rsidR="006E340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Autoritatea de executare va verifica dacă fapta constituie infracţiuni în conformitate cu dispoziţiile penale olandeze</w:t>
      </w:r>
      <w:r w:rsidR="006E340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Cel mai probabil infracţiunea de furt îndeplineşte condiţiile menţionate mai sus, iar consimţământul necesar va fi dat</w:t>
      </w:r>
      <w:r w:rsidR="006E340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0A729B1" w14:textId="00B259F4" w:rsidR="00587B46" w:rsidRPr="0044376B" w:rsidRDefault="00F60FAA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7527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Înainte de emiterea MEA</w:t>
      </w:r>
      <w:r w:rsidR="00587B46" w:rsidRPr="0047527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7527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personalul instanţelor judecătoreşti sau al parchetelor din statul membru emitent ar trebui să verifice dacă există mai multe infracţiuni reţinute în sarcina persoanei solicitate</w:t>
      </w:r>
      <w:r w:rsidR="00587B46" w:rsidRPr="0047527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 caz afirmativ, ar trebui să se analizeze oportunitatea adăugării celorlalte infracţiuni în cu</w:t>
      </w:r>
      <w:r w:rsidR="00592A0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insul MEA</w:t>
      </w:r>
      <w:r w:rsidR="00587B4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47527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Inclu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derea tuturor infracţiunilor</w:t>
      </w:r>
      <w:r w:rsidR="00587B4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 facilita analizarea acestora în cadrul unei singure proceduri şi ar elimina riscul unor cereri ulterioare</w:t>
      </w:r>
      <w:r w:rsidR="00587B4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6DDF4F0" w14:textId="58CF2604" w:rsidR="00E22DFC" w:rsidRPr="0044376B" w:rsidRDefault="00F724B6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Ulterior predării, personalul instanţelor judecătoreşti din statul membru emitent în care se desfăşoară procedurile penale</w:t>
      </w:r>
      <w:r w:rsidR="00587B4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trebuie să acorde atenţie limitelor impuse de regula specialităţii prevăzută în art. 27 alin. 2</w:t>
      </w:r>
      <w:r w:rsidR="00587B4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7527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Nu poate fi pusă în mişcare acţiunea penală</w:t>
      </w:r>
      <w:r w:rsidR="00587B46" w:rsidRPr="00475272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NB</w:t>
      </w:r>
      <w:r w:rsidR="00B76B91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art. 27 alin. 1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permite renunţarea la această limitare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dar numai între statele membre care au făcut o astfel de notificare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Participanţii pot verifica dacă există o astfel de situaţie între statele membre implicate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CC234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Participanţii trebuie să cunoască dacă propriul lor stat a făcut o astfel de notificare</w:t>
      </w:r>
      <w:r w:rsidR="00CC234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DF233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Răspunsul este că, nici Grecia, nici Olanda nu au făcut o astfel de notificare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F233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 practică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DF233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foarte puţine state membre au făcut o astfel de notificare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NB: </w:t>
      </w:r>
      <w:r w:rsidR="00DF233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 cazul în care Decizia cadru face referire la o notificare,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233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vă rugăm să reţineţi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233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că o notificare poate fi modificată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F233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Cu alte cuvinte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r w:rsidR="00DF233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verificaţi de două ori site-ul web al RJE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233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 privinţa acestei chestiuni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F233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Vezi, de exemplu,</w:t>
      </w:r>
      <w:r w:rsidR="007F4950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233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ultima modificare a </w:t>
      </w:r>
      <w:hyperlink r:id="rId16" w:history="1">
        <w:r w:rsidR="00DF2333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notificării</w:t>
        </w:r>
        <w:r w:rsidR="007F4950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r w:rsidR="00DF2333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României</w:t>
        </w:r>
        <w:r w:rsidR="007F4950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r w:rsidR="00DF2333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din</w:t>
        </w:r>
        <w:r w:rsidR="007F4950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13 </w:t>
        </w:r>
        <w:r w:rsidR="00DF2333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martie</w:t>
        </w:r>
        <w:r w:rsidR="007F4950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2020</w:t>
        </w:r>
      </w:hyperlink>
      <w:r w:rsidR="00D51D85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E40FA2A" w14:textId="77777777" w:rsidR="0074255B" w:rsidRDefault="00E22DFC" w:rsidP="0065667B">
      <w:pPr>
        <w:spacing w:after="16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6E7B88ED" w14:textId="7DC9FD63" w:rsidR="007F4950" w:rsidRPr="0044376B" w:rsidRDefault="00D51D85" w:rsidP="0065667B">
      <w:pPr>
        <w:spacing w:after="16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A. II. </w:t>
      </w:r>
      <w:r w:rsidR="002733A7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Exerciţii</w:t>
      </w:r>
      <w:r w:rsidR="007F4950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:</w:t>
      </w:r>
    </w:p>
    <w:p w14:paraId="1440F140" w14:textId="00458D41" w:rsidR="007019D9" w:rsidRPr="0044376B" w:rsidRDefault="007A1310" w:rsidP="0065667B">
      <w:pPr>
        <w:spacing w:after="16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Identificaţi atât autorităţile competente de executare, cât şi limba în care urmează a fi completat Certificatul</w:t>
      </w:r>
      <w:r w:rsidR="007F4950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:</w:t>
      </w:r>
    </w:p>
    <w:p w14:paraId="1A73CF30" w14:textId="7D55A779" w:rsidR="007019D9" w:rsidRPr="0044376B" w:rsidRDefault="00F46BD6" w:rsidP="0065667B">
      <w:pPr>
        <w:spacing w:after="160" w:line="240" w:lineRule="auto"/>
        <w:jc w:val="both"/>
        <w:rPr>
          <w:rFonts w:ascii="Times New Roman" w:hAnsi="Times New Roman" w:cs="Times New Roman"/>
        </w:rPr>
      </w:pPr>
      <w:r w:rsidRPr="0044376B">
        <w:rPr>
          <w:rFonts w:ascii="Times New Roman" w:hAnsi="Times New Roman" w:cs="Times New Roman"/>
          <w:sz w:val="28"/>
          <w:szCs w:val="28"/>
        </w:rPr>
        <w:t>Pentru a identifica autorităţile competente vom folosi</w:t>
      </w:r>
      <w:r w:rsidR="007019D9" w:rsidRPr="00443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019D9" w:rsidRPr="0044376B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Atlas</w:t>
        </w:r>
      </w:hyperlink>
      <w:r w:rsidRPr="0044376B">
        <w:rPr>
          <w:rStyle w:val="Hyperlink"/>
          <w:rFonts w:ascii="Times New Roman" w:hAnsi="Times New Roman" w:cs="Times New Roman"/>
          <w:b/>
          <w:bCs/>
          <w:i/>
          <w:iCs/>
          <w:sz w:val="28"/>
          <w:szCs w:val="28"/>
        </w:rPr>
        <w:t>ul</w:t>
      </w:r>
      <w:r w:rsidR="007019D9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disponibil pe site-ul web al RJE</w:t>
      </w:r>
      <w:r w:rsidR="00490097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490097" w:rsidRPr="0044376B">
        <w:rPr>
          <w:rFonts w:ascii="Times New Roman" w:hAnsi="Times New Roman"/>
          <w:sz w:val="28"/>
          <w:szCs w:val="28"/>
        </w:rPr>
        <w:t xml:space="preserve">– </w:t>
      </w:r>
      <w:hyperlink r:id="rId18" w:history="1">
        <w:r w:rsidR="00490097" w:rsidRPr="0044376B">
          <w:rPr>
            <w:rFonts w:ascii="Times New Roman" w:hAnsi="Times New Roman"/>
            <w:color w:val="0563C1"/>
            <w:sz w:val="28"/>
            <w:szCs w:val="28"/>
            <w:u w:val="single"/>
          </w:rPr>
          <w:t>www.ejn-crimjust.europa.eu</w:t>
        </w:r>
      </w:hyperlink>
      <w:r w:rsidR="007019D9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selectaţi statul membru de executare în calitate de</w:t>
      </w:r>
      <w:r w:rsidR="007019D9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ţară de executare</w:t>
      </w:r>
      <w:r w:rsidR="007019D9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Pr="0044376B">
        <w:rPr>
          <w:rFonts w:ascii="Times New Roman" w:hAnsi="Times New Roman" w:cs="Times New Roman"/>
          <w:sz w:val="28"/>
          <w:szCs w:val="28"/>
        </w:rPr>
        <w:t>şi</w:t>
      </w:r>
      <w:r w:rsidR="007019D9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7019D9" w:rsidRPr="0044376B">
        <w:rPr>
          <w:rFonts w:ascii="Times New Roman" w:hAnsi="Times New Roman" w:cs="Times New Roman"/>
          <w:i/>
          <w:iCs/>
          <w:sz w:val="28"/>
          <w:szCs w:val="28"/>
        </w:rPr>
        <w:t xml:space="preserve">901. </w:t>
      </w:r>
      <w:r w:rsidRPr="0044376B">
        <w:rPr>
          <w:rFonts w:ascii="Times New Roman" w:hAnsi="Times New Roman" w:cs="Times New Roman"/>
          <w:i/>
          <w:iCs/>
          <w:sz w:val="28"/>
          <w:szCs w:val="28"/>
        </w:rPr>
        <w:t>Mandatul European de Arestare</w:t>
      </w:r>
      <w:r w:rsidR="007019D9" w:rsidRPr="0044376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7E01AFC" w14:textId="41432E44" w:rsidR="00490097" w:rsidRPr="0044376B" w:rsidRDefault="00324061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Referitor la limba de redactare a Certificatului</w:t>
      </w:r>
      <w:r w:rsidR="007019D9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Pr="0044376B">
        <w:rPr>
          <w:rFonts w:ascii="Times New Roman" w:hAnsi="Times New Roman" w:cs="Times New Roman"/>
          <w:sz w:val="28"/>
          <w:szCs w:val="28"/>
        </w:rPr>
        <w:t>vom folosi secţiunea</w:t>
      </w:r>
      <w:r w:rsidR="00490097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7019D9" w:rsidRPr="0044376B">
        <w:rPr>
          <w:rFonts w:ascii="Times New Roman" w:hAnsi="Times New Roman" w:cs="Times New Roman"/>
          <w:sz w:val="28"/>
          <w:szCs w:val="28"/>
        </w:rPr>
        <w:t>–</w:t>
      </w:r>
      <w:r w:rsidRPr="0044376B">
        <w:rPr>
          <w:rFonts w:ascii="Times New Roman" w:hAnsi="Times New Roman" w:cs="Times New Roman"/>
          <w:sz w:val="28"/>
          <w:szCs w:val="28"/>
        </w:rPr>
        <w:t>Notificări pentru fiecare state membru</w:t>
      </w:r>
      <w:r w:rsidR="00081900" w:rsidRPr="0044376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B15EAF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valabilă</w:t>
        </w:r>
        <w:r w:rsidR="00081900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r w:rsidR="00B15EAF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aici</w:t>
        </w:r>
      </w:hyperlink>
      <w:r w:rsidR="00081900" w:rsidRPr="0044376B">
        <w:rPr>
          <w:rFonts w:ascii="Times New Roman" w:hAnsi="Times New Roman" w:cs="Times New Roman"/>
          <w:sz w:val="28"/>
          <w:szCs w:val="28"/>
        </w:rPr>
        <w:t>.</w:t>
      </w:r>
    </w:p>
    <w:p w14:paraId="1B781861" w14:textId="63C7E081" w:rsidR="007019D9" w:rsidRPr="0044376B" w:rsidRDefault="005328F8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În cazul în care nu există o notificare conform art. 8 alin. 2 din Decizia cadru</w:t>
      </w:r>
      <w:r w:rsidR="007019D9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Pr="0044376B">
        <w:rPr>
          <w:rFonts w:ascii="Times New Roman" w:hAnsi="Times New Roman" w:cs="Times New Roman"/>
          <w:sz w:val="28"/>
          <w:szCs w:val="28"/>
        </w:rPr>
        <w:t>va fi folosită limba/limbile oficială/oficiale ale statului membru</w:t>
      </w:r>
      <w:r w:rsidR="007019D9" w:rsidRPr="0044376B">
        <w:rPr>
          <w:rFonts w:ascii="Times New Roman" w:hAnsi="Times New Roman" w:cs="Times New Roman"/>
          <w:sz w:val="28"/>
          <w:szCs w:val="28"/>
        </w:rPr>
        <w:t>.</w:t>
      </w:r>
    </w:p>
    <w:p w14:paraId="25535B7C" w14:textId="0CC48230" w:rsidR="00682CB5" w:rsidRPr="0044376B" w:rsidRDefault="005328F8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Rezultatele ar trebui să fie</w:t>
      </w:r>
      <w:r w:rsidR="007019D9" w:rsidRPr="0044376B">
        <w:rPr>
          <w:rFonts w:ascii="Times New Roman" w:hAnsi="Times New Roman" w:cs="Times New Roman"/>
          <w:sz w:val="28"/>
          <w:szCs w:val="28"/>
        </w:rPr>
        <w:t>:</w:t>
      </w:r>
    </w:p>
    <w:p w14:paraId="09E978DF" w14:textId="1538C4E9" w:rsidR="00682CB5" w:rsidRPr="0044376B" w:rsidRDefault="00D51D85" w:rsidP="0065667B">
      <w:pPr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76B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7A1310" w:rsidRPr="0044376B">
        <w:rPr>
          <w:rFonts w:ascii="Times New Roman" w:hAnsi="Times New Roman" w:cs="Times New Roman"/>
          <w:i/>
          <w:sz w:val="28"/>
          <w:szCs w:val="28"/>
        </w:rPr>
        <w:t>Un procuror portughez</w:t>
      </w:r>
      <w:r w:rsidR="00592A05">
        <w:rPr>
          <w:rFonts w:ascii="Times New Roman" w:hAnsi="Times New Roman" w:cs="Times New Roman"/>
          <w:i/>
          <w:sz w:val="28"/>
          <w:szCs w:val="28"/>
        </w:rPr>
        <w:t xml:space="preserve"> din Braga solicită predarea cet</w:t>
      </w:r>
      <w:r w:rsidR="007A1310" w:rsidRPr="0044376B">
        <w:rPr>
          <w:rFonts w:ascii="Times New Roman" w:hAnsi="Times New Roman" w:cs="Times New Roman"/>
          <w:i/>
          <w:sz w:val="28"/>
          <w:szCs w:val="28"/>
        </w:rPr>
        <w:t>ă</w:t>
      </w:r>
      <w:r w:rsidR="00592A05">
        <w:rPr>
          <w:rFonts w:ascii="Times New Roman" w:hAnsi="Times New Roman" w:cs="Times New Roman"/>
          <w:i/>
          <w:sz w:val="28"/>
          <w:szCs w:val="28"/>
        </w:rPr>
        <w:t>ț</w:t>
      </w:r>
      <w:r w:rsidR="007A1310" w:rsidRPr="0044376B">
        <w:rPr>
          <w:rFonts w:ascii="Times New Roman" w:hAnsi="Times New Roman" w:cs="Times New Roman"/>
          <w:i/>
          <w:sz w:val="28"/>
          <w:szCs w:val="28"/>
        </w:rPr>
        <w:t>eanului german Dieter Müller, aflat în prezent în Turku, Finlanda, în scopul desfăşurării unor proceduri penale</w:t>
      </w:r>
      <w:r w:rsidR="007F4950" w:rsidRPr="0044376B">
        <w:rPr>
          <w:rFonts w:ascii="Times New Roman" w:hAnsi="Times New Roman" w:cs="Times New Roman"/>
          <w:i/>
          <w:sz w:val="28"/>
          <w:szCs w:val="28"/>
        </w:rPr>
        <w:t>.</w:t>
      </w:r>
    </w:p>
    <w:p w14:paraId="5CCEA7CD" w14:textId="77D062EE" w:rsidR="00AA0FD7" w:rsidRPr="0044376B" w:rsidRDefault="005328F8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Autoritatea competentă portugheză este în</w:t>
      </w:r>
      <w:r w:rsidR="00AA0FD7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AA0FD7" w:rsidRPr="0044376B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Guimarães, </w:t>
      </w:r>
      <w:r w:rsidRPr="0044376B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vezi site-ul web al RJE</w:t>
      </w:r>
      <w:r w:rsidR="00AA0FD7" w:rsidRPr="0044376B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.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AA0FD7" w:rsidRPr="0044376B" w14:paraId="1CB112FB" w14:textId="77777777" w:rsidTr="00682CB5">
        <w:trPr>
          <w:trHeight w:val="276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446D" w14:textId="483C97A1" w:rsidR="00AA0FD7" w:rsidRPr="0044376B" w:rsidRDefault="00786B7D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lastRenderedPageBreak/>
              <w:t>Nume</w:t>
            </w:r>
            <w:r w:rsidR="00AA0FD7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7530D3" w:rsidRPr="0044376B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nl-NL"/>
              </w:rPr>
              <w:tab/>
            </w:r>
            <w:r w:rsidR="00682CB5" w:rsidRPr="0044376B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nl-NL"/>
              </w:rPr>
              <w:tab/>
            </w:r>
            <w:r w:rsidR="00AA0FD7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Tribunal da Relação de Guimarães</w:t>
            </w:r>
          </w:p>
          <w:p w14:paraId="7B360B72" w14:textId="521EBD48" w:rsidR="00AA0FD7" w:rsidRPr="0044376B" w:rsidRDefault="00786B7D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Adresă</w:t>
            </w:r>
            <w:r w:rsidR="00AA0FD7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7530D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682CB5" w:rsidRPr="0044376B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nl-NL"/>
              </w:rPr>
              <w:tab/>
            </w:r>
            <w:r w:rsidR="00AA0FD7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Largo João Franco 248</w:t>
            </w:r>
          </w:p>
          <w:p w14:paraId="63620C5F" w14:textId="01D04D32" w:rsidR="00AA0FD7" w:rsidRPr="0044376B" w:rsidRDefault="00786B7D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Serviciu (Divizie</w:t>
            </w:r>
            <w:r w:rsidR="00AA0FD7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):</w:t>
            </w:r>
          </w:p>
          <w:p w14:paraId="4381915F" w14:textId="45AFD92B" w:rsidR="00AA0FD7" w:rsidRPr="0044376B" w:rsidRDefault="0008551F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Oraş</w:t>
            </w:r>
            <w:r w:rsidR="00AA0FD7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7530D3" w:rsidRPr="0044376B"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eastAsia="nl-NL"/>
              </w:rPr>
              <w:tab/>
            </w:r>
            <w:r w:rsidR="007530D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682CB5" w:rsidRPr="0044376B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nl-NL"/>
              </w:rPr>
              <w:tab/>
            </w:r>
            <w:r w:rsidR="00AA0FD7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Guimarães.</w:t>
            </w:r>
          </w:p>
          <w:p w14:paraId="5CB2C2D3" w14:textId="586881D7" w:rsidR="00AA0FD7" w:rsidRPr="0044376B" w:rsidRDefault="0008551F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Cod poștal</w:t>
            </w:r>
            <w:r w:rsidR="00AA0FD7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7530D3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ab/>
            </w: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 xml:space="preserve">          </w:t>
            </w:r>
            <w:r w:rsidR="00AA0FD7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4810-269</w:t>
            </w:r>
          </w:p>
          <w:p w14:paraId="50E90646" w14:textId="4B85ADE2" w:rsidR="007530D3" w:rsidRPr="0044376B" w:rsidRDefault="0008551F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Număr de telefon</w:t>
            </w:r>
            <w:r w:rsidR="00AA0FD7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</w:p>
          <w:p w14:paraId="16A27B4E" w14:textId="7333EA58" w:rsidR="00AA0FD7" w:rsidRPr="0044376B" w:rsidRDefault="0008551F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Telefon mobil</w:t>
            </w:r>
            <w:r w:rsidR="00AA0FD7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</w:p>
          <w:p w14:paraId="72612AF0" w14:textId="1180D3C0" w:rsidR="007530D3" w:rsidRPr="0044376B" w:rsidRDefault="0008551F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Număr de fax</w:t>
            </w:r>
            <w:r w:rsidR="00AA0FD7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</w:p>
          <w:p w14:paraId="14B91D98" w14:textId="3CEBFCF1" w:rsidR="00AA0FD7" w:rsidRPr="0044376B" w:rsidRDefault="0008551F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Adresă de mail</w:t>
            </w:r>
            <w:r w:rsidR="00AA0FD7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</w:p>
        </w:tc>
      </w:tr>
    </w:tbl>
    <w:p w14:paraId="5031FAF4" w14:textId="0162E564" w:rsidR="00AA0FD7" w:rsidRPr="0044376B" w:rsidRDefault="0008551F" w:rsidP="006566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Există o singură autoritate centrală pentru toată țara</w:t>
      </w:r>
      <w:r w:rsidR="00AA0FD7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În conformitate cu notificarea</w:t>
      </w:r>
      <w:r w:rsidR="00AA0FD7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Finlanda</w:t>
      </w:r>
      <w:r w:rsidR="00AA0FD7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acceptă</w:t>
      </w:r>
      <w:r w:rsidR="00AA0FD7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MEA</w:t>
      </w:r>
      <w:r w:rsidR="00AA0FD7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în finlandeză</w:t>
      </w:r>
      <w:r w:rsidR="00AA0FD7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suedeză</w:t>
      </w:r>
      <w:r w:rsidR="00AA0FD7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şi</w:t>
      </w:r>
      <w:r w:rsidR="00AA0FD7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engleză</w:t>
      </w:r>
      <w:r w:rsidR="00AA0FD7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  <w:r w:rsidR="00AA0FD7"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NB: </w:t>
      </w:r>
      <w:r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>am observat</w:t>
      </w:r>
      <w:r w:rsidR="00AA0FD7"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>(î</w:t>
      </w:r>
      <w:r w:rsidR="0007613E"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n </w:t>
      </w:r>
      <w:r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>mai</w:t>
      </w:r>
      <w:r w:rsidR="0007613E"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2020) </w:t>
      </w:r>
      <w:r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>documentul încărcat pe site-ul web al RJE</w:t>
      </w:r>
      <w:r w:rsidR="00AA0FD7"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>reprezentând traducerea notificării în engleză</w:t>
      </w:r>
      <w:r w:rsidR="00AA0FD7"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>nu este redactat în această limbă</w:t>
      </w:r>
      <w:r w:rsidR="00AA0FD7"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</w:t>
      </w:r>
      <w:r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>ci în finlandeză</w:t>
      </w:r>
      <w:r w:rsidR="00AA0FD7"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</w:p>
    <w:p w14:paraId="28753F54" w14:textId="118AD519" w:rsidR="00AA0FD7" w:rsidRPr="0044376B" w:rsidRDefault="00AA0FD7" w:rsidP="006566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(NB: </w:t>
      </w:r>
      <w:r w:rsidR="008A7EE1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formator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: </w:t>
      </w:r>
      <w:r w:rsidR="008A7EE1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ar fi foarte util ca această căutare să se facă cu întreg grupul de participanţi la un videoproiector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  <w:r w:rsidR="008A7EE1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Căutaţi împreună pe site-ul web al RJE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  <w:r w:rsidR="008A7EE1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Există mai multe posibilităţi de a identifica </w:t>
      </w:r>
      <w:r w:rsidR="008A7EE1"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>răspunsul</w:t>
      </w:r>
      <w:r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  <w:r w:rsidR="008A7EE1" w:rsidRPr="0074255B">
        <w:rPr>
          <w:rFonts w:ascii="Times New Roman" w:eastAsia="Times New Roman" w:hAnsi="Times New Roman" w:cs="Times New Roman"/>
          <w:sz w:val="28"/>
          <w:szCs w:val="28"/>
          <w:lang w:eastAsia="nl-NL"/>
        </w:rPr>
        <w:t>Important este ca participanţii să se familiarizeze cu site-ul şi să reuşească să identifice informaţiile necesare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.)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C33366" w:rsidRPr="0044376B" w14:paraId="666EFADD" w14:textId="77777777" w:rsidTr="00081900">
        <w:trPr>
          <w:trHeight w:val="2871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4771" w14:textId="731A9F34" w:rsidR="00C33366" w:rsidRPr="0044376B" w:rsidRDefault="008A7EE1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Nume</w:t>
            </w:r>
            <w:r w:rsidR="00C33366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AC451B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AC451B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C33366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 xml:space="preserve">Prosecution District of Southern Finland (Etelä-Suomen </w:t>
            </w:r>
            <w:r w:rsidR="00AC451B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ab/>
            </w:r>
            <w:r w:rsidR="00AC451B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ab/>
            </w:r>
            <w:r w:rsidR="00AC451B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ab/>
            </w:r>
            <w:r w:rsidR="00AC451B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ab/>
            </w:r>
            <w:r w:rsidR="00C33366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syyttäjäalue)</w:t>
            </w:r>
          </w:p>
          <w:p w14:paraId="0CC0904C" w14:textId="2E3258A5" w:rsidR="00C33366" w:rsidRPr="0044376B" w:rsidRDefault="008A7EE1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Adresă</w:t>
            </w:r>
            <w:r w:rsidR="00C33366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AC451B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AC451B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C33366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Porkkalankatu 13</w:t>
            </w:r>
          </w:p>
          <w:p w14:paraId="526C69B5" w14:textId="05DF1946" w:rsidR="00C33366" w:rsidRPr="0044376B" w:rsidRDefault="00786B7D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Serviciu (Divizie</w:t>
            </w:r>
            <w:r w:rsidR="00C33366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):</w:t>
            </w:r>
          </w:p>
          <w:p w14:paraId="24202424" w14:textId="6606BFA0" w:rsidR="00C33366" w:rsidRPr="0044376B" w:rsidRDefault="008A7EE1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Oraş</w:t>
            </w:r>
            <w:r w:rsidR="00C33366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AC451B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ab/>
            </w:r>
            <w:r w:rsidR="00AC451B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AC451B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C33366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Helsinki</w:t>
            </w:r>
          </w:p>
          <w:p w14:paraId="00173553" w14:textId="34A86881" w:rsidR="00C33366" w:rsidRPr="0044376B" w:rsidRDefault="008A7EE1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Cod poştal</w:t>
            </w:r>
            <w:r w:rsidR="00C33366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AC451B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ab/>
            </w:r>
            <w:r w:rsidR="00AC451B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C33366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00180</w:t>
            </w:r>
          </w:p>
          <w:p w14:paraId="15656621" w14:textId="42B11273" w:rsidR="00AC451B" w:rsidRPr="0044376B" w:rsidRDefault="008A7EE1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Număr de telefon</w:t>
            </w:r>
            <w:r w:rsidR="00C33366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C33366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+358 29 562 2100</w:t>
            </w:r>
          </w:p>
          <w:p w14:paraId="6E0BC393" w14:textId="4F1DBB23" w:rsidR="00C33366" w:rsidRPr="0044376B" w:rsidRDefault="008A7EE1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Telefon mobil</w:t>
            </w:r>
            <w:r w:rsidR="00C33366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</w:p>
          <w:p w14:paraId="545ABFC1" w14:textId="5AC6F6F6" w:rsidR="00AC451B" w:rsidRPr="0044376B" w:rsidRDefault="008A7EE1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Număr de fax</w:t>
            </w:r>
            <w:r w:rsidR="00C33366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AC451B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C33366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+358 29 562 2203</w:t>
            </w:r>
          </w:p>
          <w:p w14:paraId="387B1F5D" w14:textId="788E9593" w:rsidR="00C33366" w:rsidRPr="0044376B" w:rsidRDefault="008A7EE1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Adresă de mail</w:t>
            </w:r>
            <w:r w:rsidR="00C33366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AC451B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C33366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etela-suomi.syyttaja@oikeus.fi</w:t>
            </w:r>
          </w:p>
        </w:tc>
      </w:tr>
    </w:tbl>
    <w:p w14:paraId="33878E6A" w14:textId="13BF7CEA" w:rsidR="00C33366" w:rsidRPr="0044376B" w:rsidRDefault="00C33366" w:rsidP="006566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(</w:t>
      </w:r>
      <w:r w:rsidR="00974E78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Dacă timpul permite</w:t>
      </w:r>
      <w:r w:rsidR="00114FD5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</w:t>
      </w:r>
      <w:r w:rsidR="00445CDF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ar putea fi adresată o întrebare participanţilor pentru a afla dacă ar fi necesară traducerea MEA în limba germană, persoana solicitată fiind un cetăţean german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  <w:r w:rsidR="00114FD5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="00445CDF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Acest aspect conduce spre Directiva</w:t>
      </w:r>
      <w:r w:rsidR="00114FD5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2010/64 </w:t>
      </w:r>
      <w:r w:rsidR="00445CDF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privind dreptul la interpretare şi traducere în cadrul procedurilor penale</w:t>
      </w:r>
      <w:r w:rsidR="00114FD5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  <w:r w:rsidR="00217304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Efectiv</w:t>
      </w:r>
      <w:r w:rsidR="00114FD5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</w:t>
      </w:r>
      <w:r w:rsidR="00217304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această situaţie se poate ivi în momentul în care persoana solicitată va fi implicată în </w:t>
      </w:r>
      <w:r w:rsidR="00217304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lastRenderedPageBreak/>
        <w:t>proceduri</w:t>
      </w:r>
      <w:r w:rsidR="00114FD5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  <w:r w:rsidR="00217304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Apoi, depinde şi de posibilitatea perso</w:t>
      </w:r>
      <w:r w:rsidR="00BC1BDD">
        <w:rPr>
          <w:rFonts w:ascii="Times New Roman" w:eastAsia="Times New Roman" w:hAnsi="Times New Roman" w:cs="Times New Roman"/>
          <w:sz w:val="28"/>
          <w:szCs w:val="28"/>
          <w:lang w:eastAsia="nl-NL"/>
        </w:rPr>
        <w:t>a</w:t>
      </w:r>
      <w:r w:rsidR="00217304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nei solicitate de a înţelege limba în care este redactat MEA.</w:t>
      </w:r>
      <w:r w:rsidR="00B2082C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)</w:t>
      </w:r>
    </w:p>
    <w:p w14:paraId="726F3AAB" w14:textId="77777777" w:rsidR="00556862" w:rsidRPr="0044376B" w:rsidRDefault="00556862" w:rsidP="0065667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808080"/>
          <w:sz w:val="17"/>
          <w:lang w:eastAsia="nl-NL"/>
        </w:rPr>
      </w:pPr>
    </w:p>
    <w:p w14:paraId="302A9ADF" w14:textId="36F0A7C6" w:rsidR="00C629CD" w:rsidRPr="0044376B" w:rsidRDefault="00C629CD" w:rsidP="0065667B">
      <w:pPr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76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74255B" w:rsidRPr="0074255B">
        <w:rPr>
          <w:rFonts w:ascii="Times New Roman" w:hAnsi="Times New Roman" w:cs="Times New Roman"/>
          <w:i/>
          <w:sz w:val="28"/>
          <w:szCs w:val="28"/>
        </w:rPr>
        <w:t>O</w:t>
      </w:r>
      <w:r w:rsidR="007A1310" w:rsidRPr="0074255B">
        <w:rPr>
          <w:rFonts w:ascii="Times New Roman" w:hAnsi="Times New Roman" w:cs="Times New Roman"/>
          <w:i/>
          <w:sz w:val="28"/>
          <w:szCs w:val="28"/>
        </w:rPr>
        <w:t xml:space="preserve">rganele de urmărire penală irlandeze </w:t>
      </w:r>
      <w:r w:rsidR="007A1310" w:rsidRPr="0044376B">
        <w:rPr>
          <w:rFonts w:ascii="Times New Roman" w:hAnsi="Times New Roman" w:cs="Times New Roman"/>
          <w:i/>
          <w:sz w:val="28"/>
          <w:szCs w:val="28"/>
        </w:rPr>
        <w:t>au primit un MEA privind o hotărâre de condamnare în lipsă a cetăţeanului francez Leon Laselle pronunţată de Tribunalul de Primă Instanţă din Bordeaux, Franţa</w:t>
      </w:r>
      <w:r w:rsidR="007F4950" w:rsidRPr="0044376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AF37BC" w:rsidRPr="0044376B" w14:paraId="3A08C1A5" w14:textId="77777777" w:rsidTr="00556862">
        <w:trPr>
          <w:trHeight w:val="240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3473" w14:textId="0E1872C1" w:rsidR="00AF37BC" w:rsidRPr="0044376B" w:rsidRDefault="0084318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Nume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C629CD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C629CD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Pr="0044376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Curtea de Apel din</w:t>
            </w:r>
            <w:r w:rsidR="00AF37BC" w:rsidRPr="0044376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Bordeaux</w:t>
            </w:r>
          </w:p>
          <w:p w14:paraId="03DD1F02" w14:textId="51BA589F" w:rsidR="00AF37BC" w:rsidRPr="0044376B" w:rsidRDefault="0084318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Adresă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C629CD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C629CD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AF37BC" w:rsidRPr="0044376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Place de la République</w:t>
            </w:r>
          </w:p>
          <w:p w14:paraId="54FB53B0" w14:textId="0BB002B1" w:rsidR="00AF37BC" w:rsidRPr="0044376B" w:rsidRDefault="00786B7D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Serviciu (Divizie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):</w:t>
            </w:r>
          </w:p>
          <w:p w14:paraId="48C6571C" w14:textId="466224F9" w:rsidR="00AF37BC" w:rsidRPr="0044376B" w:rsidRDefault="0084318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Oraş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C629CD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ab/>
            </w:r>
            <w:r w:rsidR="00C629CD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C629CD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AF37BC" w:rsidRPr="0044376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BORDEAUX CEDEX</w:t>
            </w:r>
          </w:p>
          <w:p w14:paraId="7C08B4A5" w14:textId="7EB585DF" w:rsidR="00AF37BC" w:rsidRPr="0044376B" w:rsidRDefault="0084318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Cod poştal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C629CD" w:rsidRPr="0044376B"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eastAsia="nl-NL"/>
              </w:rPr>
              <w:tab/>
            </w:r>
            <w:r w:rsidRPr="0044376B"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eastAsia="nl-NL"/>
              </w:rPr>
              <w:t xml:space="preserve">          </w:t>
            </w:r>
            <w:r w:rsidR="00AF37BC" w:rsidRPr="0044376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33077</w:t>
            </w:r>
          </w:p>
          <w:p w14:paraId="75071839" w14:textId="57753EEC" w:rsidR="00C629CD" w:rsidRPr="0044376B" w:rsidRDefault="0084318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Număr de telefon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AF37BC" w:rsidRPr="0044376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(+33) 556013400</w:t>
            </w:r>
          </w:p>
          <w:p w14:paraId="2C392D55" w14:textId="0F1BFB5A" w:rsidR="00AF37BC" w:rsidRPr="0044376B" w:rsidRDefault="0084318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Telefon mobil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</w:p>
          <w:p w14:paraId="288CDBA4" w14:textId="5B6C881A" w:rsidR="00C629CD" w:rsidRPr="0044376B" w:rsidRDefault="0084318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Număr de fax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C629CD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AF37BC" w:rsidRPr="0044376B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(+33) 556442830</w:t>
            </w:r>
          </w:p>
          <w:p w14:paraId="3ED2DA2D" w14:textId="75064BB7" w:rsidR="00556862" w:rsidRPr="0044376B" w:rsidRDefault="0084318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Adresă de mail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</w:p>
        </w:tc>
      </w:tr>
      <w:tr w:rsidR="00114FD5" w:rsidRPr="0044376B" w14:paraId="3B7CAA1E" w14:textId="77777777" w:rsidTr="00556862">
        <w:trPr>
          <w:trHeight w:val="240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B3D9" w14:textId="52F173E2" w:rsidR="00114FD5" w:rsidRPr="0044376B" w:rsidRDefault="0084318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Nume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C629CD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C629CD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Autoritate centrală pentru MEA</w:t>
            </w:r>
          </w:p>
          <w:p w14:paraId="12759507" w14:textId="3450D773" w:rsidR="00114FD5" w:rsidRPr="0044376B" w:rsidRDefault="0084318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Adresă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C629CD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C629CD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2510D7" w:rsidRPr="00B73254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Ministerul Justiției și al reformei legislative</w:t>
            </w:r>
            <w:r w:rsidR="00114FD5" w:rsidRPr="00B73254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</w:t>
            </w:r>
            <w:r w:rsidR="00114FD5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 xml:space="preserve">51 St Stephens </w:t>
            </w:r>
            <w:r w:rsidR="002510D7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2510D7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2510D7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114FD5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Green</w:t>
            </w:r>
          </w:p>
          <w:p w14:paraId="43E2F77F" w14:textId="60A04EA2" w:rsidR="00114FD5" w:rsidRPr="0044376B" w:rsidRDefault="002510D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Serviciu (Divizie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):</w:t>
            </w:r>
            <w:r w:rsidR="00733318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Dublin 2</w:t>
            </w:r>
          </w:p>
          <w:p w14:paraId="753DA7B0" w14:textId="342606D2" w:rsidR="00114FD5" w:rsidRPr="0044376B" w:rsidRDefault="002510D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Oraș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</w:p>
          <w:p w14:paraId="595701FF" w14:textId="3413567E" w:rsidR="00114FD5" w:rsidRPr="0044376B" w:rsidRDefault="002510D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Cod poștal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</w:p>
          <w:p w14:paraId="79F48599" w14:textId="738945CA" w:rsidR="00C629CD" w:rsidRPr="0044376B" w:rsidRDefault="002510D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Număr de telefon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114FD5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00 353 1 408 6100</w:t>
            </w:r>
          </w:p>
          <w:p w14:paraId="34B6495A" w14:textId="4B38859B" w:rsidR="00114FD5" w:rsidRPr="0044376B" w:rsidRDefault="002510D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Telefon mobil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</w:p>
          <w:p w14:paraId="5028C475" w14:textId="10A4918C" w:rsidR="00C629CD" w:rsidRPr="0044376B" w:rsidRDefault="002510D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Număr de fax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C629CD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ab/>
            </w:r>
            <w:r w:rsidR="00114FD5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00 353 1 408 6117</w:t>
            </w:r>
          </w:p>
          <w:p w14:paraId="47059046" w14:textId="2F0FC68B" w:rsidR="00114FD5" w:rsidRPr="0044376B" w:rsidRDefault="002510D7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Adresă de mail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C629CD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114FD5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warrantsmail@justice.ie</w:t>
            </w:r>
          </w:p>
        </w:tc>
      </w:tr>
    </w:tbl>
    <w:p w14:paraId="16208AE6" w14:textId="0B831BCE" w:rsidR="00733318" w:rsidRPr="0044376B" w:rsidRDefault="002510D7" w:rsidP="006566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Există o singură autoritate centrală pentru toată țara</w:t>
      </w:r>
      <w:r w:rsidR="00114FD5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În conformitate cu notificarea, Irlanda acceptă MEA în irlandeză şi engleză</w:t>
      </w:r>
      <w:r w:rsidR="00114FD5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</w:p>
    <w:p w14:paraId="5765990D" w14:textId="5EFF836C" w:rsidR="00733318" w:rsidRPr="0044376B" w:rsidRDefault="00F30BF3" w:rsidP="0065667B">
      <w:pPr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76B">
        <w:rPr>
          <w:rFonts w:ascii="Times New Roman" w:hAnsi="Times New Roman" w:cs="Times New Roman"/>
          <w:i/>
          <w:sz w:val="28"/>
          <w:szCs w:val="28"/>
        </w:rPr>
        <w:t>3</w:t>
      </w:r>
      <w:r w:rsidR="007F4950" w:rsidRPr="0044376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A1310" w:rsidRPr="0044376B">
        <w:rPr>
          <w:rFonts w:ascii="Times New Roman" w:hAnsi="Times New Roman" w:cs="Times New Roman"/>
          <w:i/>
          <w:sz w:val="28"/>
          <w:szCs w:val="28"/>
        </w:rPr>
        <w:t>O autoritate spaniolă competentă solicită prezenţa cetăţeanului rus Michail Lebedenski, domiciliat în Nicosia, Cipru</w:t>
      </w:r>
      <w:r w:rsidR="007F4950" w:rsidRPr="0044376B">
        <w:rPr>
          <w:rFonts w:ascii="Times New Roman" w:hAnsi="Times New Roman" w:cs="Times New Roman"/>
          <w:i/>
          <w:sz w:val="28"/>
          <w:szCs w:val="28"/>
        </w:rPr>
        <w:t>.</w:t>
      </w:r>
    </w:p>
    <w:p w14:paraId="6FAD6A67" w14:textId="7AD241BE" w:rsidR="00AF37BC" w:rsidRPr="0044376B" w:rsidRDefault="002510D7" w:rsidP="0065667B">
      <w:pPr>
        <w:spacing w:after="1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76B">
        <w:rPr>
          <w:rFonts w:ascii="Times New Roman" w:hAnsi="Times New Roman" w:cs="Times New Roman"/>
          <w:bCs/>
          <w:sz w:val="28"/>
          <w:szCs w:val="28"/>
        </w:rPr>
        <w:t>Autoritatea spaniolă competentă pentru întreaga ţară</w:t>
      </w:r>
      <w:r w:rsidR="00AF37BC" w:rsidRPr="0044376B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AF37BC" w:rsidRPr="0044376B" w14:paraId="73AE5292" w14:textId="77777777" w:rsidTr="00556862">
        <w:trPr>
          <w:trHeight w:val="240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D3B9" w14:textId="4BB6B551" w:rsidR="00AF37BC" w:rsidRPr="0044376B" w:rsidRDefault="002510D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lastRenderedPageBreak/>
              <w:t>Nume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F30BF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F30BF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AF37BC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 xml:space="preserve">Servicio Común de Registro, (Para el reparto entre los </w:t>
            </w:r>
            <w:r w:rsidR="00F30BF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F30BF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F30BF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F30BF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AF37BC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Juzgados Centrales de Instrucción)</w:t>
            </w:r>
          </w:p>
          <w:p w14:paraId="74E24608" w14:textId="1C7A01E9" w:rsidR="00AF37BC" w:rsidRPr="0044376B" w:rsidRDefault="002510D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Adresă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F30BF3" w:rsidRPr="0044376B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nl-NL"/>
              </w:rPr>
              <w:tab/>
            </w:r>
            <w:r w:rsidR="00F30BF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AF37BC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Goya 14</w:t>
            </w:r>
          </w:p>
          <w:p w14:paraId="27A59B6A" w14:textId="1F81AFC3" w:rsidR="00AF37BC" w:rsidRPr="0044376B" w:rsidRDefault="00786B7D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Serviciu (Divizie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):</w:t>
            </w:r>
          </w:p>
          <w:p w14:paraId="17480AC0" w14:textId="5C2D8562" w:rsidR="00AF37BC" w:rsidRPr="0044376B" w:rsidRDefault="002510D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Oraş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F30BF3" w:rsidRPr="0044376B"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eastAsia="nl-NL"/>
              </w:rPr>
              <w:tab/>
            </w:r>
            <w:r w:rsidR="00F30BF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F30BF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AF37BC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Madrid</w:t>
            </w:r>
          </w:p>
          <w:p w14:paraId="41D1280A" w14:textId="5B2B30DD" w:rsidR="00AF37BC" w:rsidRPr="0044376B" w:rsidRDefault="002510D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Cod poştal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 xml:space="preserve"> </w:t>
            </w:r>
            <w:r w:rsidR="00F30BF3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ab/>
            </w:r>
            <w:r w:rsidR="00AF37BC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28071</w:t>
            </w:r>
          </w:p>
          <w:p w14:paraId="0FF9DBA1" w14:textId="7471BD0D" w:rsidR="00F30BF3" w:rsidRPr="0044376B" w:rsidRDefault="002510D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Număr de telefon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AF37BC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(+34) 91.400.62.13/26/25</w:t>
            </w:r>
          </w:p>
          <w:p w14:paraId="7F6B7AB6" w14:textId="3A7AB4E2" w:rsidR="00AF37BC" w:rsidRPr="0044376B" w:rsidRDefault="002510D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Telefon mobil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</w:p>
          <w:p w14:paraId="594FA668" w14:textId="5D210329" w:rsidR="00F30BF3" w:rsidRPr="0044376B" w:rsidRDefault="002510D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Număr de fax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F30BF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AF37BC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(+34)</w:t>
            </w:r>
            <w:r w:rsidR="00F30BF3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 xml:space="preserve"> </w:t>
            </w:r>
            <w:r w:rsidR="00AF37BC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91.400.72.34/35</w:t>
            </w:r>
          </w:p>
          <w:p w14:paraId="5FAFBB39" w14:textId="2D9762FF" w:rsidR="00AF37BC" w:rsidRPr="0044376B" w:rsidRDefault="002510D7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Adresă de mail</w:t>
            </w:r>
            <w:r w:rsidR="00AF37BC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F30BF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AF37BC" w:rsidRPr="0044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>audiencianacional.scrrda@justicia.es</w:t>
            </w:r>
          </w:p>
        </w:tc>
      </w:tr>
    </w:tbl>
    <w:p w14:paraId="6DBE9F96" w14:textId="77777777" w:rsidR="00E22DFC" w:rsidRPr="0044376B" w:rsidRDefault="00E22DFC" w:rsidP="0065667B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3214B" w14:textId="394A2288" w:rsidR="00AF37BC" w:rsidRPr="0044376B" w:rsidRDefault="002510D7" w:rsidP="0065667B">
      <w:pPr>
        <w:spacing w:after="1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76B">
        <w:rPr>
          <w:rFonts w:ascii="Times New Roman" w:hAnsi="Times New Roman" w:cs="Times New Roman"/>
          <w:bCs/>
          <w:sz w:val="28"/>
          <w:szCs w:val="28"/>
        </w:rPr>
        <w:t>Autoritatea competentă în Cipru este</w:t>
      </w:r>
      <w:r w:rsidR="00CC2342" w:rsidRPr="0044376B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114FD5" w:rsidRPr="0044376B" w14:paraId="67A583FF" w14:textId="77777777" w:rsidTr="00556862">
        <w:trPr>
          <w:trHeight w:val="3203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0A93" w14:textId="580A0C5F" w:rsidR="00114FD5" w:rsidRPr="0044376B" w:rsidRDefault="00690792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Nume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B22753" w:rsidRPr="0044376B">
              <w:rPr>
                <w:rFonts w:ascii="Times New Roman" w:eastAsia="Times New Roman" w:hAnsi="Times New Roman" w:cs="Times New Roman"/>
                <w:b/>
                <w:color w:val="808080"/>
                <w:sz w:val="28"/>
                <w:szCs w:val="28"/>
                <w:lang w:eastAsia="nl-NL"/>
              </w:rPr>
              <w:tab/>
            </w:r>
            <w:r w:rsidR="00B2275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Pr="0044376B">
              <w:rPr>
                <w:rFonts w:ascii="Times New Roman" w:hAnsi="Times New Roman" w:cs="Times New Roman"/>
                <w:sz w:val="28"/>
                <w:szCs w:val="28"/>
              </w:rPr>
              <w:t>Ministerul Justiţiei şi Ordinii Publice</w:t>
            </w:r>
          </w:p>
          <w:p w14:paraId="24DF5D8E" w14:textId="10C6B840" w:rsidR="00114FD5" w:rsidRPr="0044376B" w:rsidRDefault="00690792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Adresă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B22753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ab/>
            </w:r>
            <w:r w:rsidR="00B2275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Pr="0044376B">
              <w:rPr>
                <w:rFonts w:ascii="Times New Roman" w:hAnsi="Times New Roman" w:cs="Times New Roman"/>
                <w:sz w:val="28"/>
                <w:szCs w:val="28"/>
              </w:rPr>
              <w:t xml:space="preserve">Strada </w:t>
            </w:r>
            <w:r w:rsidR="00114FD5" w:rsidRPr="0044376B">
              <w:rPr>
                <w:rFonts w:ascii="Times New Roman" w:hAnsi="Times New Roman" w:cs="Times New Roman"/>
                <w:sz w:val="28"/>
                <w:szCs w:val="28"/>
              </w:rPr>
              <w:t xml:space="preserve">Athalassas </w:t>
            </w:r>
            <w:r w:rsidRPr="0044376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14:paraId="2814D43F" w14:textId="71D174CA" w:rsidR="00114FD5" w:rsidRPr="0044376B" w:rsidRDefault="00786B7D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Serviciu (Divizie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):</w:t>
            </w:r>
          </w:p>
          <w:p w14:paraId="421F4F8D" w14:textId="1FBFD066" w:rsidR="00114FD5" w:rsidRPr="0044376B" w:rsidRDefault="00690792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Oraş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B22753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ab/>
            </w:r>
            <w:r w:rsidR="00B22753" w:rsidRPr="0044376B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nl-NL"/>
              </w:rPr>
              <w:tab/>
            </w:r>
            <w:r w:rsidR="00B2275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114FD5" w:rsidRPr="0044376B">
              <w:rPr>
                <w:rFonts w:ascii="Times New Roman" w:hAnsi="Times New Roman" w:cs="Times New Roman"/>
                <w:sz w:val="28"/>
                <w:szCs w:val="28"/>
              </w:rPr>
              <w:t>Nicosia</w:t>
            </w:r>
          </w:p>
          <w:p w14:paraId="463BA5D2" w14:textId="2868658B" w:rsidR="00114FD5" w:rsidRPr="0044376B" w:rsidRDefault="00690792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Cod poştal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B22753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ab/>
            </w: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 xml:space="preserve">          </w:t>
            </w:r>
            <w:r w:rsidR="00114FD5" w:rsidRPr="0044376B"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  <w:p w14:paraId="79553BB5" w14:textId="0033E962" w:rsidR="00B22753" w:rsidRPr="0044376B" w:rsidRDefault="00690792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Număr de telefon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114FD5" w:rsidRPr="0044376B">
              <w:rPr>
                <w:rFonts w:ascii="Times New Roman" w:hAnsi="Times New Roman" w:cs="Times New Roman"/>
                <w:sz w:val="28"/>
                <w:szCs w:val="28"/>
              </w:rPr>
              <w:t>+357 22805928; +357 22805950/951</w:t>
            </w:r>
          </w:p>
          <w:p w14:paraId="55E08776" w14:textId="4BCBBC73" w:rsidR="00114FD5" w:rsidRPr="0044376B" w:rsidRDefault="00690792" w:rsidP="0065667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Telefon mobil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</w:p>
          <w:p w14:paraId="21B9ABAF" w14:textId="2768E19F" w:rsidR="00B22753" w:rsidRPr="0044376B" w:rsidRDefault="00690792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Număr de fax</w:t>
            </w:r>
            <w:r w:rsidR="00114FD5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B2275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114FD5" w:rsidRPr="0044376B">
              <w:rPr>
                <w:rFonts w:ascii="Times New Roman" w:hAnsi="Times New Roman" w:cs="Times New Roman"/>
                <w:sz w:val="28"/>
                <w:szCs w:val="28"/>
              </w:rPr>
              <w:t xml:space="preserve">+357 22518328; +357 22518356; </w:t>
            </w:r>
          </w:p>
          <w:p w14:paraId="6AFC2F0A" w14:textId="181629C9" w:rsidR="00114FD5" w:rsidRPr="0044376B" w:rsidRDefault="00690792" w:rsidP="0065667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Adresă de mail</w:t>
            </w:r>
            <w:r w:rsidR="00B22753" w:rsidRPr="0044376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nl-NL"/>
              </w:rPr>
              <w:t>:</w:t>
            </w:r>
            <w:r w:rsidR="00B22753" w:rsidRPr="0044376B"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nl-NL"/>
              </w:rPr>
              <w:tab/>
            </w:r>
            <w:r w:rsidR="00114FD5" w:rsidRPr="0044376B">
              <w:rPr>
                <w:rFonts w:ascii="Times New Roman" w:hAnsi="Times New Roman" w:cs="Times New Roman"/>
                <w:sz w:val="28"/>
                <w:szCs w:val="28"/>
              </w:rPr>
              <w:t>akyriakides@papd.gov.cy</w:t>
            </w:r>
          </w:p>
        </w:tc>
      </w:tr>
    </w:tbl>
    <w:p w14:paraId="53C5C718" w14:textId="77777777" w:rsidR="00733318" w:rsidRPr="0044376B" w:rsidRDefault="00733318" w:rsidP="006566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14:paraId="6573CE6A" w14:textId="0E9E92B2" w:rsidR="0007613E" w:rsidRPr="0044376B" w:rsidRDefault="00690792" w:rsidP="006566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Există o singură autoritate centrală pentru toată țara</w:t>
      </w:r>
      <w:r w:rsidR="00114FD5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Conform notificării</w:t>
      </w:r>
      <w:r w:rsidR="00114FD5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poate fi</w:t>
      </w:r>
      <w:r w:rsidR="00AF37BC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hyperlink r:id="rId20" w:history="1">
        <w:r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>găsit</w:t>
        </w:r>
        <w:r w:rsidR="00AF37BC"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 xml:space="preserve"> </w:t>
        </w:r>
        <w:r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>pe site-ul web al</w:t>
        </w:r>
        <w:r w:rsidR="00AF37BC"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 xml:space="preserve"> </w:t>
        </w:r>
        <w:r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>RJE</w:t>
        </w:r>
      </w:hyperlink>
      <w:r w:rsidR="00AF37BC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</w:p>
    <w:p w14:paraId="26C2AB86" w14:textId="3427E371" w:rsidR="00114FD5" w:rsidRPr="0044376B" w:rsidRDefault="00690792" w:rsidP="006566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Cipru</w:t>
      </w:r>
      <w:r w:rsidR="00114FD5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acceptă</w:t>
      </w:r>
      <w:r w:rsidR="00114FD5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MEA, atât în limba sa oficială, cât şi în limba engleză</w:t>
      </w:r>
      <w:r w:rsidR="00114FD5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  <w:r w:rsidR="00B2082C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NB: </w:t>
      </w:r>
      <w:r w:rsidR="0020711F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aceast</w:t>
      </w:r>
      <w:r w:rsidR="00BC1BDD">
        <w:rPr>
          <w:rFonts w:ascii="Times New Roman" w:eastAsia="Times New Roman" w:hAnsi="Times New Roman" w:cs="Times New Roman"/>
          <w:sz w:val="28"/>
          <w:szCs w:val="28"/>
          <w:lang w:eastAsia="nl-NL"/>
        </w:rPr>
        <w:t>ă</w:t>
      </w:r>
      <w:r w:rsidR="0020711F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notificare impune autorităţii emitente</w:t>
      </w:r>
      <w:r w:rsidR="00B2082C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</w:t>
      </w:r>
      <w:r w:rsidR="0020711F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în cazul în care nu trimite MEA redactat în limba engleză</w:t>
      </w:r>
      <w:r w:rsidR="00B2082C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</w:t>
      </w:r>
      <w:r w:rsidR="0020711F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să cunoască limbile oficiale ale statului cipriot</w:t>
      </w:r>
      <w:r w:rsidR="00B2082C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</w:p>
    <w:p w14:paraId="153B068E" w14:textId="794D35FF" w:rsidR="00081900" w:rsidRPr="0044376B" w:rsidRDefault="00B2082C" w:rsidP="0065667B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(</w:t>
      </w:r>
      <w:r w:rsidR="00B53976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dacă timpul permite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</w:t>
      </w:r>
      <w:r w:rsidR="00B53976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poate fi adresată o întrebare participanţilor cu privire la modalitatea de traducere într-o altă limbă a MEA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  <w:r w:rsidR="00B53976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Întrebarea de bază este dacă traducătorul care efectuează această sarcină va primi documentul original integral și va efectua ulterior o traducere a acestuia, sau dacă se va face referire </w:t>
      </w:r>
      <w:r w:rsidR="00B53976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lastRenderedPageBreak/>
        <w:t>la faptul că MEA și forma sa sunt disponibile în toate limbile Uniunii Europene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  <w:r w:rsidR="00B53976" w:rsidRPr="00B73254">
        <w:rPr>
          <w:rFonts w:ascii="Times New Roman" w:eastAsia="Times New Roman" w:hAnsi="Times New Roman" w:cs="Times New Roman"/>
          <w:sz w:val="28"/>
          <w:szCs w:val="28"/>
          <w:lang w:eastAsia="nl-NL"/>
        </w:rPr>
        <w:t>Dacă nu sunt furnizate instrucţiuni complete</w:t>
      </w:r>
      <w:r w:rsidRPr="00B73254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</w:t>
      </w:r>
      <w:r w:rsidR="00B53976" w:rsidRPr="00B73254">
        <w:rPr>
          <w:rFonts w:ascii="Times New Roman" w:eastAsia="Times New Roman" w:hAnsi="Times New Roman" w:cs="Times New Roman"/>
          <w:sz w:val="28"/>
          <w:szCs w:val="28"/>
          <w:lang w:eastAsia="nl-NL"/>
        </w:rPr>
        <w:t>există posibilitatea ca traducătorul să facă totul de la zero, inclusiv traducerea formularului</w:t>
      </w:r>
      <w:r w:rsidRPr="00B73254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  <w:r w:rsidR="00B53976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Rezultatul ar putea fi ca termenii în varianta tradusă să dobândeasc</w:t>
      </w:r>
      <w:r w:rsidR="00BC1BDD">
        <w:rPr>
          <w:rFonts w:ascii="Times New Roman" w:eastAsia="Times New Roman" w:hAnsi="Times New Roman" w:cs="Times New Roman"/>
          <w:sz w:val="28"/>
          <w:szCs w:val="28"/>
          <w:lang w:eastAsia="nl-NL"/>
        </w:rPr>
        <w:t>ă</w:t>
      </w:r>
      <w:r w:rsidR="00B53976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un alt înţeles decât cel prevăzut în textul original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  <w:r w:rsidR="00FF5084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="00B53976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Acest lucru poate conduce la neînţelegeri</w:t>
      </w:r>
      <w:r w:rsidR="00FF5084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</w:t>
      </w:r>
      <w:r w:rsidR="00B53976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necesitatea clarificărilor</w:t>
      </w:r>
      <w:r w:rsidR="00FF5084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="00B53976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şi</w:t>
      </w:r>
      <w:r w:rsidR="00FF5084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="00B53976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întârzieri</w:t>
      </w:r>
      <w:r w:rsidR="00FF5084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.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r w:rsidR="00B53976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Translatorii trebuie să traducă numai ceea ce a fost completat în formular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, </w:t>
      </w:r>
      <w:r w:rsidR="000A74B6"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>nu formularul în sine</w:t>
      </w:r>
      <w:r w:rsidRPr="0044376B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. </w:t>
      </w:r>
      <w:hyperlink r:id="rId21" w:history="1">
        <w:r w:rsidR="000A74B6"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>Toate</w:t>
        </w:r>
        <w:r w:rsidR="00081900"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 xml:space="preserve"> </w:t>
        </w:r>
        <w:r w:rsidR="000A74B6"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>textele autentice</w:t>
        </w:r>
        <w:r w:rsidR="00081900"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 xml:space="preserve"> </w:t>
        </w:r>
        <w:r w:rsidR="000A74B6"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>pot fi identificate</w:t>
        </w:r>
        <w:r w:rsidR="00081900"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 xml:space="preserve"> </w:t>
        </w:r>
        <w:r w:rsidR="000A74B6"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>şi</w:t>
        </w:r>
        <w:r w:rsidR="00081900"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 xml:space="preserve"> </w:t>
        </w:r>
        <w:r w:rsidR="000A74B6"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>descărcate</w:t>
        </w:r>
        <w:r w:rsidR="00081900"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 xml:space="preserve"> </w:t>
        </w:r>
        <w:r w:rsidR="000A74B6" w:rsidRPr="0044376B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nl-NL"/>
          </w:rPr>
          <w:t>aici</w:t>
        </w:r>
      </w:hyperlink>
      <w:r w:rsidR="00081900" w:rsidRPr="0044376B">
        <w:rPr>
          <w:rFonts w:ascii="Times New Roman" w:hAnsi="Times New Roman" w:cs="Times New Roman"/>
        </w:rPr>
        <w:t xml:space="preserve">. </w:t>
      </w:r>
      <w:r w:rsidR="00623718" w:rsidRPr="0044376B">
        <w:rPr>
          <w:rFonts w:ascii="Times New Roman" w:hAnsi="Times New Roman" w:cs="Times New Roman"/>
          <w:sz w:val="28"/>
          <w:szCs w:val="28"/>
        </w:rPr>
        <w:t>Această remarcă este valabilă şi pentru cei care realizează</w:t>
      </w:r>
      <w:r w:rsidR="00081900" w:rsidRPr="0044376B">
        <w:rPr>
          <w:rFonts w:ascii="Times New Roman" w:hAnsi="Times New Roman" w:cs="Times New Roman"/>
          <w:sz w:val="28"/>
          <w:szCs w:val="28"/>
        </w:rPr>
        <w:t xml:space="preserve"> </w:t>
      </w:r>
      <w:r w:rsidR="00623718" w:rsidRPr="00B73254">
        <w:rPr>
          <w:rFonts w:ascii="Times New Roman" w:hAnsi="Times New Roman" w:cs="Times New Roman"/>
          <w:sz w:val="28"/>
          <w:szCs w:val="28"/>
        </w:rPr>
        <w:t>traducerea</w:t>
      </w:r>
      <w:r w:rsidR="00081900" w:rsidRPr="00B73254">
        <w:rPr>
          <w:rFonts w:ascii="Times New Roman" w:hAnsi="Times New Roman" w:cs="Times New Roman"/>
          <w:sz w:val="28"/>
          <w:szCs w:val="28"/>
        </w:rPr>
        <w:t xml:space="preserve"> </w:t>
      </w:r>
      <w:r w:rsidR="00623718" w:rsidRPr="00B73254">
        <w:rPr>
          <w:rFonts w:ascii="Times New Roman" w:hAnsi="Times New Roman" w:cs="Times New Roman"/>
          <w:sz w:val="28"/>
          <w:szCs w:val="28"/>
        </w:rPr>
        <w:t>descrierii faptelor</w:t>
      </w:r>
      <w:r w:rsidR="00081900" w:rsidRPr="00B73254">
        <w:rPr>
          <w:rFonts w:ascii="Times New Roman" w:hAnsi="Times New Roman" w:cs="Times New Roman"/>
          <w:sz w:val="28"/>
          <w:szCs w:val="28"/>
        </w:rPr>
        <w:t xml:space="preserve"> </w:t>
      </w:r>
      <w:r w:rsidR="00623718" w:rsidRPr="00B73254">
        <w:rPr>
          <w:rFonts w:ascii="Times New Roman" w:hAnsi="Times New Roman" w:cs="Times New Roman"/>
          <w:sz w:val="28"/>
          <w:szCs w:val="28"/>
        </w:rPr>
        <w:t>şi</w:t>
      </w:r>
      <w:r w:rsidR="00081900" w:rsidRPr="00B73254">
        <w:rPr>
          <w:rFonts w:ascii="Times New Roman" w:hAnsi="Times New Roman" w:cs="Times New Roman"/>
          <w:sz w:val="28"/>
          <w:szCs w:val="28"/>
        </w:rPr>
        <w:t xml:space="preserve"> </w:t>
      </w:r>
      <w:r w:rsidR="00623718" w:rsidRPr="00B73254">
        <w:rPr>
          <w:rFonts w:ascii="Times New Roman" w:hAnsi="Times New Roman" w:cs="Times New Roman"/>
          <w:sz w:val="28"/>
          <w:szCs w:val="28"/>
        </w:rPr>
        <w:t>instrucţiunile</w:t>
      </w:r>
      <w:r w:rsidR="00081900" w:rsidRPr="0044376B">
        <w:rPr>
          <w:rFonts w:ascii="Times New Roman" w:hAnsi="Times New Roman" w:cs="Times New Roman"/>
          <w:sz w:val="28"/>
          <w:szCs w:val="28"/>
        </w:rPr>
        <w:t>.)</w:t>
      </w:r>
    </w:p>
    <w:p w14:paraId="0620FEBB" w14:textId="2814DAA4" w:rsidR="004B623C" w:rsidRPr="0044376B" w:rsidRDefault="00B2082C" w:rsidP="0065667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 xml:space="preserve">III. </w:t>
      </w:r>
      <w:r w:rsidR="007A1310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>Speţa nr. 2</w:t>
      </w:r>
      <w:r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 xml:space="preserve">, </w:t>
      </w:r>
      <w:r w:rsidR="007A1310"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>continuarea Speţei nr.</w:t>
      </w:r>
      <w:r w:rsidRPr="0044376B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ro-RO"/>
        </w:rPr>
        <w:t xml:space="preserve"> 1:</w:t>
      </w:r>
    </w:p>
    <w:p w14:paraId="0B34D6D7" w14:textId="5FDE5152" w:rsidR="00B2082C" w:rsidRPr="0044376B" w:rsidRDefault="006F1E5A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Această întrebare adaugă o problemă recentă cu privire la executarea unui MEA care a apărut în jurisprudenţa Curţii de Justiţie (vezi</w:t>
      </w:r>
      <w:r w:rsidR="00B20B05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5 aprilie 2016,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cauzele reunite</w:t>
      </w:r>
      <w:r w:rsidR="00B63ECE" w:rsidRPr="0044376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B63ECE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C‑404/15 </w:t>
        </w:r>
        <w:r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şi</w:t>
        </w:r>
        <w:r w:rsidR="00B63ECE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C‑659/15 PPU</w:t>
        </w:r>
      </w:hyperlink>
      <w:r w:rsidR="00B63ECE" w:rsidRPr="0044376B">
        <w:rPr>
          <w:rFonts w:ascii="Times New Roman" w:hAnsi="Times New Roman" w:cs="Times New Roman"/>
          <w:sz w:val="28"/>
          <w:szCs w:val="28"/>
        </w:rPr>
        <w:t xml:space="preserve">, </w:t>
      </w:r>
      <w:r w:rsidR="00B63ECE" w:rsidRPr="0044376B">
        <w:rPr>
          <w:rFonts w:ascii="Times New Roman" w:hAnsi="Times New Roman" w:cs="Times New Roman"/>
          <w:i/>
          <w:sz w:val="28"/>
          <w:szCs w:val="28"/>
        </w:rPr>
        <w:t xml:space="preserve">Pál Aranyosi (C‑404/15) </w:t>
      </w:r>
      <w:r w:rsidRPr="0044376B">
        <w:rPr>
          <w:rFonts w:ascii="Times New Roman" w:hAnsi="Times New Roman" w:cs="Times New Roman"/>
          <w:i/>
          <w:sz w:val="28"/>
          <w:szCs w:val="28"/>
        </w:rPr>
        <w:t>şi</w:t>
      </w:r>
      <w:r w:rsidR="00B63ECE" w:rsidRPr="0044376B">
        <w:rPr>
          <w:rFonts w:ascii="Times New Roman" w:hAnsi="Times New Roman" w:cs="Times New Roman"/>
          <w:i/>
          <w:sz w:val="28"/>
          <w:szCs w:val="28"/>
        </w:rPr>
        <w:t xml:space="preserve"> Robert Căldăraru (C‑659/15 PPU)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63EC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20B05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Acest lucru demonstrează faptul că recunoaşterea reciprocă nu are caracter absolut şi că anumite limitări pot exista în privinţa obligaţiei generale de a respecta un MEA</w:t>
      </w:r>
      <w:r w:rsidR="00B63EC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20B05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Cerinţele impuse de Curte au impact, atât asupra autorităţilor de executare, cât şi asupra autorităţilor emitente</w:t>
      </w:r>
      <w:r w:rsidR="00B63EC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36956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Autorităţile de executare vor fi obligate să solicite informaţii cu privire la condiţiile de detenţie pe care le va avea persoana solicitată după predare</w:t>
      </w:r>
      <w:r w:rsidR="00B63EC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36956" w:rsidRPr="00B73254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Autorităţile emitente vor trebui să răspundă la aceste întrebări şi vor trebui, în unele cazuri, să ofere garanţii privind aducerea persoanei solicitate şi încarcerarea aceste</w:t>
      </w:r>
      <w:r w:rsid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ia într-o anumită unitate de deținere</w:t>
      </w:r>
      <w:r w:rsidR="00B63EC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5229BE0" w14:textId="1A14F4B5" w:rsidR="00AA2B9D" w:rsidRPr="0044376B" w:rsidRDefault="002733A7" w:rsidP="0065667B">
      <w:pPr>
        <w:spacing w:after="16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Î</w:t>
      </w:r>
      <w:r w:rsidR="00B63ECE" w:rsidRPr="0044376B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1.</w:t>
      </w:r>
      <w:r w:rsidR="00B63ECE" w:rsidRPr="0044376B">
        <w:rPr>
          <w:rStyle w:val="Strong"/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="007A1310" w:rsidRPr="0044376B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Este obligată autoritatea de executare să soluţioneze această chestiune</w:t>
      </w:r>
      <w:r w:rsidR="00B2082C" w:rsidRPr="0044376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?</w:t>
      </w:r>
    </w:p>
    <w:p w14:paraId="101401E0" w14:textId="4642A979" w:rsidR="00B63ECE" w:rsidRPr="0044376B" w:rsidRDefault="001A558F" w:rsidP="0065667B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6B">
        <w:rPr>
          <w:rFonts w:ascii="Times New Roman" w:hAnsi="Times New Roman" w:cs="Times New Roman"/>
          <w:sz w:val="28"/>
          <w:szCs w:val="28"/>
        </w:rPr>
        <w:t>Da</w:t>
      </w:r>
      <w:r w:rsidR="00AA2B9D" w:rsidRPr="0044376B">
        <w:rPr>
          <w:rFonts w:ascii="Times New Roman" w:hAnsi="Times New Roman" w:cs="Times New Roman"/>
          <w:sz w:val="28"/>
          <w:szCs w:val="28"/>
        </w:rPr>
        <w:t>,</w:t>
      </w:r>
      <w:r w:rsidRPr="0044376B">
        <w:rPr>
          <w:rFonts w:ascii="Times New Roman" w:hAnsi="Times New Roman" w:cs="Times New Roman"/>
          <w:sz w:val="28"/>
          <w:szCs w:val="28"/>
        </w:rPr>
        <w:t xml:space="preserve"> are această obligaţie</w:t>
      </w:r>
      <w:r w:rsidR="00B63ECE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Pr="0044376B">
        <w:rPr>
          <w:rFonts w:ascii="Times New Roman" w:hAnsi="Times New Roman" w:cs="Times New Roman"/>
          <w:sz w:val="28"/>
          <w:szCs w:val="28"/>
        </w:rPr>
        <w:t>Cererea apărătorului vizează o posibilă încălcare a drepturilor fundamentale ale persoanei în statul membru emitent</w:t>
      </w:r>
      <w:r w:rsidR="00B63ECE" w:rsidRPr="0044376B">
        <w:rPr>
          <w:rFonts w:ascii="Times New Roman" w:hAnsi="Times New Roman" w:cs="Times New Roman"/>
          <w:sz w:val="28"/>
          <w:szCs w:val="28"/>
        </w:rPr>
        <w:t xml:space="preserve">. </w:t>
      </w:r>
      <w:r w:rsidRPr="0044376B">
        <w:rPr>
          <w:rFonts w:ascii="Times New Roman" w:hAnsi="Times New Roman" w:cs="Times New Roman"/>
          <w:sz w:val="28"/>
          <w:szCs w:val="28"/>
        </w:rPr>
        <w:t>Curtea a stabilit faptul că o persoană solicitată trebuie să fie protejată mereu împotriva unui astfel de risc</w:t>
      </w:r>
      <w:r w:rsidR="00B63ECE" w:rsidRPr="0044376B">
        <w:rPr>
          <w:rFonts w:ascii="Times New Roman" w:hAnsi="Times New Roman" w:cs="Times New Roman"/>
          <w:sz w:val="28"/>
          <w:szCs w:val="28"/>
        </w:rPr>
        <w:t>.</w:t>
      </w:r>
    </w:p>
    <w:p w14:paraId="6A989E67" w14:textId="50B13D4F" w:rsidR="00AA2B9D" w:rsidRPr="0044376B" w:rsidRDefault="002733A7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Î</w:t>
      </w:r>
      <w:r w:rsidR="00B63ECE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 xml:space="preserve">2. </w:t>
      </w:r>
      <w:r w:rsidR="007A1310" w:rsidRPr="00826B47">
        <w:rPr>
          <w:rStyle w:val="Strong"/>
          <w:rFonts w:ascii="Times New Roman" w:hAnsi="Times New Roman" w:cs="Times New Roman"/>
          <w:b w:val="0"/>
          <w:bCs w:val="0"/>
          <w:i/>
          <w:color w:val="4F81BD" w:themeColor="accent1"/>
          <w:sz w:val="28"/>
          <w:szCs w:val="28"/>
        </w:rPr>
        <w:t>În caz afirmativ, în ce manieră va proceda</w:t>
      </w:r>
      <w:r w:rsidR="00B2082C" w:rsidRPr="00826B47">
        <w:rPr>
          <w:rStyle w:val="Strong"/>
          <w:rFonts w:ascii="Times New Roman" w:hAnsi="Times New Roman" w:cs="Times New Roman"/>
          <w:b w:val="0"/>
          <w:bCs w:val="0"/>
          <w:i/>
          <w:color w:val="4F81BD" w:themeColor="accent1"/>
          <w:sz w:val="28"/>
          <w:szCs w:val="28"/>
        </w:rPr>
        <w:t>?</w:t>
      </w:r>
    </w:p>
    <w:p w14:paraId="7C01BFD0" w14:textId="07B600ED" w:rsidR="00BF5363" w:rsidRPr="0044376B" w:rsidRDefault="00366DD7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Consecinţa jurisprudenţei Curţii este faptul că, în prezent, statul membru emitent trebuie să indice închisoarea în care va fi încarcerată persoana solicitată</w:t>
      </w:r>
      <w:r w:rsidR="00B63EC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 privinţa cărei</w:t>
      </w:r>
      <w:r w:rsidR="00FB6215"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</w:t>
      </w:r>
      <w:r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condiţiile de detenţie/circumstanţele sunt necontestate</w:t>
      </w:r>
      <w:r w:rsidR="00B63ECE"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C2B9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Aceste informaţii ar trebui să vizeze locul de detenţie în care urmează să fie adusă persoana solicitată</w:t>
      </w:r>
      <w:r w:rsidR="00B63EC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C2B9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Astfel, pot fi anticipate efectele pe termen scurt</w:t>
      </w:r>
      <w:r w:rsidR="00B63EC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C2B9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 speţa noastră înseamnă că</w:t>
      </w:r>
      <w:r w:rsidR="00B63EC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C2B9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 cazul în care evaluarea făcută de</w:t>
      </w:r>
      <w:r w:rsidR="00B63EC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104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Tribunalul d</w:t>
      </w:r>
      <w:r w:rsidR="008C2B9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istrictual din</w:t>
      </w:r>
      <w:r w:rsidR="00B63EC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2B9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Amsterdam concluzionează că aceste condiţii din locul de detenţie în care ar urma să fie dus Drion nu respectă cerinţele impuse de art. 4 din Cartă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C2B9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autorităţile elene vor trebui să indice un alt loc de detenţie care să respecte condiţiile impuse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NB: </w:t>
      </w:r>
      <w:r w:rsidR="008C2B9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Curtea a menţionat că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C2B9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 principiu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C2B9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această chestiune ar putea conduce la o amânare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C2B9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dar nu la un refuz final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A288C11" w14:textId="77777777" w:rsidR="00140EEF" w:rsidRPr="0044376B" w:rsidRDefault="00140EEF" w:rsidP="0065667B">
      <w:pPr>
        <w:spacing w:after="160" w:line="240" w:lineRule="auto"/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br w:type="page"/>
      </w:r>
    </w:p>
    <w:p w14:paraId="30924B9B" w14:textId="44602E47" w:rsidR="00AA2B9D" w:rsidRPr="00826B47" w:rsidRDefault="002733A7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color w:val="4F81BD" w:themeColor="accent1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lastRenderedPageBreak/>
        <w:t>Î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 xml:space="preserve">3. </w:t>
      </w:r>
      <w:bookmarkStart w:id="1" w:name="_GoBack"/>
      <w:r w:rsidR="007A1310" w:rsidRPr="00826B47">
        <w:rPr>
          <w:rStyle w:val="Strong"/>
          <w:rFonts w:ascii="Times New Roman" w:hAnsi="Times New Roman" w:cs="Times New Roman"/>
          <w:b w:val="0"/>
          <w:bCs w:val="0"/>
          <w:i/>
          <w:color w:val="4F81BD" w:themeColor="accent1"/>
          <w:sz w:val="28"/>
          <w:szCs w:val="28"/>
        </w:rPr>
        <w:t>Autoritatea emitentă are vreun rol în această chestiune</w:t>
      </w:r>
      <w:r w:rsidR="00B2082C" w:rsidRPr="00826B47">
        <w:rPr>
          <w:rStyle w:val="Strong"/>
          <w:rFonts w:ascii="Times New Roman" w:hAnsi="Times New Roman" w:cs="Times New Roman"/>
          <w:b w:val="0"/>
          <w:bCs w:val="0"/>
          <w:i/>
          <w:color w:val="4F81BD" w:themeColor="accent1"/>
          <w:sz w:val="28"/>
          <w:szCs w:val="28"/>
        </w:rPr>
        <w:t>?</w:t>
      </w:r>
    </w:p>
    <w:bookmarkEnd w:id="1"/>
    <w:p w14:paraId="6B984804" w14:textId="00364A08" w:rsidR="00081900" w:rsidRPr="0044376B" w:rsidRDefault="003A2E58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Da</w:t>
      </w:r>
      <w:r w:rsidR="00AA2B9D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are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Autoritatea emitentă va trebui să furnizeze informaţii concrete cu privire la condiţiile de detenţiei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din locul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unde va fi adusă persoana solicitată. Astfel, poate fi vorba despre metrii pătraţi disponibili pentru fiecare deţinut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de numărul orelor pe car</w:t>
      </w:r>
      <w:r w:rsidR="004461A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e acesta le poate petrece în ex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teriorul celulei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precum şi orice alte facilităţi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De ex. î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n </w:t>
      </w:r>
      <w:hyperlink r:id="rId23" w:history="1">
        <w:r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cazul Dorobanţ</w:t>
        </w:r>
        <w:r w:rsidR="00BF5363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u </w:t>
        </w:r>
        <w:r w:rsidR="00AA2B9D" w:rsidRPr="0044376B">
          <w:rPr>
            <w:rStyle w:val="Hyperlink"/>
            <w:rFonts w:ascii="Times New Roman" w:hAnsi="Times New Roman" w:cs="Times New Roman"/>
            <w:sz w:val="28"/>
            <w:szCs w:val="28"/>
          </w:rPr>
          <w:t>(C-128/18)</w:t>
        </w:r>
      </w:hyperlink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autoritatea emitentă a pus la dispoziţia autorităţii d</w:t>
      </w:r>
      <w:r w:rsidR="004461A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e executare următoarele informa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ţii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„domnul Dorobanţ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u,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pe perioada procesului penal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va fi deţinut într-o celulă de 4 persoane măsurând 12,30 m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2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 12,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67 m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2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sau 13,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50 m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2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ori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într-o celulă de 10 persoane măsurând 36,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25 m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2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 cazul în care domnul Dorob</w:t>
      </w:r>
      <w:r w:rsidR="004461A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anţu va fi condamnat la o pedea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</w:t>
      </w:r>
      <w:r w:rsidR="004461A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ă privativă de libertate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iniţial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va fi deţinut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într-un loc de detenţie în care fiecare persoană încarcerată beneficiază de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3 m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2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iar, ulterior, în aceleaşi condiţii, într-o închisoare cu regim închis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 or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i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cu regim semi-deschis sau deschis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într-o celulă cu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2 m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2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D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spaţiu pentru fiecare persoană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507F2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”</w:t>
      </w:r>
      <w:r w:rsidR="00912A48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C0FBFB5" w14:textId="580F28C5" w:rsidR="00AA2B9D" w:rsidRPr="0044376B" w:rsidRDefault="002733A7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Î</w:t>
      </w:r>
      <w:r w:rsidR="00BF5363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 xml:space="preserve">4. </w:t>
      </w:r>
      <w:r w:rsidR="007A1310" w:rsidRPr="0044376B">
        <w:rPr>
          <w:rStyle w:val="Strong"/>
          <w:rFonts w:ascii="Times New Roman" w:hAnsi="Times New Roman" w:cs="Times New Roman"/>
          <w:b w:val="0"/>
          <w:bCs w:val="0"/>
          <w:i/>
          <w:color w:val="4F81BD" w:themeColor="accent1"/>
          <w:sz w:val="28"/>
          <w:szCs w:val="28"/>
        </w:rPr>
        <w:t>Are autoritatea de executare posibilitatea de a amâna sau de a refuza executarea MEA</w:t>
      </w:r>
      <w:r w:rsidR="00B2082C" w:rsidRPr="0044376B">
        <w:rPr>
          <w:rStyle w:val="Strong"/>
          <w:rFonts w:ascii="Times New Roman" w:hAnsi="Times New Roman" w:cs="Times New Roman"/>
          <w:b w:val="0"/>
          <w:bCs w:val="0"/>
          <w:i/>
          <w:color w:val="365F91" w:themeColor="accent1" w:themeShade="BF"/>
          <w:sz w:val="28"/>
          <w:szCs w:val="28"/>
        </w:rPr>
        <w:t>?</w:t>
      </w:r>
    </w:p>
    <w:p w14:paraId="4160C07E" w14:textId="01718F13" w:rsidR="00FF5084" w:rsidRPr="00FB6215" w:rsidRDefault="005E5A09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Da</w:t>
      </w:r>
      <w:r w:rsidR="00AA2B9D"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F5363"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are</w:t>
      </w:r>
      <w:r w:rsidR="00BF5363"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Astfel cum a fost menţionat anterior</w:t>
      </w:r>
      <w:r w:rsidR="00BF5363"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de regulă, rezultatul trebuie să fie reprezentat de executarea MEA</w:t>
      </w:r>
      <w:r w:rsidR="00BF5363"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Cu toate acestea</w:t>
      </w:r>
      <w:r w:rsidR="00BF5363"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Curtea</w:t>
      </w:r>
      <w:r w:rsidR="00BF5363"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 avut în vedere că, în situaţii excepţionale, MEA nu poate fi executat</w:t>
      </w:r>
      <w:r w:rsidR="00BF5363" w:rsidRPr="00FB621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C4E4642" w14:textId="77777777" w:rsidR="00FB6215" w:rsidRDefault="00FB6215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Cs w:val="0"/>
          <w:color w:val="365F91" w:themeColor="accent1" w:themeShade="BF"/>
          <w:sz w:val="28"/>
          <w:szCs w:val="28"/>
        </w:rPr>
      </w:pPr>
    </w:p>
    <w:p w14:paraId="37C58880" w14:textId="4922EE4B" w:rsidR="00AA2B9D" w:rsidRPr="0044376B" w:rsidRDefault="00AA2B9D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Cs w:val="0"/>
          <w:color w:val="365F91" w:themeColor="accent1" w:themeShade="BF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Cs w:val="0"/>
          <w:color w:val="365F91" w:themeColor="accent1" w:themeShade="BF"/>
          <w:sz w:val="28"/>
          <w:szCs w:val="28"/>
        </w:rPr>
        <w:t xml:space="preserve">A. </w:t>
      </w:r>
      <w:r w:rsidR="00FF5084" w:rsidRPr="0044376B">
        <w:rPr>
          <w:rStyle w:val="Strong"/>
          <w:rFonts w:ascii="Times New Roman" w:hAnsi="Times New Roman" w:cs="Times New Roman"/>
          <w:bCs w:val="0"/>
          <w:color w:val="365F91" w:themeColor="accent1" w:themeShade="BF"/>
          <w:sz w:val="28"/>
          <w:szCs w:val="28"/>
        </w:rPr>
        <w:t xml:space="preserve">IV. </w:t>
      </w:r>
      <w:r w:rsidR="002733A7" w:rsidRPr="0044376B">
        <w:rPr>
          <w:rStyle w:val="Strong"/>
          <w:rFonts w:ascii="Times New Roman" w:hAnsi="Times New Roman" w:cs="Times New Roman"/>
          <w:bCs w:val="0"/>
          <w:color w:val="365F91" w:themeColor="accent1" w:themeShade="BF"/>
          <w:sz w:val="28"/>
          <w:szCs w:val="28"/>
        </w:rPr>
        <w:t>Cazul Norvegiei</w:t>
      </w:r>
    </w:p>
    <w:p w14:paraId="30127177" w14:textId="3865AD36" w:rsidR="00B5030B" w:rsidRPr="0044376B" w:rsidRDefault="005E5A09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Acordul din 2006 dintre Uniunea Europeană, Republica Islanda şi Regatul Norvegiei privind procedurile de predare</w:t>
      </w:r>
      <w:r w:rsidR="00FF508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între statele membre ale Uniunii Europene, Islanda şi Norvegia a intrat în vigoare la data de 1 noiembrie</w:t>
      </w:r>
      <w:r w:rsidR="00FF508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2019.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Asemănările cu MEA sunt evidente</w:t>
      </w:r>
      <w:r w:rsidR="00FF508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Cu toate acestea</w:t>
      </w:r>
      <w:r w:rsidR="00FF508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4376B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8"/>
        </w:rPr>
        <w:t>Mandatele de arestare</w:t>
      </w:r>
      <w:r w:rsidR="00FF508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sunt emise</w:t>
      </w:r>
      <w:r w:rsidR="00FF508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A739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Art.</w:t>
      </w:r>
      <w:r w:rsidR="00FF508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3 </w:t>
      </w:r>
      <w:r w:rsidR="005A739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al Acordului</w:t>
      </w:r>
      <w:r w:rsidR="00FF508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739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impune aceleaşi condiţii</w:t>
      </w:r>
      <w:r w:rsidR="00FF508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739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faptelor care se încadrează în vederea solicitării predării, precum cele prevăzute în art. 2</w:t>
      </w:r>
      <w:r w:rsidR="00FF508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739E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al Deciziei cadru privind MEA</w:t>
      </w:r>
      <w:r w:rsidR="00FF5084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5030B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53E1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Vă rugăm să reţineţi faptul că</w:t>
      </w:r>
      <w:r w:rsidR="00B5030B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53E1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Convenţia Europeană a Consiliului Europei din </w:t>
      </w:r>
      <w:r w:rsidR="00B5030B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1957 </w:t>
      </w:r>
      <w:r w:rsidR="005C53E1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privind</w:t>
      </w:r>
      <w:r w:rsidR="00B5030B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53E1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extrădarea</w:t>
      </w:r>
      <w:r w:rsidR="00B5030B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53E1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nu se mai aplică în cazul Norvegiei şi Islandei (a</w:t>
      </w:r>
      <w:r w:rsidR="00B5030B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rt. 34 </w:t>
      </w:r>
      <w:r w:rsidR="005C53E1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din Acord</w:t>
      </w:r>
      <w:r w:rsidR="00B5030B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). </w:t>
      </w:r>
      <w:r w:rsidR="005C53E1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De asemenea, este probabil ca Norvegia să permită predare pentru toate cele trei infracţiuni</w:t>
      </w:r>
      <w:r w:rsidR="00B5030B" w:rsidRPr="0044376B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E97A956" w14:textId="77777777" w:rsidR="003B4907" w:rsidRPr="0044376B" w:rsidRDefault="003B4907" w:rsidP="0065667B">
      <w:pPr>
        <w:spacing w:after="16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3B4907" w:rsidRPr="0044376B" w:rsidSect="001E23E4">
      <w:footerReference w:type="default" r:id="rId24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8E289" w14:textId="77777777" w:rsidR="00B82937" w:rsidRDefault="00B82937" w:rsidP="00D353E2">
      <w:pPr>
        <w:spacing w:line="240" w:lineRule="auto"/>
      </w:pPr>
      <w:r>
        <w:separator/>
      </w:r>
    </w:p>
  </w:endnote>
  <w:endnote w:type="continuationSeparator" w:id="0">
    <w:p w14:paraId="132A8F80" w14:textId="77777777" w:rsidR="00B82937" w:rsidRDefault="00B82937" w:rsidP="00D35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665841"/>
      <w:docPartObj>
        <w:docPartGallery w:val="Page Numbers (Bottom of Page)"/>
        <w:docPartUnique/>
      </w:docPartObj>
    </w:sdtPr>
    <w:sdtEndPr/>
    <w:sdtContent>
      <w:p w14:paraId="4585EA5B" w14:textId="77EE93C9" w:rsidR="00690792" w:rsidRDefault="00690792">
        <w:pPr>
          <w:pStyle w:val="Footer"/>
          <w:jc w:val="right"/>
        </w:pPr>
        <w:r w:rsidRPr="00C87BC5">
          <w:rPr>
            <w:rFonts w:ascii="Times New Roman" w:hAnsi="Times New Roman" w:cs="Times New Roman"/>
            <w:b/>
            <w:noProof w:val="0"/>
          </w:rPr>
          <w:fldChar w:fldCharType="begin"/>
        </w:r>
        <w:r w:rsidRPr="00C87BC5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C87BC5">
          <w:rPr>
            <w:rFonts w:ascii="Times New Roman" w:hAnsi="Times New Roman" w:cs="Times New Roman"/>
            <w:b/>
            <w:noProof w:val="0"/>
          </w:rPr>
          <w:fldChar w:fldCharType="separate"/>
        </w:r>
        <w:r w:rsidR="00826B47">
          <w:rPr>
            <w:rFonts w:ascii="Times New Roman" w:hAnsi="Times New Roman" w:cs="Times New Roman"/>
            <w:b/>
          </w:rPr>
          <w:t>16</w:t>
        </w:r>
        <w:r w:rsidRPr="00C87BC5">
          <w:rPr>
            <w:rFonts w:ascii="Times New Roman" w:hAnsi="Times New Roman" w:cs="Times New Roman"/>
            <w:b/>
          </w:rPr>
          <w:fldChar w:fldCharType="end"/>
        </w:r>
      </w:p>
    </w:sdtContent>
  </w:sdt>
  <w:p w14:paraId="3D7C6C77" w14:textId="77777777" w:rsidR="00690792" w:rsidRDefault="00690792" w:rsidP="00C87B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C99AE" w14:textId="77777777" w:rsidR="00B82937" w:rsidRDefault="00B82937" w:rsidP="00D353E2">
      <w:pPr>
        <w:spacing w:line="240" w:lineRule="auto"/>
      </w:pPr>
      <w:r>
        <w:separator/>
      </w:r>
    </w:p>
  </w:footnote>
  <w:footnote w:type="continuationSeparator" w:id="0">
    <w:p w14:paraId="56EF3134" w14:textId="77777777" w:rsidR="00B82937" w:rsidRDefault="00B82937" w:rsidP="00D35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8E4"/>
    <w:multiLevelType w:val="hybridMultilevel"/>
    <w:tmpl w:val="1D745E92"/>
    <w:lvl w:ilvl="0" w:tplc="B4908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5524"/>
    <w:multiLevelType w:val="hybridMultilevel"/>
    <w:tmpl w:val="2F9CB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7520"/>
    <w:multiLevelType w:val="multilevel"/>
    <w:tmpl w:val="727205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60AD2"/>
    <w:multiLevelType w:val="hybridMultilevel"/>
    <w:tmpl w:val="1D745E92"/>
    <w:lvl w:ilvl="0" w:tplc="B4908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5443"/>
    <w:multiLevelType w:val="hybridMultilevel"/>
    <w:tmpl w:val="1E785294"/>
    <w:lvl w:ilvl="0" w:tplc="5A5AC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239CE"/>
    <w:multiLevelType w:val="hybridMultilevel"/>
    <w:tmpl w:val="60D89248"/>
    <w:lvl w:ilvl="0" w:tplc="E2DCB94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3051D"/>
    <w:multiLevelType w:val="hybridMultilevel"/>
    <w:tmpl w:val="DAA237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4655E"/>
    <w:multiLevelType w:val="hybridMultilevel"/>
    <w:tmpl w:val="E67220CE"/>
    <w:lvl w:ilvl="0" w:tplc="C2AE3DCE">
      <w:start w:val="1"/>
      <w:numFmt w:val="upperLetter"/>
      <w:lvlText w:val="%1."/>
      <w:lvlJc w:val="left"/>
      <w:pPr>
        <w:ind w:left="720" w:hanging="360"/>
      </w:pPr>
      <w:rPr>
        <w:rFonts w:hint="default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04C0"/>
    <w:multiLevelType w:val="hybridMultilevel"/>
    <w:tmpl w:val="A09E7D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B0222"/>
    <w:multiLevelType w:val="hybridMultilevel"/>
    <w:tmpl w:val="566253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74B29"/>
    <w:multiLevelType w:val="hybridMultilevel"/>
    <w:tmpl w:val="1F985E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D76"/>
    <w:multiLevelType w:val="hybridMultilevel"/>
    <w:tmpl w:val="6B32C6B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A4391"/>
    <w:multiLevelType w:val="multilevel"/>
    <w:tmpl w:val="C952D4E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A0D59"/>
    <w:multiLevelType w:val="hybridMultilevel"/>
    <w:tmpl w:val="A09E7D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B5C11"/>
    <w:multiLevelType w:val="multilevel"/>
    <w:tmpl w:val="727205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91F13"/>
    <w:multiLevelType w:val="multilevel"/>
    <w:tmpl w:val="C952D4E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686B36"/>
    <w:multiLevelType w:val="hybridMultilevel"/>
    <w:tmpl w:val="FB906EF6"/>
    <w:lvl w:ilvl="0" w:tplc="4FD29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F6BCF"/>
    <w:multiLevelType w:val="multilevel"/>
    <w:tmpl w:val="55B8E9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E3868"/>
    <w:multiLevelType w:val="multilevel"/>
    <w:tmpl w:val="C952D4E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6"/>
  </w:num>
  <w:num w:numId="5">
    <w:abstractNumId w:val="12"/>
  </w:num>
  <w:num w:numId="6">
    <w:abstractNumId w:val="13"/>
  </w:num>
  <w:num w:numId="7">
    <w:abstractNumId w:val="1"/>
  </w:num>
  <w:num w:numId="8">
    <w:abstractNumId w:val="14"/>
  </w:num>
  <w:num w:numId="9">
    <w:abstractNumId w:val="18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  <w:num w:numId="14">
    <w:abstractNumId w:val="4"/>
  </w:num>
  <w:num w:numId="15">
    <w:abstractNumId w:val="10"/>
  </w:num>
  <w:num w:numId="16">
    <w:abstractNumId w:val="15"/>
  </w:num>
  <w:num w:numId="17">
    <w:abstractNumId w:val="0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C7"/>
    <w:rsid w:val="00005608"/>
    <w:rsid w:val="00006CF8"/>
    <w:rsid w:val="00025702"/>
    <w:rsid w:val="0003371B"/>
    <w:rsid w:val="00053B83"/>
    <w:rsid w:val="0007613E"/>
    <w:rsid w:val="00081900"/>
    <w:rsid w:val="00084EA9"/>
    <w:rsid w:val="0008551F"/>
    <w:rsid w:val="000928BF"/>
    <w:rsid w:val="000A14BE"/>
    <w:rsid w:val="000A6A08"/>
    <w:rsid w:val="000A74B6"/>
    <w:rsid w:val="000B4FB6"/>
    <w:rsid w:val="000B79F4"/>
    <w:rsid w:val="000C0AD0"/>
    <w:rsid w:val="000C482E"/>
    <w:rsid w:val="000D5582"/>
    <w:rsid w:val="000E29E6"/>
    <w:rsid w:val="000F504A"/>
    <w:rsid w:val="000F5C94"/>
    <w:rsid w:val="000F6045"/>
    <w:rsid w:val="00107C53"/>
    <w:rsid w:val="00114FD5"/>
    <w:rsid w:val="0011743E"/>
    <w:rsid w:val="001203AA"/>
    <w:rsid w:val="00122317"/>
    <w:rsid w:val="00125B21"/>
    <w:rsid w:val="001322C4"/>
    <w:rsid w:val="00140EEF"/>
    <w:rsid w:val="00145B34"/>
    <w:rsid w:val="001465DE"/>
    <w:rsid w:val="00146F8D"/>
    <w:rsid w:val="0014702A"/>
    <w:rsid w:val="00147310"/>
    <w:rsid w:val="0014764B"/>
    <w:rsid w:val="001540EB"/>
    <w:rsid w:val="001573FD"/>
    <w:rsid w:val="001610C0"/>
    <w:rsid w:val="00170260"/>
    <w:rsid w:val="0018278E"/>
    <w:rsid w:val="0018467C"/>
    <w:rsid w:val="001866D2"/>
    <w:rsid w:val="001A558F"/>
    <w:rsid w:val="001D0431"/>
    <w:rsid w:val="001E1987"/>
    <w:rsid w:val="001E23E4"/>
    <w:rsid w:val="001E4A81"/>
    <w:rsid w:val="001E5366"/>
    <w:rsid w:val="001F3093"/>
    <w:rsid w:val="0020711F"/>
    <w:rsid w:val="00217304"/>
    <w:rsid w:val="0023168E"/>
    <w:rsid w:val="002510D7"/>
    <w:rsid w:val="00265878"/>
    <w:rsid w:val="0026691B"/>
    <w:rsid w:val="00267F23"/>
    <w:rsid w:val="00270020"/>
    <w:rsid w:val="002733A7"/>
    <w:rsid w:val="0027629A"/>
    <w:rsid w:val="00276523"/>
    <w:rsid w:val="00283FBD"/>
    <w:rsid w:val="002857A5"/>
    <w:rsid w:val="002902B5"/>
    <w:rsid w:val="00291E95"/>
    <w:rsid w:val="00294CB3"/>
    <w:rsid w:val="002A6F08"/>
    <w:rsid w:val="002B0E96"/>
    <w:rsid w:val="002B5FAE"/>
    <w:rsid w:val="002B779A"/>
    <w:rsid w:val="002C03B0"/>
    <w:rsid w:val="002C242A"/>
    <w:rsid w:val="002D32F3"/>
    <w:rsid w:val="002D6644"/>
    <w:rsid w:val="00304030"/>
    <w:rsid w:val="003058CE"/>
    <w:rsid w:val="00305B19"/>
    <w:rsid w:val="00312334"/>
    <w:rsid w:val="00324061"/>
    <w:rsid w:val="0032512F"/>
    <w:rsid w:val="00333E6A"/>
    <w:rsid w:val="003341E9"/>
    <w:rsid w:val="00366DD7"/>
    <w:rsid w:val="00382C57"/>
    <w:rsid w:val="00390C60"/>
    <w:rsid w:val="00390C90"/>
    <w:rsid w:val="00390CDB"/>
    <w:rsid w:val="00395D25"/>
    <w:rsid w:val="003A2E58"/>
    <w:rsid w:val="003A4C62"/>
    <w:rsid w:val="003A65B0"/>
    <w:rsid w:val="003B181F"/>
    <w:rsid w:val="003B4907"/>
    <w:rsid w:val="003E4F77"/>
    <w:rsid w:val="003F0728"/>
    <w:rsid w:val="003F2F29"/>
    <w:rsid w:val="003F4BCA"/>
    <w:rsid w:val="00411AAA"/>
    <w:rsid w:val="00414745"/>
    <w:rsid w:val="00422A9B"/>
    <w:rsid w:val="00422B78"/>
    <w:rsid w:val="0044376B"/>
    <w:rsid w:val="00445CDF"/>
    <w:rsid w:val="004461A3"/>
    <w:rsid w:val="00446512"/>
    <w:rsid w:val="00451F24"/>
    <w:rsid w:val="00453A46"/>
    <w:rsid w:val="004611B9"/>
    <w:rsid w:val="00461C32"/>
    <w:rsid w:val="00475272"/>
    <w:rsid w:val="00481889"/>
    <w:rsid w:val="0048507F"/>
    <w:rsid w:val="00490097"/>
    <w:rsid w:val="00492D48"/>
    <w:rsid w:val="004A674B"/>
    <w:rsid w:val="004B2893"/>
    <w:rsid w:val="004B623C"/>
    <w:rsid w:val="004C6D7E"/>
    <w:rsid w:val="004D5494"/>
    <w:rsid w:val="004D5F0E"/>
    <w:rsid w:val="004F1CD8"/>
    <w:rsid w:val="00501E63"/>
    <w:rsid w:val="00502814"/>
    <w:rsid w:val="00510397"/>
    <w:rsid w:val="005117DE"/>
    <w:rsid w:val="005328F8"/>
    <w:rsid w:val="00536D01"/>
    <w:rsid w:val="0054396F"/>
    <w:rsid w:val="00553633"/>
    <w:rsid w:val="00556862"/>
    <w:rsid w:val="00587B46"/>
    <w:rsid w:val="00592A05"/>
    <w:rsid w:val="005A3EAF"/>
    <w:rsid w:val="005A739E"/>
    <w:rsid w:val="005B5343"/>
    <w:rsid w:val="005B5C9E"/>
    <w:rsid w:val="005C53E1"/>
    <w:rsid w:val="005D1164"/>
    <w:rsid w:val="005E5A09"/>
    <w:rsid w:val="005F0437"/>
    <w:rsid w:val="005F7417"/>
    <w:rsid w:val="00621921"/>
    <w:rsid w:val="00623718"/>
    <w:rsid w:val="0062521F"/>
    <w:rsid w:val="00636E61"/>
    <w:rsid w:val="00643978"/>
    <w:rsid w:val="0065667B"/>
    <w:rsid w:val="006667C0"/>
    <w:rsid w:val="00675AE1"/>
    <w:rsid w:val="00682CB5"/>
    <w:rsid w:val="00690792"/>
    <w:rsid w:val="0069467D"/>
    <w:rsid w:val="006A343D"/>
    <w:rsid w:val="006C0E9C"/>
    <w:rsid w:val="006D2956"/>
    <w:rsid w:val="006E2558"/>
    <w:rsid w:val="006E3406"/>
    <w:rsid w:val="006F1E5A"/>
    <w:rsid w:val="006F280E"/>
    <w:rsid w:val="007013F9"/>
    <w:rsid w:val="007019D9"/>
    <w:rsid w:val="00705626"/>
    <w:rsid w:val="0070702B"/>
    <w:rsid w:val="00715397"/>
    <w:rsid w:val="00722354"/>
    <w:rsid w:val="00732520"/>
    <w:rsid w:val="00733318"/>
    <w:rsid w:val="007363FB"/>
    <w:rsid w:val="0074255B"/>
    <w:rsid w:val="007458F2"/>
    <w:rsid w:val="007507F2"/>
    <w:rsid w:val="007530D3"/>
    <w:rsid w:val="007677A2"/>
    <w:rsid w:val="00783A64"/>
    <w:rsid w:val="00783F13"/>
    <w:rsid w:val="00784320"/>
    <w:rsid w:val="00784CC7"/>
    <w:rsid w:val="007858CF"/>
    <w:rsid w:val="00786B7D"/>
    <w:rsid w:val="00794126"/>
    <w:rsid w:val="007A1310"/>
    <w:rsid w:val="007A544C"/>
    <w:rsid w:val="007B24E2"/>
    <w:rsid w:val="007D5CAB"/>
    <w:rsid w:val="007E652E"/>
    <w:rsid w:val="007F2FD2"/>
    <w:rsid w:val="007F4950"/>
    <w:rsid w:val="007F7B8D"/>
    <w:rsid w:val="008008F5"/>
    <w:rsid w:val="00812022"/>
    <w:rsid w:val="00816309"/>
    <w:rsid w:val="00826B47"/>
    <w:rsid w:val="0083734B"/>
    <w:rsid w:val="00843187"/>
    <w:rsid w:val="008470B0"/>
    <w:rsid w:val="00853180"/>
    <w:rsid w:val="00873D72"/>
    <w:rsid w:val="00883830"/>
    <w:rsid w:val="00884DDF"/>
    <w:rsid w:val="00885F2D"/>
    <w:rsid w:val="008A3EBF"/>
    <w:rsid w:val="008A7C96"/>
    <w:rsid w:val="008A7EE1"/>
    <w:rsid w:val="008B591A"/>
    <w:rsid w:val="008C10C1"/>
    <w:rsid w:val="008C2B93"/>
    <w:rsid w:val="008C521F"/>
    <w:rsid w:val="008D4DDC"/>
    <w:rsid w:val="008D746F"/>
    <w:rsid w:val="008E64EC"/>
    <w:rsid w:val="008F0863"/>
    <w:rsid w:val="008F45E4"/>
    <w:rsid w:val="00907C30"/>
    <w:rsid w:val="00912A48"/>
    <w:rsid w:val="00924ED3"/>
    <w:rsid w:val="00946D23"/>
    <w:rsid w:val="00950B3B"/>
    <w:rsid w:val="0095273E"/>
    <w:rsid w:val="009638AA"/>
    <w:rsid w:val="00974E78"/>
    <w:rsid w:val="00977046"/>
    <w:rsid w:val="00982EDB"/>
    <w:rsid w:val="0098404E"/>
    <w:rsid w:val="009873FD"/>
    <w:rsid w:val="009908C8"/>
    <w:rsid w:val="00993BDC"/>
    <w:rsid w:val="00994DDC"/>
    <w:rsid w:val="009A06A8"/>
    <w:rsid w:val="009C0A52"/>
    <w:rsid w:val="009C192F"/>
    <w:rsid w:val="009E53C0"/>
    <w:rsid w:val="009F6595"/>
    <w:rsid w:val="00A00DB6"/>
    <w:rsid w:val="00A05736"/>
    <w:rsid w:val="00A05F99"/>
    <w:rsid w:val="00A079ED"/>
    <w:rsid w:val="00A12586"/>
    <w:rsid w:val="00A12C22"/>
    <w:rsid w:val="00A145A2"/>
    <w:rsid w:val="00A22B7A"/>
    <w:rsid w:val="00A51225"/>
    <w:rsid w:val="00A55217"/>
    <w:rsid w:val="00A8722D"/>
    <w:rsid w:val="00A95055"/>
    <w:rsid w:val="00AA0FD7"/>
    <w:rsid w:val="00AA18CB"/>
    <w:rsid w:val="00AA2B9D"/>
    <w:rsid w:val="00AB31D4"/>
    <w:rsid w:val="00AB6C34"/>
    <w:rsid w:val="00AC451B"/>
    <w:rsid w:val="00AD13F1"/>
    <w:rsid w:val="00AD5748"/>
    <w:rsid w:val="00AE481F"/>
    <w:rsid w:val="00AF37BC"/>
    <w:rsid w:val="00B06CDF"/>
    <w:rsid w:val="00B15EAF"/>
    <w:rsid w:val="00B2082C"/>
    <w:rsid w:val="00B20B05"/>
    <w:rsid w:val="00B22753"/>
    <w:rsid w:val="00B26021"/>
    <w:rsid w:val="00B270D9"/>
    <w:rsid w:val="00B33F0A"/>
    <w:rsid w:val="00B5030B"/>
    <w:rsid w:val="00B50D98"/>
    <w:rsid w:val="00B53976"/>
    <w:rsid w:val="00B63ECE"/>
    <w:rsid w:val="00B73254"/>
    <w:rsid w:val="00B76B91"/>
    <w:rsid w:val="00B82937"/>
    <w:rsid w:val="00B84E48"/>
    <w:rsid w:val="00B84EB3"/>
    <w:rsid w:val="00B91CA7"/>
    <w:rsid w:val="00BA52FC"/>
    <w:rsid w:val="00BA7F7B"/>
    <w:rsid w:val="00BB7BB8"/>
    <w:rsid w:val="00BC1BDD"/>
    <w:rsid w:val="00BC3198"/>
    <w:rsid w:val="00BC33D4"/>
    <w:rsid w:val="00BD0D5F"/>
    <w:rsid w:val="00BF05F3"/>
    <w:rsid w:val="00BF3957"/>
    <w:rsid w:val="00BF5363"/>
    <w:rsid w:val="00C0255C"/>
    <w:rsid w:val="00C320DD"/>
    <w:rsid w:val="00C33366"/>
    <w:rsid w:val="00C33B6D"/>
    <w:rsid w:val="00C35570"/>
    <w:rsid w:val="00C40CA2"/>
    <w:rsid w:val="00C609BC"/>
    <w:rsid w:val="00C629CD"/>
    <w:rsid w:val="00C64C91"/>
    <w:rsid w:val="00C65DBF"/>
    <w:rsid w:val="00C76691"/>
    <w:rsid w:val="00C80CE4"/>
    <w:rsid w:val="00C85C71"/>
    <w:rsid w:val="00C87BC5"/>
    <w:rsid w:val="00C87F56"/>
    <w:rsid w:val="00C91E7A"/>
    <w:rsid w:val="00C93DEA"/>
    <w:rsid w:val="00C94A5B"/>
    <w:rsid w:val="00CA6729"/>
    <w:rsid w:val="00CB243E"/>
    <w:rsid w:val="00CB2E0B"/>
    <w:rsid w:val="00CC2342"/>
    <w:rsid w:val="00CE154A"/>
    <w:rsid w:val="00CF476B"/>
    <w:rsid w:val="00D353E2"/>
    <w:rsid w:val="00D5104D"/>
    <w:rsid w:val="00D51D85"/>
    <w:rsid w:val="00D552AD"/>
    <w:rsid w:val="00D739ED"/>
    <w:rsid w:val="00D84261"/>
    <w:rsid w:val="00D90189"/>
    <w:rsid w:val="00D94DD6"/>
    <w:rsid w:val="00DB5F8D"/>
    <w:rsid w:val="00DC3042"/>
    <w:rsid w:val="00DD46BD"/>
    <w:rsid w:val="00DE23C9"/>
    <w:rsid w:val="00DE63AB"/>
    <w:rsid w:val="00DE6EA0"/>
    <w:rsid w:val="00DF2333"/>
    <w:rsid w:val="00DF3109"/>
    <w:rsid w:val="00DF7107"/>
    <w:rsid w:val="00E22DFC"/>
    <w:rsid w:val="00E31A73"/>
    <w:rsid w:val="00E372D1"/>
    <w:rsid w:val="00E376C2"/>
    <w:rsid w:val="00E70F54"/>
    <w:rsid w:val="00E739DB"/>
    <w:rsid w:val="00EA2566"/>
    <w:rsid w:val="00EA26C1"/>
    <w:rsid w:val="00EA313E"/>
    <w:rsid w:val="00EB6921"/>
    <w:rsid w:val="00EB6B47"/>
    <w:rsid w:val="00EB7F78"/>
    <w:rsid w:val="00EC5565"/>
    <w:rsid w:val="00EC6418"/>
    <w:rsid w:val="00ED2F39"/>
    <w:rsid w:val="00EE08F8"/>
    <w:rsid w:val="00EE2777"/>
    <w:rsid w:val="00EE3A1C"/>
    <w:rsid w:val="00F06E42"/>
    <w:rsid w:val="00F11921"/>
    <w:rsid w:val="00F12B85"/>
    <w:rsid w:val="00F13ADE"/>
    <w:rsid w:val="00F15EBE"/>
    <w:rsid w:val="00F210F6"/>
    <w:rsid w:val="00F21855"/>
    <w:rsid w:val="00F24EE4"/>
    <w:rsid w:val="00F30BF3"/>
    <w:rsid w:val="00F35E5B"/>
    <w:rsid w:val="00F36956"/>
    <w:rsid w:val="00F36CF8"/>
    <w:rsid w:val="00F37BB4"/>
    <w:rsid w:val="00F4554A"/>
    <w:rsid w:val="00F46BD6"/>
    <w:rsid w:val="00F56D92"/>
    <w:rsid w:val="00F60FAA"/>
    <w:rsid w:val="00F630D3"/>
    <w:rsid w:val="00F659AA"/>
    <w:rsid w:val="00F65D9E"/>
    <w:rsid w:val="00F67703"/>
    <w:rsid w:val="00F70A7B"/>
    <w:rsid w:val="00F724B6"/>
    <w:rsid w:val="00F749AA"/>
    <w:rsid w:val="00F81B65"/>
    <w:rsid w:val="00F8239D"/>
    <w:rsid w:val="00F86B7D"/>
    <w:rsid w:val="00F87865"/>
    <w:rsid w:val="00FA1CB7"/>
    <w:rsid w:val="00FA38A2"/>
    <w:rsid w:val="00FB6215"/>
    <w:rsid w:val="00FE1C68"/>
    <w:rsid w:val="00FE395B"/>
    <w:rsid w:val="00FE45E8"/>
    <w:rsid w:val="00FE5CF4"/>
    <w:rsid w:val="00FF3F04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77DB2"/>
  <w15:docId w15:val="{8801821D-0F6A-4802-B75B-66C5DD05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66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CC7"/>
    <w:rPr>
      <w:b/>
      <w:bCs/>
    </w:rPr>
  </w:style>
  <w:style w:type="paragraph" w:styleId="ListParagraph">
    <w:name w:val="List Paragraph"/>
    <w:basedOn w:val="Normal"/>
    <w:qFormat/>
    <w:rsid w:val="00784CC7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353E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E2"/>
  </w:style>
  <w:style w:type="paragraph" w:styleId="Footer">
    <w:name w:val="footer"/>
    <w:basedOn w:val="Normal"/>
    <w:link w:val="FooterChar"/>
    <w:uiPriority w:val="99"/>
    <w:unhideWhenUsed/>
    <w:rsid w:val="00D353E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E2"/>
  </w:style>
  <w:style w:type="character" w:styleId="Hyperlink">
    <w:name w:val="Hyperlink"/>
    <w:basedOn w:val="DefaultParagraphFont"/>
    <w:uiPriority w:val="99"/>
    <w:unhideWhenUsed/>
    <w:rsid w:val="00C87F56"/>
    <w:rPr>
      <w:color w:val="0000FF" w:themeColor="hyperlink"/>
      <w:u w:val="single"/>
    </w:rPr>
  </w:style>
  <w:style w:type="character" w:customStyle="1" w:styleId="atlastextcursive">
    <w:name w:val="atlastextcursive"/>
    <w:basedOn w:val="DefaultParagraphFont"/>
    <w:rsid w:val="00C33366"/>
  </w:style>
  <w:style w:type="character" w:customStyle="1" w:styleId="labeltextautdatabig">
    <w:name w:val="labeltextautdatabig"/>
    <w:basedOn w:val="DefaultParagraphFont"/>
    <w:rsid w:val="00C33366"/>
  </w:style>
  <w:style w:type="character" w:customStyle="1" w:styleId="labeltextautdatasmall3">
    <w:name w:val="labeltextautdatasmall3"/>
    <w:basedOn w:val="DefaultParagraphFont"/>
    <w:rsid w:val="00C33366"/>
  </w:style>
  <w:style w:type="character" w:customStyle="1" w:styleId="labeltextautdatasmallpc1">
    <w:name w:val="labeltextautdatasmallpc1"/>
    <w:basedOn w:val="DefaultParagraphFont"/>
    <w:rsid w:val="00C33366"/>
  </w:style>
  <w:style w:type="character" w:customStyle="1" w:styleId="labeltextautdatasmall2">
    <w:name w:val="labeltextautdatasmall2"/>
    <w:basedOn w:val="DefaultParagraphFont"/>
    <w:rsid w:val="00C33366"/>
  </w:style>
  <w:style w:type="character" w:styleId="FollowedHyperlink">
    <w:name w:val="FollowedHyperlink"/>
    <w:basedOn w:val="DefaultParagraphFont"/>
    <w:uiPriority w:val="99"/>
    <w:semiHidden/>
    <w:unhideWhenUsed/>
    <w:rsid w:val="003040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8A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8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8A2"/>
    <w:rPr>
      <w:vertAlign w:val="superscript"/>
    </w:rPr>
  </w:style>
  <w:style w:type="character" w:customStyle="1" w:styleId="fontstyle01">
    <w:name w:val="fontstyle01"/>
    <w:basedOn w:val="DefaultParagraphFont"/>
    <w:rsid w:val="00C64C91"/>
    <w:rPr>
      <w:rFonts w:ascii="ArialMT" w:hAnsi="ArialMT" w:hint="default"/>
      <w:b w:val="0"/>
      <w:bCs w:val="0"/>
      <w:i w:val="0"/>
      <w:iCs w:val="0"/>
      <w:color w:val="4B4B4B"/>
      <w:sz w:val="16"/>
      <w:szCs w:val="16"/>
    </w:rPr>
  </w:style>
  <w:style w:type="paragraph" w:customStyle="1" w:styleId="Test">
    <w:name w:val="Test!"/>
    <w:basedOn w:val="Normal"/>
    <w:rsid w:val="00CE154A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N w:val="0"/>
      <w:spacing w:after="300"/>
    </w:pPr>
    <w:rPr>
      <w:rFonts w:ascii="Frutiger LT 55 Roman" w:eastAsia="Times New Roman" w:hAnsi="Frutiger LT 55 Roman" w:cs="Times New Roman"/>
      <w:b/>
      <w:color w:val="323E4F"/>
      <w:spacing w:val="5"/>
      <w:kern w:val="3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602">
          <w:marLeft w:val="240"/>
          <w:marRight w:val="0"/>
          <w:marTop w:val="75"/>
          <w:marBottom w:val="240"/>
          <w:divBdr>
            <w:top w:val="single" w:sz="4" w:space="4" w:color="CCCCFF"/>
            <w:left w:val="single" w:sz="4" w:space="10" w:color="CCCCFF"/>
            <w:bottom w:val="single" w:sz="4" w:space="4" w:color="CCCCFF"/>
            <w:right w:val="single" w:sz="4" w:space="10" w:color="CCCCFF"/>
          </w:divBdr>
        </w:div>
        <w:div w:id="942492244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703">
          <w:marLeft w:val="360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3732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977">
          <w:marLeft w:val="360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351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2268">
          <w:marLeft w:val="360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1764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5155">
          <w:marLeft w:val="360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482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collection/eu-law/consleg.html" TargetMode="External"/><Relationship Id="rId13" Type="http://schemas.openxmlformats.org/officeDocument/2006/relationships/hyperlink" Target="https://www.ejn-crimjust.europa.eu/ejn/libcategories/EN/14/-1/-1/-1" TargetMode="External"/><Relationship Id="rId18" Type="http://schemas.openxmlformats.org/officeDocument/2006/relationships/hyperlink" Target="http://www.ejn-crimjust.europa.e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jn-crimjust.europa.eu/ejn/libdocumentproperties/EN/3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uria.europa.eu/juris/liste.jsf?language=en&amp;num=C-241/15" TargetMode="External"/><Relationship Id="rId17" Type="http://schemas.openxmlformats.org/officeDocument/2006/relationships/hyperlink" Target="https://www.ejn-crimjust.europa.eu/ejn/AtlasChooseCountry/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jn-crimjust.europa.eu/ejn/libdocumentproperties/EN/3171" TargetMode="External"/><Relationship Id="rId20" Type="http://schemas.openxmlformats.org/officeDocument/2006/relationships/hyperlink" Target="https://www.ejn-crimjust.europa.eu/ejn/AtlasAuthorityData/EN/258/9/901/54/118/2/0/1699/126/1/1/807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uria.europa.eu/juris/liste.jsf?language=en&amp;num=C-241/1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absentieaw.eu/wp-content/uploads/2020/02/InAbsentiEAW-Research-Report-1.pdf" TargetMode="External"/><Relationship Id="rId23" Type="http://schemas.openxmlformats.org/officeDocument/2006/relationships/hyperlink" Target="http://curia.europa.eu/juris/liste.jsf?oqp=&amp;for=&amp;mat=or&amp;lgrec=nl&amp;jge=&amp;td=%3BALL&amp;jur=C%2CT%2CF&amp;num=C-128%252F18&amp;page=1&amp;dates=&amp;pcs=Oor&amp;lg=&amp;pro=&amp;nat=or&amp;cit=none%252CC%252CCJ%252CR%252C2008E%252C%252C%252C%252C%252C%252C%252C%252C%252C%252Ctrue%252Cfalse%252Cfalse&amp;language=en&amp;avg=&amp;cid=2272827" TargetMode="External"/><Relationship Id="rId10" Type="http://schemas.openxmlformats.org/officeDocument/2006/relationships/hyperlink" Target="http://curia.europa.eu/juris/liste.jsf?language=en&amp;td=ALL&amp;num=C-489/19%20PPU" TargetMode="External"/><Relationship Id="rId19" Type="http://schemas.openxmlformats.org/officeDocument/2006/relationships/hyperlink" Target="https://www.ejn-crimjust.europa.eu/ejn/libcategories/EN/265/-1/-1/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ria.europa.eu/juris/liste.jsf?language=en&amp;num=C-452/16%20PPU" TargetMode="External"/><Relationship Id="rId14" Type="http://schemas.openxmlformats.org/officeDocument/2006/relationships/hyperlink" Target="http://curia.europa.eu/juris/liste.jsf?language=en&amp;td=ALL&amp;num=C-237/15%20PPU" TargetMode="External"/><Relationship Id="rId22" Type="http://schemas.openxmlformats.org/officeDocument/2006/relationships/hyperlink" Target="http://curia.europa.eu/juris/liste.jsf?num=C-404/15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197D4-BF74-4D6E-B8E4-26F29767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17</Pages>
  <Words>5257</Words>
  <Characters>29966</Characters>
  <Application>Microsoft Office Word</Application>
  <DocSecurity>0</DocSecurity>
  <Lines>249</Lines>
  <Paragraphs>70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Klip</dc:creator>
  <cp:lastModifiedBy>Paul Ciobanu</cp:lastModifiedBy>
  <cp:revision>89</cp:revision>
  <dcterms:created xsi:type="dcterms:W3CDTF">2021-04-07T10:35:00Z</dcterms:created>
  <dcterms:modified xsi:type="dcterms:W3CDTF">2021-07-20T08:18:00Z</dcterms:modified>
</cp:coreProperties>
</file>