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A757" w14:textId="77777777" w:rsidR="0067618F" w:rsidRPr="001944FD" w:rsidRDefault="00BE6DB5" w:rsidP="00EE1907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</w:pPr>
      <w:r w:rsidRPr="001944FD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Case scenario Module 2 – competences of the EPPO</w:t>
      </w:r>
    </w:p>
    <w:p w14:paraId="20865D39" w14:textId="77777777" w:rsidR="0067618F" w:rsidRPr="00A26AF8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5D354605" w14:textId="5853EC16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 xml:space="preserve">X, CEO of a Hungarian </w:t>
      </w:r>
      <w:proofErr w:type="gramStart"/>
      <w:r w:rsidRPr="00A26AF8">
        <w:rPr>
          <w:rFonts w:ascii="Times New Roman" w:hAnsi="Times New Roman" w:cs="Times New Roman"/>
          <w:sz w:val="24"/>
          <w:szCs w:val="24"/>
        </w:rPr>
        <w:t>Ltd.</w:t>
      </w:r>
      <w:proofErr w:type="gramEnd"/>
      <w:r w:rsidRPr="00A26AF8">
        <w:rPr>
          <w:rFonts w:ascii="Times New Roman" w:hAnsi="Times New Roman" w:cs="Times New Roman"/>
          <w:sz w:val="24"/>
          <w:szCs w:val="24"/>
        </w:rPr>
        <w:t xml:space="preserve"> and representa</w:t>
      </w:r>
      <w:r w:rsidR="008E6AB3">
        <w:rPr>
          <w:rFonts w:ascii="Times New Roman" w:hAnsi="Times New Roman" w:cs="Times New Roman"/>
          <w:sz w:val="24"/>
          <w:szCs w:val="24"/>
        </w:rPr>
        <w:t>tive</w:t>
      </w:r>
      <w:r w:rsidRPr="00A26AF8">
        <w:rPr>
          <w:rFonts w:ascii="Times New Roman" w:hAnsi="Times New Roman" w:cs="Times New Roman"/>
          <w:sz w:val="24"/>
          <w:szCs w:val="24"/>
        </w:rPr>
        <w:t xml:space="preserve"> of a consortium which was participating in a specific bidding/tendering process, contacted two officials of the European Commission in Brussels. </w:t>
      </w:r>
      <w:proofErr w:type="gramStart"/>
      <w:r w:rsidRPr="00A26AF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26AF8">
        <w:rPr>
          <w:rFonts w:ascii="Times New Roman" w:hAnsi="Times New Roman" w:cs="Times New Roman"/>
          <w:sz w:val="24"/>
          <w:szCs w:val="24"/>
        </w:rPr>
        <w:t xml:space="preserve"> optimize the consortium´s bids, the EU</w:t>
      </w:r>
      <w:r w:rsidR="00BC6CC1">
        <w:rPr>
          <w:rFonts w:ascii="Times New Roman" w:hAnsi="Times New Roman" w:cs="Times New Roman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officials were asked if they would grant access to other bidder´s</w:t>
      </w:r>
      <w:r w:rsidR="00BC6CC1">
        <w:rPr>
          <w:rFonts w:ascii="Times New Roman" w:hAnsi="Times New Roman" w:cs="Times New Roman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confidential pricing information and other commercially sensitive</w:t>
      </w:r>
      <w:r w:rsidRPr="00A26A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information.</w:t>
      </w:r>
      <w:r w:rsidR="00EE1907" w:rsidRPr="00A26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E469" w14:textId="37CE03E1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>The officials, citizens of the Member States A and B, situated in Brussels, were willing to provide the requested information for EUR 20</w:t>
      </w:r>
      <w:r w:rsidR="00BC6CC1">
        <w:rPr>
          <w:rFonts w:ascii="Times New Roman" w:hAnsi="Times New Roman" w:cs="Times New Roman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000 each. The conversations with the agents were held in London. During the meetings, A and B provided the requested information by giving X tips that allowed the consortium to marginally underbid the competitor´s offer. In the bidding process, X presented incorrect statements and</w:t>
      </w:r>
      <w:r w:rsidRPr="00A26A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documents.</w:t>
      </w:r>
    </w:p>
    <w:p w14:paraId="0DCB87D4" w14:textId="6208CC7C" w:rsidR="0067618F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>The case attracted enormous media and public attention across the European Union. The national prosecution services of A and B were informed of the bribery case by national media services. Each of the Member States of A and B launched national investigations against their</w:t>
      </w:r>
      <w:r w:rsidRPr="00A26A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citizen.</w:t>
      </w:r>
    </w:p>
    <w:p w14:paraId="542699F8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DA3A5" w14:textId="77777777" w:rsidR="0067618F" w:rsidRPr="00A26AF8" w:rsidRDefault="00BE6DB5" w:rsidP="00F50ABB">
      <w:pPr>
        <w:spacing w:before="138"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Note to trainer:</w:t>
      </w:r>
    </w:p>
    <w:p w14:paraId="22ABE801" w14:textId="2C1D708D" w:rsidR="0067618F" w:rsidRPr="00A26AF8" w:rsidRDefault="00BE6DB5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9" w:line="276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This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basic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scenario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involves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different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States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leaves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="00BC6CC1">
        <w:rPr>
          <w:rFonts w:ascii="Times New Roman" w:hAnsi="Times New Roman" w:cs="Times New Roman"/>
          <w:i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open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actions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A, B and X indeed caused damage to the EU´s financial</w:t>
      </w:r>
      <w:r w:rsidRPr="00A26AF8">
        <w:rPr>
          <w:rFonts w:ascii="Times New Roman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interests.</w:t>
      </w:r>
    </w:p>
    <w:p w14:paraId="37F039E4" w14:textId="6D5A1A4E" w:rsidR="0067618F" w:rsidRPr="00A26AF8" w:rsidRDefault="00BE6DB5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3" w:line="276" w:lineRule="auto"/>
        <w:ind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case</w:t>
      </w:r>
      <w:r w:rsidR="00BC6CC1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scenario</w:t>
      </w:r>
      <w:r w:rsidRPr="00A26AF8">
        <w:rPr>
          <w:rFonts w:ascii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leaves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open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were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willingly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aiding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bidding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actions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X.</w:t>
      </w:r>
    </w:p>
    <w:p w14:paraId="15E9BD44" w14:textId="62B15649" w:rsidR="0067618F" w:rsidRPr="00A26AF8" w:rsidRDefault="00BE6DB5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6" w:line="276" w:lineRule="auto"/>
        <w:ind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case</w:t>
      </w:r>
      <w:r w:rsidR="00BC6CC1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scenario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does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specify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expenditures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are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procurement-related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or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</w:t>
      </w:r>
      <w:r w:rsidR="007B79C3"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(relevant for question 1).</w:t>
      </w:r>
    </w:p>
    <w:p w14:paraId="430EA096" w14:textId="77777777" w:rsidR="0067618F" w:rsidRPr="00A26AF8" w:rsidRDefault="00BE6DB5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before="8" w:line="276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mentioned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States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can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changed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any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existing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participating</w:t>
      </w:r>
      <w:r w:rsidR="00F50ABB"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Member</w:t>
      </w:r>
      <w:r w:rsidR="00F50ABB"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State</w:t>
      </w:r>
      <w:r w:rsidR="00F50ABB"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(</w:t>
      </w:r>
      <w:r w:rsidR="00F50ABB"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>bu</w:t>
      </w:r>
      <w:r w:rsidR="00F50ABB" w:rsidRPr="00A26AF8">
        <w:rPr>
          <w:rFonts w:ascii="Times New Roman" w:hAnsi="Times New Roman" w:cs="Times New Roman"/>
          <w:i/>
          <w:sz w:val="24"/>
          <w:szCs w:val="24"/>
        </w:rPr>
        <w:t>t m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ust be participating Member States).</w:t>
      </w:r>
    </w:p>
    <w:p w14:paraId="23336DE4" w14:textId="77777777" w:rsidR="0067618F" w:rsidRPr="00A26AF8" w:rsidRDefault="00BE6DB5" w:rsidP="00F50ABB">
      <w:pPr>
        <w:pStyle w:val="ListParagraph"/>
        <w:numPr>
          <w:ilvl w:val="0"/>
          <w:numId w:val="7"/>
        </w:numPr>
        <w:tabs>
          <w:tab w:val="left" w:pos="808"/>
        </w:tabs>
        <w:spacing w:before="9" w:line="276" w:lineRule="auto"/>
        <w:ind w:right="3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country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X´s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actions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may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changed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any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other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non-participating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State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as Denmark,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Ireland,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Poland</w:t>
      </w:r>
      <w:proofErr w:type="gramEnd"/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or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Sweden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(but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>must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non-participating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State).</w:t>
      </w:r>
    </w:p>
    <w:p w14:paraId="070B7DAD" w14:textId="77777777" w:rsidR="0067618F" w:rsidRPr="00A26AF8" w:rsidRDefault="00BE6DB5" w:rsidP="00F50ABB">
      <w:pPr>
        <w:pStyle w:val="ListParagraph"/>
        <w:numPr>
          <w:ilvl w:val="0"/>
          <w:numId w:val="7"/>
        </w:numPr>
        <w:tabs>
          <w:tab w:val="left" w:pos="807"/>
          <w:tab w:val="left" w:pos="808"/>
        </w:tabs>
        <w:spacing w:line="276" w:lineRule="auto"/>
        <w:ind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bribery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sum</w:t>
      </w:r>
      <w:r w:rsidRPr="00A26AF8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is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relevant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for</w:t>
      </w:r>
      <w:r w:rsidRPr="00A26AF8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case.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can</w:t>
      </w:r>
      <w:r w:rsidRPr="00A26AF8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changed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any</w:t>
      </w:r>
      <w:r w:rsidRPr="00A26AF8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other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sum.</w:t>
      </w:r>
    </w:p>
    <w:p w14:paraId="5EE11203" w14:textId="0FE3D6D3" w:rsidR="0067618F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568AA748" w:rsidR="00A26AF8" w:rsidRPr="00A26AF8" w:rsidRDefault="00A26AF8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</w:rPr>
      </w:pPr>
      <w:r w:rsidRPr="00A26AF8">
        <w:rPr>
          <w:rFonts w:ascii="Times New Roman" w:hAnsi="Times New Roman" w:cs="Times New Roman"/>
          <w:b/>
          <w:bCs/>
          <w:i/>
          <w:color w:val="4F81BD" w:themeColor="accent1"/>
          <w:sz w:val="28"/>
        </w:rPr>
        <w:t>Questions:</w:t>
      </w:r>
    </w:p>
    <w:p w14:paraId="2C1B60E3" w14:textId="7FE4DEBD" w:rsidR="001121C3" w:rsidRPr="00A26AF8" w:rsidRDefault="00A26AF8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>Assum</w:t>
      </w:r>
      <w:r w:rsidR="00BC6CC1">
        <w:rPr>
          <w:rFonts w:ascii="Times New Roman" w:hAnsi="Times New Roman" w:cs="Times New Roman"/>
          <w:b/>
          <w:sz w:val="24"/>
          <w:szCs w:val="24"/>
        </w:rPr>
        <w:t>ing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 xml:space="preserve"> a damage to the EU´s financial interests has occurred: what is your legal assessment concerning the actions of X? Can the EPPO initiate investigations against him? Would it make a </w:t>
      </w:r>
      <w:proofErr w:type="gramStart"/>
      <w:r w:rsidR="001121C3" w:rsidRPr="00A26AF8">
        <w:rPr>
          <w:rFonts w:ascii="Times New Roman" w:hAnsi="Times New Roman" w:cs="Times New Roman"/>
          <w:b/>
          <w:sz w:val="24"/>
          <w:szCs w:val="24"/>
        </w:rPr>
        <w:t>difference, if</w:t>
      </w:r>
      <w:proofErr w:type="gramEnd"/>
      <w:r w:rsidR="001121C3" w:rsidRPr="00A26AF8">
        <w:rPr>
          <w:rFonts w:ascii="Times New Roman" w:hAnsi="Times New Roman" w:cs="Times New Roman"/>
          <w:b/>
          <w:sz w:val="24"/>
          <w:szCs w:val="24"/>
        </w:rPr>
        <w:t xml:space="preserve"> there </w:t>
      </w:r>
      <w:r w:rsidR="00BC6CC1">
        <w:rPr>
          <w:rFonts w:ascii="Times New Roman" w:hAnsi="Times New Roman" w:cs="Times New Roman"/>
          <w:b/>
          <w:sz w:val="24"/>
          <w:szCs w:val="24"/>
        </w:rPr>
        <w:t>were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 xml:space="preserve"> no damage to EU´s financial</w:t>
      </w:r>
      <w:r w:rsidR="001121C3" w:rsidRPr="00A26A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>interests?</w:t>
      </w:r>
    </w:p>
    <w:p w14:paraId="3160B5EA" w14:textId="77777777" w:rsidR="001121C3" w:rsidRPr="00A26AF8" w:rsidRDefault="001121C3" w:rsidP="001121C3">
      <w:pPr>
        <w:pStyle w:val="ListParagraph"/>
        <w:tabs>
          <w:tab w:val="left" w:pos="808"/>
        </w:tabs>
        <w:spacing w:before="158" w:line="276" w:lineRule="auto"/>
        <w:ind w:right="31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67E" w14:textId="77777777" w:rsidR="001121C3" w:rsidRPr="00A26AF8" w:rsidRDefault="001121C3" w:rsidP="001121C3">
      <w:pPr>
        <w:spacing w:line="276" w:lineRule="auto"/>
        <w:ind w:left="8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lastRenderedPageBreak/>
        <w:t>Note to trainer:</w:t>
      </w:r>
    </w:p>
    <w:p w14:paraId="4AAD3A5D" w14:textId="41522B57" w:rsidR="001121C3" w:rsidRPr="00A26AF8" w:rsidRDefault="001121C3" w:rsidP="001121C3">
      <w:pPr>
        <w:spacing w:before="5" w:line="276" w:lineRule="auto"/>
        <w:ind w:left="807" w:right="6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 xml:space="preserve">The objective of this part is to initiate discussions concerning the investigations against citizens of non-participating countries. Besides, the difference between procurement-related expenditures and such which are non-procurement-related should be </w:t>
      </w:r>
      <w:r w:rsidR="00BC6CC1">
        <w:rPr>
          <w:rFonts w:ascii="Times New Roman" w:hAnsi="Times New Roman" w:cs="Times New Roman"/>
          <w:i/>
          <w:sz w:val="24"/>
          <w:szCs w:val="24"/>
        </w:rPr>
        <w:t>explored</w:t>
      </w:r>
      <w:r w:rsidRPr="00A26AF8">
        <w:rPr>
          <w:rFonts w:ascii="Times New Roman" w:hAnsi="Times New Roman" w:cs="Times New Roman"/>
          <w:i/>
          <w:sz w:val="24"/>
          <w:szCs w:val="24"/>
        </w:rPr>
        <w:t>.</w:t>
      </w:r>
    </w:p>
    <w:p w14:paraId="72A4CC69" w14:textId="77777777" w:rsidR="001121C3" w:rsidRPr="00A26AF8" w:rsidRDefault="001121C3" w:rsidP="001121C3">
      <w:pPr>
        <w:spacing w:before="142"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3742D50D" w14:textId="77777777" w:rsidR="001121C3" w:rsidRPr="00A26AF8" w:rsidRDefault="001121C3" w:rsidP="001121C3">
      <w:pPr>
        <w:spacing w:before="142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Additional remarks:</w:t>
      </w:r>
    </w:p>
    <w:p w14:paraId="19F425C6" w14:textId="6884E7DB" w:rsidR="001121C3" w:rsidRPr="00A26AF8" w:rsidRDefault="001121C3" w:rsidP="001121C3">
      <w:pPr>
        <w:pStyle w:val="ListParagraph"/>
        <w:numPr>
          <w:ilvl w:val="0"/>
          <w:numId w:val="13"/>
        </w:numPr>
        <w:tabs>
          <w:tab w:val="left" w:pos="808"/>
        </w:tabs>
        <w:spacing w:before="5" w:line="276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X has obviously actively bribed A and B. But Article 4 § 2 (b) PIF-Directive (active corruption) </w:t>
      </w:r>
      <w:r w:rsidR="00BC6CC1">
        <w:rPr>
          <w:rFonts w:ascii="Times New Roman" w:hAnsi="Times New Roman" w:cs="Times New Roman"/>
          <w:w w:val="105"/>
          <w:sz w:val="24"/>
          <w:szCs w:val="24"/>
        </w:rPr>
        <w:t xml:space="preserve">does not seem to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 applicable as no damage to the EU´s financial interests is caused by this particular action.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offence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obviously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committed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main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purpose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creating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conditions to commit the offence affecting the financial interests of the Union</w:t>
      </w:r>
      <w:r w:rsidR="00130005" w:rsidRPr="00A26AF8">
        <w:rPr>
          <w:rFonts w:ascii="Times New Roman" w:hAnsi="Times New Roman" w:cs="Times New Roman"/>
          <w:w w:val="105"/>
          <w:sz w:val="24"/>
          <w:szCs w:val="24"/>
        </w:rPr>
        <w:t xml:space="preserve"> (ancillary offence)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. Though the bribery offence could be considered an inextricably linked offence</w:t>
      </w:r>
      <w:r w:rsidR="00CC418A" w:rsidRPr="00A26AF8">
        <w:rPr>
          <w:rFonts w:ascii="Times New Roman" w:hAnsi="Times New Roman" w:cs="Times New Roman"/>
          <w:w w:val="105"/>
          <w:sz w:val="24"/>
          <w:szCs w:val="24"/>
        </w:rPr>
        <w:t xml:space="preserve"> (Article 22 § 3 EPPO</w:t>
      </w:r>
      <w:r w:rsidR="003732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C418A" w:rsidRPr="00A26AF8">
        <w:rPr>
          <w:rFonts w:ascii="Times New Roman" w:hAnsi="Times New Roman" w:cs="Times New Roman"/>
          <w:w w:val="105"/>
          <w:sz w:val="24"/>
          <w:szCs w:val="24"/>
        </w:rPr>
        <w:t>Regulation)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, it</w:t>
      </w:r>
      <w:r w:rsidR="00130005" w:rsidRPr="00A26AF8">
        <w:rPr>
          <w:rFonts w:ascii="Times New Roman" w:hAnsi="Times New Roman" w:cs="Times New Roman"/>
          <w:w w:val="105"/>
          <w:sz w:val="24"/>
          <w:szCs w:val="24"/>
        </w:rPr>
        <w:t xml:space="preserve"> is</w:t>
      </w:r>
      <w:r w:rsidR="00CC418A" w:rsidRPr="00A26AF8">
        <w:rPr>
          <w:rFonts w:ascii="Times New Roman" w:hAnsi="Times New Roman" w:cs="Times New Roman"/>
          <w:w w:val="105"/>
          <w:sz w:val="24"/>
          <w:szCs w:val="24"/>
        </w:rPr>
        <w:t xml:space="preserve"> yet</w:t>
      </w:r>
      <w:r w:rsidR="00130005" w:rsidRPr="00A26AF8">
        <w:rPr>
          <w:rFonts w:ascii="Times New Roman" w:hAnsi="Times New Roman" w:cs="Times New Roman"/>
          <w:w w:val="105"/>
          <w:sz w:val="24"/>
          <w:szCs w:val="24"/>
        </w:rPr>
        <w:t xml:space="preserve"> not a </w:t>
      </w:r>
      <w:proofErr w:type="spellStart"/>
      <w:r w:rsidR="00130005" w:rsidRPr="00A26AF8">
        <w:rPr>
          <w:rFonts w:ascii="Times New Roman" w:hAnsi="Times New Roman" w:cs="Times New Roman"/>
          <w:w w:val="105"/>
          <w:sz w:val="24"/>
          <w:szCs w:val="24"/>
        </w:rPr>
        <w:t>ne</w:t>
      </w:r>
      <w:proofErr w:type="spellEnd"/>
      <w:r w:rsidR="00130005" w:rsidRPr="00A26AF8">
        <w:rPr>
          <w:rFonts w:ascii="Times New Roman" w:hAnsi="Times New Roman" w:cs="Times New Roman"/>
          <w:w w:val="105"/>
          <w:sz w:val="24"/>
          <w:szCs w:val="24"/>
        </w:rPr>
        <w:t>-bis-in-idem action</w:t>
      </w:r>
      <w:r w:rsidR="00CC418A" w:rsidRPr="00A26AF8">
        <w:rPr>
          <w:rFonts w:ascii="Times New Roman" w:hAnsi="Times New Roman" w:cs="Times New Roman"/>
          <w:w w:val="105"/>
          <w:sz w:val="24"/>
          <w:szCs w:val="24"/>
        </w:rPr>
        <w:t xml:space="preserve"> (identity</w:t>
      </w:r>
      <w:r w:rsidR="00CC418A"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CC418A" w:rsidRPr="00A26AF8">
        <w:rPr>
          <w:rFonts w:ascii="Times New Roman" w:hAnsi="Times New Roman" w:cs="Times New Roman"/>
          <w:w w:val="105"/>
          <w:sz w:val="24"/>
          <w:szCs w:val="24"/>
        </w:rPr>
        <w:t>of material facts or facts which are substantially the same)</w:t>
      </w:r>
      <w:r w:rsidR="00130005" w:rsidRPr="00A26AF8">
        <w:rPr>
          <w:rFonts w:ascii="Times New Roman" w:hAnsi="Times New Roman" w:cs="Times New Roman"/>
          <w:w w:val="105"/>
          <w:sz w:val="24"/>
          <w:szCs w:val="24"/>
        </w:rPr>
        <w:t xml:space="preserve"> and it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 was committed outside the territories of the European Union. Furthermore, Hungary is not a participating Member State. Since the offence does not fall within the territorial and personal competences of the EPPO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(Article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EPPO-Regulation),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possibility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investigate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bribery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offence.</w:t>
      </w:r>
    </w:p>
    <w:p w14:paraId="4659CC6F" w14:textId="4836B583" w:rsidR="001121C3" w:rsidRPr="00A26AF8" w:rsidRDefault="001121C3" w:rsidP="001121C3">
      <w:pPr>
        <w:pStyle w:val="ListParagraph"/>
        <w:numPr>
          <w:ilvl w:val="0"/>
          <w:numId w:val="13"/>
        </w:numPr>
        <w:tabs>
          <w:tab w:val="left" w:pos="843"/>
        </w:tabs>
        <w:spacing w:before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X</w:t>
      </w:r>
      <w:r w:rsidRPr="00A26AF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submitted</w:t>
      </w:r>
      <w:r w:rsidRPr="00A26AF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incorrect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statements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documents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damage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EU´s financial interests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has</w:t>
      </w:r>
      <w:proofErr w:type="gramEnd"/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 occurred, X has probably committed a fraud affecting the European Union´s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financial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interests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under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PIF-Directive.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likely that</w:t>
      </w:r>
      <w:r w:rsidRPr="00A26AF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personal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scope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EPPO´s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competences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applies</w:t>
      </w:r>
      <w:proofErr w:type="gramEnd"/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(Article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(b)</w:t>
      </w:r>
      <w:r w:rsidRPr="00A26AF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</w:t>
      </w:r>
      <w:r w:rsidR="003732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Regulation): The criminal act was partly conducted inside the territories of the participating Member States</w:t>
      </w:r>
      <w:r w:rsidRPr="00A26AF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(Brussels).</w:t>
      </w:r>
    </w:p>
    <w:p w14:paraId="7E049E4E" w14:textId="2CE956D4" w:rsidR="001121C3" w:rsidRPr="00A26AF8" w:rsidRDefault="001121C3" w:rsidP="001121C3">
      <w:pPr>
        <w:pStyle w:val="ListParagraph"/>
        <w:numPr>
          <w:ilvl w:val="0"/>
          <w:numId w:val="13"/>
        </w:numPr>
        <w:tabs>
          <w:tab w:val="left" w:pos="796"/>
        </w:tabs>
        <w:spacing w:before="6" w:line="276" w:lineRule="auto"/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 xml:space="preserve">If X´s actions </w:t>
      </w:r>
      <w:r w:rsidR="00BC6CC1">
        <w:rPr>
          <w:rFonts w:ascii="Times New Roman" w:hAnsi="Times New Roman" w:cs="Times New Roman"/>
          <w:sz w:val="24"/>
          <w:szCs w:val="24"/>
        </w:rPr>
        <w:t>had</w:t>
      </w:r>
      <w:r w:rsidRPr="00A26AF8">
        <w:rPr>
          <w:rFonts w:ascii="Times New Roman" w:hAnsi="Times New Roman" w:cs="Times New Roman"/>
          <w:sz w:val="24"/>
          <w:szCs w:val="24"/>
        </w:rPr>
        <w:t xml:space="preserve"> not caused financial damage to the European financial interests, EPPO </w:t>
      </w:r>
      <w:r w:rsidR="00BC6CC1">
        <w:rPr>
          <w:rFonts w:ascii="Times New Roman" w:hAnsi="Times New Roman" w:cs="Times New Roman"/>
          <w:sz w:val="24"/>
          <w:szCs w:val="24"/>
        </w:rPr>
        <w:t>could</w:t>
      </w:r>
      <w:r w:rsidRPr="00A26AF8">
        <w:rPr>
          <w:rFonts w:ascii="Times New Roman" w:hAnsi="Times New Roman" w:cs="Times New Roman"/>
          <w:sz w:val="24"/>
          <w:szCs w:val="24"/>
        </w:rPr>
        <w:t xml:space="preserve"> only exercise its competences if the expenditure </w:t>
      </w:r>
      <w:proofErr w:type="gramStart"/>
      <w:r w:rsidR="00BC6CC1">
        <w:rPr>
          <w:rFonts w:ascii="Times New Roman" w:hAnsi="Times New Roman" w:cs="Times New Roman"/>
          <w:sz w:val="24"/>
          <w:szCs w:val="24"/>
        </w:rPr>
        <w:t>wa</w:t>
      </w:r>
      <w:r w:rsidRPr="00A26AF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A26AF8">
        <w:rPr>
          <w:rFonts w:ascii="Times New Roman" w:hAnsi="Times New Roman" w:cs="Times New Roman"/>
          <w:sz w:val="24"/>
          <w:szCs w:val="24"/>
        </w:rPr>
        <w:t xml:space="preserve"> non-procurement-related (Article 3 § 2 (a) PIF</w:t>
      </w:r>
      <w:r w:rsidR="003732D0">
        <w:rPr>
          <w:rFonts w:ascii="Times New Roman" w:hAnsi="Times New Roman" w:cs="Times New Roman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Directive). The definition of public contracts  is</w:t>
      </w:r>
      <w:r w:rsidRPr="00A26A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given</w:t>
      </w:r>
      <w:r w:rsidRPr="00A26AF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in</w:t>
      </w:r>
      <w:r w:rsidRPr="00A26A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Article</w:t>
      </w:r>
      <w:r w:rsidRPr="00A26A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101</w:t>
      </w:r>
      <w:r w:rsidRPr="00A26A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Regulation</w:t>
      </w:r>
      <w:r w:rsidRPr="00A26A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(EU,</w:t>
      </w:r>
      <w:r w:rsidRPr="00A26A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Euratom)</w:t>
      </w:r>
      <w:r w:rsidRPr="00A26A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No</w:t>
      </w:r>
      <w:r w:rsidRPr="00A26A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966/2012</w:t>
      </w:r>
      <w:r w:rsidRPr="00A26A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European Parliament and of the Council of 25 October 2012 on the financial rules applicable to the general budget of the Union and repealing Council Regulation (EC, Euratom) No 1605/2002.</w:t>
      </w:r>
    </w:p>
    <w:p w14:paraId="02A74007" w14:textId="77777777" w:rsidR="00130005" w:rsidRPr="00A26AF8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3C215D" w14:textId="135E375A" w:rsidR="0067618F" w:rsidRPr="00A26AF8" w:rsidRDefault="00A26AF8" w:rsidP="00A26AF8">
      <w:pPr>
        <w:tabs>
          <w:tab w:val="left" w:pos="808"/>
        </w:tabs>
        <w:spacing w:before="144" w:line="276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 xml:space="preserve">What is your legal assessment concerning the competences of EPPO seen from the perspective as handling national prosecutor of the Member States A or B, who </w:t>
      </w:r>
      <w:proofErr w:type="gramStart"/>
      <w:r w:rsidR="00BE6DB5" w:rsidRPr="00A26AF8">
        <w:rPr>
          <w:rFonts w:ascii="Times New Roman" w:hAnsi="Times New Roman" w:cs="Times New Roman"/>
          <w:b/>
          <w:sz w:val="24"/>
          <w:szCs w:val="24"/>
        </w:rPr>
        <w:t>has to</w:t>
      </w:r>
      <w:proofErr w:type="gramEnd"/>
      <w:r w:rsidR="00BE6DB5" w:rsidRPr="00A26AF8">
        <w:rPr>
          <w:rFonts w:ascii="Times New Roman" w:hAnsi="Times New Roman" w:cs="Times New Roman"/>
          <w:b/>
          <w:sz w:val="24"/>
          <w:szCs w:val="24"/>
        </w:rPr>
        <w:t xml:space="preserve"> deal with the charges against the</w:t>
      </w:r>
      <w:r w:rsidR="00BE6DB5" w:rsidRPr="00A26AF8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EU</w:t>
      </w:r>
      <w:r w:rsidR="00BC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agents?</w:t>
      </w:r>
    </w:p>
    <w:p w14:paraId="11D899D2" w14:textId="77777777" w:rsidR="00F50ABB" w:rsidRPr="00A26AF8" w:rsidRDefault="00F50ABB" w:rsidP="00F50ABB">
      <w:pPr>
        <w:spacing w:before="2" w:line="276" w:lineRule="auto"/>
        <w:ind w:left="130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p w14:paraId="3D91C722" w14:textId="77777777" w:rsidR="00F50ABB" w:rsidRPr="00A26AF8" w:rsidRDefault="00F50ABB" w:rsidP="00F50ABB">
      <w:pPr>
        <w:spacing w:before="2" w:line="276" w:lineRule="auto"/>
        <w:ind w:left="130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p w14:paraId="1C9145E2" w14:textId="77777777" w:rsidR="0067618F" w:rsidRPr="00A26AF8" w:rsidRDefault="00BE6DB5" w:rsidP="00F50ABB">
      <w:pPr>
        <w:spacing w:before="2" w:line="276" w:lineRule="auto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Note to trainer:</w:t>
      </w:r>
    </w:p>
    <w:p w14:paraId="0C32C379" w14:textId="12F37A35" w:rsidR="002670A7" w:rsidRPr="00A26AF8" w:rsidRDefault="00BE6DB5" w:rsidP="002670A7">
      <w:pPr>
        <w:spacing w:before="8" w:line="276" w:lineRule="auto"/>
        <w:ind w:left="130"/>
        <w:rPr>
          <w:rFonts w:ascii="Times New Roman" w:hAnsi="Times New Roman" w:cs="Times New Roman"/>
          <w:i/>
          <w:w w:val="105"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The objective of this part is to discuss the case from the perspective of a national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lastRenderedPageBreak/>
        <w:t>prosecutor with a view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relevant</w:t>
      </w:r>
      <w:r w:rsidRPr="00A26AF8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provisions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PIF</w:t>
      </w:r>
      <w:r w:rsidR="003732D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Directive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EPPO</w:t>
      </w:r>
      <w:r w:rsidR="003732D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Regulation.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participants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should </w:t>
      </w:r>
      <w:proofErr w:type="gramStart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take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into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account</w:t>
      </w:r>
      <w:proofErr w:type="gramEnd"/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both</w:t>
      </w:r>
      <w:r w:rsidRPr="00A26AF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relevant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substantive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procedural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law.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attendees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should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also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take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into account</w:t>
      </w:r>
      <w:proofErr w:type="gramEnd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that the actions took</w:t>
      </w:r>
      <w:r w:rsidR="00F50ABB"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place in</w:t>
      </w:r>
      <w:r w:rsidRPr="00A26AF8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London.</w:t>
      </w:r>
    </w:p>
    <w:p w14:paraId="1281C0AB" w14:textId="77777777" w:rsidR="002670A7" w:rsidRPr="00A26AF8" w:rsidRDefault="002670A7" w:rsidP="002670A7">
      <w:pPr>
        <w:spacing w:before="8" w:line="276" w:lineRule="auto"/>
        <w:ind w:left="130"/>
        <w:rPr>
          <w:rFonts w:ascii="Times New Roman" w:hAnsi="Times New Roman" w:cs="Times New Roman"/>
          <w:w w:val="105"/>
          <w:sz w:val="24"/>
          <w:szCs w:val="24"/>
        </w:rPr>
      </w:pPr>
    </w:p>
    <w:p w14:paraId="16C90D15" w14:textId="77777777" w:rsidR="0067618F" w:rsidRPr="00A26AF8" w:rsidRDefault="00BE6DB5" w:rsidP="002670A7">
      <w:pPr>
        <w:spacing w:before="8" w:line="276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Additional remarks:</w:t>
      </w:r>
    </w:p>
    <w:p w14:paraId="3A079182" w14:textId="26F6FE5E" w:rsidR="0067618F" w:rsidRPr="00A26AF8" w:rsidRDefault="00BE6DB5" w:rsidP="00F50ABB">
      <w:pPr>
        <w:pStyle w:val="ListParagraph"/>
        <w:numPr>
          <w:ilvl w:val="0"/>
          <w:numId w:val="8"/>
        </w:numPr>
        <w:tabs>
          <w:tab w:val="left" w:pos="808"/>
        </w:tabs>
        <w:spacing w:before="10" w:line="276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Though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quite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obvious</w:t>
      </w:r>
      <w:proofErr w:type="gramEnd"/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involved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“passive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corruption”,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sure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that they have committed a PIF</w:t>
      </w:r>
      <w:r w:rsidR="00BC6CC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offence. Article 4 § 2 (a) PIF-Directive requires a damage or a “likely damage” to the Union´s financial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interests.</w:t>
      </w:r>
    </w:p>
    <w:p w14:paraId="4F65E884" w14:textId="661CE5C3" w:rsidR="0067618F" w:rsidRPr="00A26AF8" w:rsidRDefault="00BE6DB5" w:rsidP="00F50ABB">
      <w:pPr>
        <w:pStyle w:val="ListParagraph"/>
        <w:numPr>
          <w:ilvl w:val="0"/>
          <w:numId w:val="8"/>
        </w:numPr>
        <w:tabs>
          <w:tab w:val="left" w:pos="808"/>
        </w:tabs>
        <w:spacing w:before="4" w:line="276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A26AF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taken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account</w:t>
      </w:r>
      <w:proofErr w:type="gramEnd"/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consortium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submitted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incorrect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statements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 documents and has just marginally underbid the competitor. This circumstance causes at least an initial suspicion that A and B aided in X´s actions, which could be seen as fraud according to Article 3 § 2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PIF</w:t>
      </w:r>
      <w:r w:rsidR="00BC6CC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Directive.</w:t>
      </w:r>
    </w:p>
    <w:p w14:paraId="1395E3F3" w14:textId="1A065BC0" w:rsidR="0067618F" w:rsidRPr="00A26AF8" w:rsidRDefault="00BE6DB5" w:rsidP="00F50ABB">
      <w:pPr>
        <w:pStyle w:val="ListParagraph"/>
        <w:numPr>
          <w:ilvl w:val="0"/>
          <w:numId w:val="8"/>
        </w:numPr>
        <w:tabs>
          <w:tab w:val="left" w:pos="800"/>
        </w:tabs>
        <w:spacing w:before="2" w:line="276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Even if the corruptive actions of A and B may itself not have damaged the Union´s financial interests, they can be seen as “inextricably linked offences” under Article 22 § 3 EPPO-Regulation.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case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question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arises,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B`s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aid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X´s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fraudul</w:t>
      </w:r>
      <w:r w:rsidR="00BC6CC1">
        <w:rPr>
          <w:rFonts w:ascii="Times New Roman" w:hAnsi="Times New Roman" w:cs="Times New Roman"/>
          <w:w w:val="105"/>
          <w:sz w:val="24"/>
          <w:szCs w:val="24"/>
        </w:rPr>
        <w:t>ent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actions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 simultaneous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commission</w:t>
      </w:r>
      <w:r w:rsidRPr="00A26AF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corruption</w:t>
      </w:r>
      <w:r w:rsidRPr="00A26AF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A26AF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considered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Pr="00A26AF8">
        <w:rPr>
          <w:rFonts w:ascii="Times New Roman" w:hAnsi="Times New Roman" w:cs="Times New Roman"/>
          <w:w w:val="105"/>
          <w:sz w:val="24"/>
          <w:szCs w:val="24"/>
        </w:rPr>
        <w:t>ne</w:t>
      </w:r>
      <w:proofErr w:type="spellEnd"/>
      <w:r w:rsidRPr="00A26AF8">
        <w:rPr>
          <w:rFonts w:ascii="Times New Roman" w:hAnsi="Times New Roman" w:cs="Times New Roman"/>
          <w:w w:val="105"/>
          <w:sz w:val="24"/>
          <w:szCs w:val="24"/>
        </w:rPr>
        <w:t>-bis-in-idem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(identity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of material facts or facts which are substantially the same). If yes, EPPO may only exercise its competence, if the maximum penalty for the PIF offence (fraud) </w:t>
      </w:r>
      <w:r w:rsidRPr="00A26AF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is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higher than</w:t>
      </w:r>
      <w:r w:rsidR="000071C0" w:rsidRPr="00A26AF8">
        <w:rPr>
          <w:rFonts w:ascii="Times New Roman" w:hAnsi="Times New Roman" w:cs="Times New Roman"/>
          <w:w w:val="105"/>
          <w:sz w:val="24"/>
          <w:szCs w:val="24"/>
        </w:rPr>
        <w:t xml:space="preserve"> that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 for the inextricably linked offence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(bribery).</w:t>
      </w:r>
    </w:p>
    <w:p w14:paraId="7856AC81" w14:textId="77777777" w:rsidR="0067618F" w:rsidRPr="00A26AF8" w:rsidRDefault="00BE6DB5" w:rsidP="00F50ABB">
      <w:pPr>
        <w:pStyle w:val="ListParagraph"/>
        <w:numPr>
          <w:ilvl w:val="0"/>
          <w:numId w:val="8"/>
        </w:numPr>
        <w:tabs>
          <w:tab w:val="left" w:pos="808"/>
        </w:tabs>
        <w:spacing w:before="9" w:line="276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It is most likely that the personal scope of EPPO´s competences applies (Article 23 (b) or (c) EPPO-Regulation): Though the criminal acts were conducted outside the territories of the participating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States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(London),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were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committed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nationals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States respectively by persons who are subject to </w:t>
      </w:r>
      <w:r w:rsidRPr="00A26AF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the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Staff Regulations. There are reasons to assume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States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jurisdiction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corruption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acts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even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when committed outside their territory (doublecheck of the national jurisdictions though required).</w:t>
      </w:r>
    </w:p>
    <w:p w14:paraId="3024B8CA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D1F4D4" w14:textId="5A872EF8" w:rsidR="0067618F" w:rsidRPr="00A26AF8" w:rsidRDefault="00A26AF8" w:rsidP="00A26AF8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="00BE6DB5" w:rsidRPr="00A26AF8">
        <w:rPr>
          <w:rFonts w:ascii="Times New Roman" w:hAnsi="Times New Roman" w:cs="Times New Roman"/>
          <w:sz w:val="24"/>
          <w:szCs w:val="24"/>
        </w:rPr>
        <w:t xml:space="preserve">As a national prosecutor, dealing with the charges against A or B, would you inform EPPO of your case? If yes, how? What </w:t>
      </w:r>
      <w:proofErr w:type="gramStart"/>
      <w:r w:rsidR="00BE6DB5" w:rsidRPr="00A26AF8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E6DB5" w:rsidRPr="00A26AF8">
        <w:rPr>
          <w:rFonts w:ascii="Times New Roman" w:hAnsi="Times New Roman" w:cs="Times New Roman"/>
          <w:sz w:val="24"/>
          <w:szCs w:val="24"/>
        </w:rPr>
        <w:t xml:space="preserve"> be done in respect of the national investigations in the</w:t>
      </w:r>
      <w:r w:rsidR="00BE6DB5" w:rsidRPr="00A26A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sz w:val="24"/>
          <w:szCs w:val="24"/>
        </w:rPr>
        <w:t>meantime?</w:t>
      </w:r>
    </w:p>
    <w:p w14:paraId="10AA1B85" w14:textId="77777777" w:rsidR="00F50ABB" w:rsidRPr="00A26AF8" w:rsidRDefault="00F50ABB" w:rsidP="00F50ABB">
      <w:pPr>
        <w:pStyle w:val="Heading1"/>
        <w:tabs>
          <w:tab w:val="left" w:pos="808"/>
        </w:tabs>
        <w:spacing w:line="276" w:lineRule="auto"/>
        <w:ind w:right="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EE8120" w14:textId="77777777" w:rsidR="0067618F" w:rsidRPr="00A26AF8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Note to trainer:</w:t>
      </w:r>
    </w:p>
    <w:p w14:paraId="20DC913A" w14:textId="77777777" w:rsidR="002670A7" w:rsidRPr="00A26AF8" w:rsidRDefault="00BE6DB5" w:rsidP="00F50ABB">
      <w:pPr>
        <w:spacing w:before="8" w:line="276" w:lineRule="auto"/>
        <w:ind w:left="130" w:right="232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The objective of this part is to discuss the formal steps which national prosecutors </w:t>
      </w:r>
      <w:proofErr w:type="gramStart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have to</w:t>
      </w:r>
      <w:proofErr w:type="gramEnd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take to address EPPO correctly. It should be also taken into consideration that the damage could not be assessed so far.</w:t>
      </w:r>
    </w:p>
    <w:p w14:paraId="48BC276D" w14:textId="2C93E09D" w:rsidR="0067618F" w:rsidRPr="00A26AF8" w:rsidRDefault="00BE6DB5" w:rsidP="00F50ABB">
      <w:pPr>
        <w:spacing w:before="8" w:line="276" w:lineRule="auto"/>
        <w:ind w:left="130" w:right="2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Recital 53 of the EPPO-Regulation (“broad interpretation of reporting obligations”) may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an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issue.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There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also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may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discussion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about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what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has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proofErr w:type="gramEnd"/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lastRenderedPageBreak/>
        <w:t>done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EPPO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does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exercise its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right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evocation</w:t>
      </w:r>
      <w:r w:rsidRPr="00A26AF8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within</w:t>
      </w:r>
      <w:r w:rsidRPr="00A26AF8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 periods</w:t>
      </w:r>
      <w:r w:rsidRPr="00A26AF8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under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Article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27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§</w:t>
      </w:r>
      <w:r w:rsidRPr="00A26AF8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1</w:t>
      </w:r>
      <w:r w:rsidRPr="00A26AF8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EPPO</w:t>
      </w:r>
      <w:r w:rsidR="003732D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Regulation.</w:t>
      </w:r>
    </w:p>
    <w:p w14:paraId="754153C4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777DE" w14:textId="77777777" w:rsidR="0067618F" w:rsidRPr="00A26AF8" w:rsidRDefault="00BE6DB5" w:rsidP="00F50ABB">
      <w:pPr>
        <w:pStyle w:val="BodyText"/>
        <w:spacing w:before="143" w:line="276" w:lineRule="auto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Additional remarks:</w:t>
      </w:r>
    </w:p>
    <w:p w14:paraId="78FE6E9D" w14:textId="77777777" w:rsidR="0067618F" w:rsidRPr="00A26AF8" w:rsidRDefault="00BE6DB5" w:rsidP="00F50ABB">
      <w:pPr>
        <w:pStyle w:val="ListParagraph"/>
        <w:numPr>
          <w:ilvl w:val="0"/>
          <w:numId w:val="9"/>
        </w:numPr>
        <w:tabs>
          <w:tab w:val="left" w:pos="469"/>
        </w:tabs>
        <w:spacing w:before="5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File a report to the respective EDP according to Article 24 § 2 and § 4 EPPO-Regulation: description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damage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caused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likely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caused,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possible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legal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qualification,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available information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A26AF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potential</w:t>
      </w:r>
      <w:r w:rsidRPr="00A26AF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victims,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suspects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26AF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A26AF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involved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persons.</w:t>
      </w:r>
    </w:p>
    <w:p w14:paraId="53E67D9C" w14:textId="1B13A6DD" w:rsidR="0067618F" w:rsidRPr="00A26AF8" w:rsidRDefault="00BE6DB5" w:rsidP="00F50ABB">
      <w:pPr>
        <w:pStyle w:val="ListParagraph"/>
        <w:numPr>
          <w:ilvl w:val="0"/>
          <w:numId w:val="9"/>
        </w:numPr>
        <w:tabs>
          <w:tab w:val="left" w:pos="469"/>
        </w:tabs>
        <w:spacing w:line="276" w:lineRule="auto"/>
        <w:ind w:right="482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informed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assessment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damage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possible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(Article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24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5 EPPO</w:t>
      </w:r>
      <w:r w:rsidR="003732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Regulation).</w:t>
      </w:r>
    </w:p>
    <w:p w14:paraId="4C6DBE2F" w14:textId="77777777" w:rsidR="0067618F" w:rsidRPr="00A26AF8" w:rsidRDefault="00BE6DB5" w:rsidP="00F50ABB">
      <w:pPr>
        <w:pStyle w:val="ListParagraph"/>
        <w:numPr>
          <w:ilvl w:val="0"/>
          <w:numId w:val="9"/>
        </w:numPr>
        <w:tabs>
          <w:tab w:val="left" w:pos="469"/>
        </w:tabs>
        <w:spacing w:line="276" w:lineRule="auto"/>
        <w:ind w:right="451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After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being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informed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accordingly,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to</w:t>
      </w:r>
      <w:proofErr w:type="gramEnd"/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decide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whether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6996">
        <w:rPr>
          <w:rFonts w:ascii="Times New Roman" w:hAnsi="Times New Roman" w:cs="Times New Roman"/>
          <w:w w:val="105"/>
          <w:sz w:val="24"/>
          <w:szCs w:val="24"/>
        </w:rPr>
        <w:t>evocates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case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not. The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to</w:t>
      </w:r>
      <w:proofErr w:type="gramEnd"/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rendered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later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(respectively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ECP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specific cases).</w:t>
      </w:r>
    </w:p>
    <w:p w14:paraId="2925FC39" w14:textId="459AB88D" w:rsidR="00F50ABB" w:rsidRPr="00A26AF8" w:rsidRDefault="00BE6DB5" w:rsidP="00F50ABB">
      <w:pPr>
        <w:pStyle w:val="ListParagraph"/>
        <w:numPr>
          <w:ilvl w:val="0"/>
          <w:numId w:val="9"/>
        </w:numPr>
        <w:tabs>
          <w:tab w:val="left" w:pos="469"/>
        </w:tabs>
        <w:spacing w:line="276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National prosecutors </w:t>
      </w:r>
      <w:proofErr w:type="gramStart"/>
      <w:r w:rsidRPr="00A26AF8">
        <w:rPr>
          <w:rFonts w:ascii="Times New Roman" w:hAnsi="Times New Roman" w:cs="Times New Roman"/>
          <w:w w:val="105"/>
          <w:sz w:val="24"/>
          <w:szCs w:val="24"/>
        </w:rPr>
        <w:t>have to</w:t>
      </w:r>
      <w:proofErr w:type="gramEnd"/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 refrain from any further investigations in the meantime which could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compromise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(unless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urgent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measures).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apply,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far as the EPPO exceeds the time limits (see Article 27 § 2 EPPO</w:t>
      </w:r>
      <w:r w:rsidR="003732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Regulation: “during the periods referred to in paragraph 1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…”).</w:t>
      </w:r>
    </w:p>
    <w:p w14:paraId="3149E6CE" w14:textId="77777777" w:rsidR="00F50ABB" w:rsidRPr="00A26AF8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34D69413" w:rsidR="0067618F" w:rsidRPr="00A26AF8" w:rsidRDefault="00A26AF8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BE6DB5" w:rsidRPr="00A26AF8">
        <w:rPr>
          <w:rFonts w:ascii="Times New Roman" w:hAnsi="Times New Roman" w:cs="Times New Roman"/>
          <w:sz w:val="24"/>
          <w:szCs w:val="24"/>
        </w:rPr>
        <w:t>If an argument arises that EPPO is not competent for the case concerning A and B because</w:t>
      </w:r>
    </w:p>
    <w:p w14:paraId="542C0102" w14:textId="22B784F4" w:rsidR="0067618F" w:rsidRPr="00A26AF8" w:rsidRDefault="00BE6DB5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no financial damage for the EU´s financial interests</w:t>
      </w:r>
      <w:r w:rsidRPr="00A26AF8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>occurred</w:t>
      </w:r>
      <w:r w:rsidR="000071C0" w:rsidRPr="00A26AF8"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14:paraId="60D69373" w14:textId="660CAACB" w:rsidR="00F024B1" w:rsidRPr="00A26AF8" w:rsidRDefault="00F50AB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the financial damage is less than EUR 10</w:t>
      </w:r>
      <w:r w:rsidR="0037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 xml:space="preserve">000. </w:t>
      </w:r>
    </w:p>
    <w:p w14:paraId="372F940D" w14:textId="79A59874" w:rsidR="00F50ABB" w:rsidRPr="00A26AF8" w:rsidRDefault="00F50ABB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How can such disagreements be solved?</w:t>
      </w:r>
    </w:p>
    <w:p w14:paraId="374F86E6" w14:textId="77777777" w:rsidR="00F50ABB" w:rsidRPr="00A26AF8" w:rsidRDefault="00F50ABB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p w14:paraId="00F6E6AC" w14:textId="77777777" w:rsidR="0067618F" w:rsidRPr="00A26AF8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Note to trainer:</w:t>
      </w:r>
    </w:p>
    <w:p w14:paraId="1AFC020B" w14:textId="359B6D0C" w:rsidR="0067618F" w:rsidRPr="00A26AF8" w:rsidRDefault="00BE6DB5" w:rsidP="007B6E25">
      <w:pPr>
        <w:spacing w:before="133" w:line="276" w:lineRule="auto"/>
        <w:ind w:left="130" w:right="2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 objective of this part is to discuss the settlement of disagreements between the EPPO and national authorities. It is important to know for the attendees that Article 25 § 6 EPPO</w:t>
      </w:r>
      <w:r w:rsidR="003732D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Regulation lays down that principally national authorities are competent to decide such matters. But this provision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only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applies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for</w:t>
      </w:r>
      <w:r w:rsidRPr="00A26AF8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questions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whether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criminal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conduct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falls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within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scope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Article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>22</w:t>
      </w:r>
      <w:r w:rsidRPr="00A26AF8">
        <w:rPr>
          <w:rFonts w:ascii="Times New Roman" w:hAnsi="Times New Roman" w:cs="Times New Roman"/>
          <w:i/>
          <w:spacing w:val="-9"/>
          <w:w w:val="105"/>
          <w:sz w:val="24"/>
          <w:szCs w:val="24"/>
          <w:u w:val="single"/>
        </w:rPr>
        <w:t xml:space="preserve"> </w:t>
      </w:r>
      <w:r w:rsidRPr="00A26AF8">
        <w:rPr>
          <w:rFonts w:ascii="Times New Roman" w:hAnsi="Times New Roman" w:cs="Times New Roman"/>
          <w:i/>
          <w:spacing w:val="7"/>
          <w:w w:val="105"/>
          <w:sz w:val="24"/>
          <w:szCs w:val="24"/>
          <w:u w:val="single"/>
        </w:rPr>
        <w:t>§</w:t>
      </w:r>
      <w:proofErr w:type="gramStart"/>
      <w:r w:rsidRPr="00A26AF8">
        <w:rPr>
          <w:rFonts w:ascii="Times New Roman" w:hAnsi="Times New Roman" w:cs="Times New Roman"/>
          <w:i/>
          <w:spacing w:val="-105"/>
          <w:w w:val="105"/>
          <w:sz w:val="24"/>
          <w:szCs w:val="24"/>
          <w:u w:val="single"/>
        </w:rPr>
        <w:t>2</w:t>
      </w:r>
      <w:r w:rsidR="00F50ABB" w:rsidRPr="00A26AF8">
        <w:rPr>
          <w:rFonts w:ascii="Times New Roman" w:hAnsi="Times New Roman" w:cs="Times New Roman"/>
          <w:i/>
          <w:spacing w:val="-105"/>
          <w:w w:val="105"/>
          <w:sz w:val="24"/>
          <w:szCs w:val="24"/>
          <w:u w:val="single"/>
        </w:rPr>
        <w:t xml:space="preserve"> </w:t>
      </w:r>
      <w:r w:rsidRPr="00A26AF8">
        <w:rPr>
          <w:rFonts w:ascii="Times New Roman" w:hAnsi="Times New Roman" w:cs="Times New Roman"/>
          <w:i/>
          <w:spacing w:val="94"/>
          <w:w w:val="105"/>
          <w:sz w:val="24"/>
          <w:szCs w:val="24"/>
          <w:u w:val="single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>or</w:t>
      </w:r>
      <w:proofErr w:type="gramEnd"/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 xml:space="preserve"> § 3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or Article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>25 § 2 or § 3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EPPO</w:t>
      </w:r>
      <w:r w:rsidR="003732D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Regulation. Discussion may arise how disagreements can be</w:t>
      </w:r>
      <w:r w:rsidR="007B6E25"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solved, if the case falls within the scope of Article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 xml:space="preserve">22 </w:t>
      </w:r>
      <w:r w:rsidRPr="00A26AF8">
        <w:rPr>
          <w:rFonts w:ascii="Times New Roman" w:hAnsi="Times New Roman" w:cs="Times New Roman"/>
          <w:i/>
          <w:spacing w:val="-102"/>
          <w:w w:val="105"/>
          <w:sz w:val="24"/>
          <w:szCs w:val="24"/>
          <w:u w:val="single"/>
        </w:rPr>
        <w:t>§</w:t>
      </w:r>
      <w:r w:rsidRPr="00A26AF8">
        <w:rPr>
          <w:rFonts w:ascii="Times New Roman" w:hAnsi="Times New Roman" w:cs="Times New Roman"/>
          <w:i/>
          <w:spacing w:val="95"/>
          <w:w w:val="105"/>
          <w:sz w:val="24"/>
          <w:szCs w:val="24"/>
          <w:u w:val="single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>1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 xml:space="preserve"> EPPO</w:t>
      </w:r>
      <w:r w:rsidR="003732D0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w w:val="105"/>
          <w:sz w:val="24"/>
          <w:szCs w:val="24"/>
        </w:rPr>
        <w:t>Regulation.</w:t>
      </w:r>
    </w:p>
    <w:p w14:paraId="794C3850" w14:textId="77777777" w:rsidR="00922D60" w:rsidRPr="00A26AF8" w:rsidRDefault="00922D60" w:rsidP="00F50ABB">
      <w:pPr>
        <w:pStyle w:val="BodyText"/>
        <w:spacing w:before="65" w:line="276" w:lineRule="auto"/>
        <w:ind w:left="13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C195E1A" w14:textId="77777777" w:rsidR="0067618F" w:rsidRPr="00A26AF8" w:rsidRDefault="00BE6DB5" w:rsidP="00F50ABB">
      <w:pPr>
        <w:pStyle w:val="BodyText"/>
        <w:spacing w:before="65" w:line="276" w:lineRule="auto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Additional remarks:</w:t>
      </w:r>
    </w:p>
    <w:p w14:paraId="743C1430" w14:textId="5258EEB1" w:rsidR="0067618F" w:rsidRPr="00A26AF8" w:rsidRDefault="00BE6DB5" w:rsidP="007B6E25">
      <w:pPr>
        <w:pStyle w:val="ListParagraph"/>
        <w:numPr>
          <w:ilvl w:val="0"/>
          <w:numId w:val="10"/>
        </w:numPr>
        <w:tabs>
          <w:tab w:val="left" w:pos="800"/>
        </w:tabs>
        <w:spacing w:before="135"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Case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a: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disagreement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question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criminal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conduct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falls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scope of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22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</w:t>
      </w:r>
      <w:r w:rsidR="003732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Regulation.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Regulation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therefore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A26AF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 xml:space="preserve">apply. </w:t>
      </w:r>
      <w:r w:rsidR="000071C0" w:rsidRPr="00A26AF8">
        <w:rPr>
          <w:rFonts w:ascii="Times New Roman" w:hAnsi="Times New Roman" w:cs="Times New Roman"/>
          <w:w w:val="105"/>
          <w:sz w:val="24"/>
          <w:szCs w:val="24"/>
        </w:rPr>
        <w:t xml:space="preserve">It is up to the EPPO´s assessment if a financial damage has occurred or not. If yes, the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exercise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lastRenderedPageBreak/>
        <w:t>competence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96996">
        <w:rPr>
          <w:rFonts w:ascii="Times New Roman" w:hAnsi="Times New Roman" w:cs="Times New Roman"/>
          <w:w w:val="105"/>
          <w:sz w:val="24"/>
          <w:szCs w:val="24"/>
        </w:rPr>
        <w:t>evocating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case</w:t>
      </w:r>
      <w:r w:rsidR="000071C0" w:rsidRPr="00A26AF8">
        <w:rPr>
          <w:rFonts w:ascii="Times New Roman" w:hAnsi="Times New Roman" w:cs="Times New Roman"/>
          <w:w w:val="105"/>
          <w:sz w:val="24"/>
          <w:szCs w:val="24"/>
        </w:rPr>
        <w:t>; if no, it can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refrain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A26AF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action.</w:t>
      </w:r>
    </w:p>
    <w:p w14:paraId="26997EB2" w14:textId="77777777" w:rsidR="00F024B1" w:rsidRPr="00A26AF8" w:rsidRDefault="00F024B1" w:rsidP="00F024B1">
      <w:pPr>
        <w:pStyle w:val="ListParagraph"/>
        <w:tabs>
          <w:tab w:val="left" w:pos="800"/>
        </w:tabs>
        <w:spacing w:before="135" w:line="276" w:lineRule="auto"/>
        <w:ind w:left="800" w:right="2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DF624F" w14:textId="39C2C6AB" w:rsidR="0067618F" w:rsidRPr="00A26AF8" w:rsidRDefault="00BE6DB5" w:rsidP="007B6E25">
      <w:pPr>
        <w:pStyle w:val="ListParagraph"/>
        <w:numPr>
          <w:ilvl w:val="0"/>
          <w:numId w:val="10"/>
        </w:numPr>
        <w:tabs>
          <w:tab w:val="left" w:pos="800"/>
        </w:tabs>
        <w:spacing w:before="2" w:line="276" w:lineRule="auto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w w:val="105"/>
          <w:sz w:val="24"/>
          <w:szCs w:val="24"/>
        </w:rPr>
        <w:t>Case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b: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respective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national</w:t>
      </w:r>
      <w:r w:rsidRPr="00A26AF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authority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settle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disagreement</w:t>
      </w:r>
      <w:r w:rsidRPr="00A26AF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because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scope</w:t>
      </w:r>
      <w:r w:rsidRPr="00A26AF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 Article 25 § 2 EPPO</w:t>
      </w:r>
      <w:r w:rsidR="003732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Regulation is in question. As servants of the Union are suspected of having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committed</w:t>
      </w:r>
      <w:r w:rsidRPr="00A26AF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offence,</w:t>
      </w:r>
      <w:r w:rsidRPr="00A26AF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A26AF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A26AF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A26AF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A26AF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A922B1" w:rsidRPr="00A26AF8">
        <w:rPr>
          <w:rFonts w:ascii="Times New Roman" w:hAnsi="Times New Roman" w:cs="Times New Roman"/>
          <w:w w:val="105"/>
          <w:sz w:val="24"/>
          <w:szCs w:val="24"/>
        </w:rPr>
        <w:t>favor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A26AF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w w:val="105"/>
          <w:sz w:val="24"/>
          <w:szCs w:val="24"/>
        </w:rPr>
        <w:t>EPPO.</w:t>
      </w:r>
    </w:p>
    <w:p w14:paraId="77CB47B0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A26B8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475FA1DA" w:rsidR="0067618F" w:rsidRPr="00A26AF8" w:rsidRDefault="00A26AF8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BE6DB5" w:rsidRPr="00A26AF8">
        <w:rPr>
          <w:rFonts w:ascii="Times New Roman" w:hAnsi="Times New Roman" w:cs="Times New Roman"/>
          <w:sz w:val="24"/>
          <w:szCs w:val="24"/>
        </w:rPr>
        <w:t>Can the EDP decide not to evocate the case against A and B if the damage (or likely damage) to the EU`s financial interests is less</w:t>
      </w:r>
      <w:r w:rsidR="00BE6DB5" w:rsidRPr="00A26A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sz w:val="24"/>
          <w:szCs w:val="24"/>
        </w:rPr>
        <w:t>than</w:t>
      </w:r>
    </w:p>
    <w:p w14:paraId="69CB9897" w14:textId="6446920B" w:rsidR="0067618F" w:rsidRPr="00A26AF8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a. EUR 100</w:t>
      </w:r>
      <w:r w:rsidR="0029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>000?</w:t>
      </w:r>
    </w:p>
    <w:p w14:paraId="42A9B77D" w14:textId="5C748645" w:rsidR="0067618F" w:rsidRPr="00A26AF8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b. EUR 10</w:t>
      </w:r>
      <w:r w:rsidR="0029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>000?</w:t>
      </w:r>
    </w:p>
    <w:p w14:paraId="03F12010" w14:textId="77777777" w:rsidR="0067618F" w:rsidRPr="00A26AF8" w:rsidRDefault="00BE6DB5" w:rsidP="00F50ABB">
      <w:pPr>
        <w:spacing w:before="144"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Note to trainer</w:t>
      </w:r>
    </w:p>
    <w:p w14:paraId="5467BDA2" w14:textId="77777777" w:rsidR="0067618F" w:rsidRPr="00A26AF8" w:rsidRDefault="00BE6DB5" w:rsidP="00F50ABB">
      <w:pPr>
        <w:spacing w:before="8"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This is just an intermediate question, which can be brought up additionally if time allows.</w:t>
      </w:r>
    </w:p>
    <w:p w14:paraId="2AE2D60E" w14:textId="77777777" w:rsidR="0067618F" w:rsidRPr="00A26AF8" w:rsidRDefault="0067618F" w:rsidP="00F50ABB">
      <w:pPr>
        <w:pStyle w:val="BodyText"/>
        <w:spacing w:before="2"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5B3AA7A2" w14:textId="77777777" w:rsidR="0067618F" w:rsidRPr="00A26AF8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Additional remarks:</w:t>
      </w:r>
    </w:p>
    <w:p w14:paraId="743DD5CE" w14:textId="77777777" w:rsidR="0067618F" w:rsidRPr="00A26AF8" w:rsidRDefault="00BE6DB5" w:rsidP="007B6E25">
      <w:pPr>
        <w:pStyle w:val="ListParagraph"/>
        <w:numPr>
          <w:ilvl w:val="0"/>
          <w:numId w:val="11"/>
        </w:numPr>
        <w:spacing w:before="8" w:line="276" w:lineRule="auto"/>
        <w:ind w:right="2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The EDP can refrain from using its right of evocation in both cases according to Article 27 § 8 EPPO-Regulation, if the College has issued specific guidelines.</w:t>
      </w:r>
    </w:p>
    <w:p w14:paraId="03402585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4EEBFF29" w14:textId="070A8903" w:rsidR="0067618F" w:rsidRPr="00A26AF8" w:rsidRDefault="00A26AF8" w:rsidP="00A26AF8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Q6.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Given, that EPPO has evoked the national investigations from the Member States A and</w:t>
      </w:r>
      <w:r w:rsidR="00BE6DB5" w:rsidRPr="00A26AF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B: In which Member State should EPPO initiate its own investigations?</w:t>
      </w:r>
    </w:p>
    <w:p w14:paraId="4EA8A94E" w14:textId="77777777" w:rsidR="007B6E25" w:rsidRPr="00A26AF8" w:rsidRDefault="007B6E25" w:rsidP="007B6E25">
      <w:pPr>
        <w:pStyle w:val="ListParagraph"/>
        <w:tabs>
          <w:tab w:val="left" w:pos="808"/>
        </w:tabs>
        <w:spacing w:before="140"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3E4E9" w14:textId="77777777" w:rsidR="0067618F" w:rsidRPr="00A26AF8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Note to trainer:</w:t>
      </w:r>
    </w:p>
    <w:p w14:paraId="742194BC" w14:textId="28ED627D" w:rsidR="0067618F" w:rsidRPr="00A26AF8" w:rsidRDefault="00BE6DB5" w:rsidP="00F50ABB">
      <w:pPr>
        <w:spacing w:before="8" w:line="276" w:lineRule="auto"/>
        <w:ind w:left="130" w:right="2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The objective of this part is to discuss the multinational dimension of the case and the question</w:t>
      </w:r>
      <w:r w:rsidR="00296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sz w:val="24"/>
          <w:szCs w:val="24"/>
        </w:rPr>
        <w:t>if the investigations against A and B can be merged by the EPPO. The participants should take a closer look into the question, in which Member State the relevant forum could be. Article 26 § 4 und § 5 EPPO-Regulation should be taken into consideration.</w:t>
      </w:r>
    </w:p>
    <w:p w14:paraId="4753E52F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8C23B2" w14:textId="77777777" w:rsidR="00922D60" w:rsidRPr="00A26AF8" w:rsidRDefault="00922D60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426BE3" w14:textId="77777777" w:rsidR="0067618F" w:rsidRPr="00A26AF8" w:rsidRDefault="00BE6DB5" w:rsidP="00F50ABB">
      <w:pPr>
        <w:spacing w:line="276" w:lineRule="auto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Additional remarks:</w:t>
      </w:r>
    </w:p>
    <w:p w14:paraId="16319FA3" w14:textId="77777777" w:rsidR="0067618F" w:rsidRPr="00A26AF8" w:rsidRDefault="00BE6DB5" w:rsidP="007B6E25">
      <w:pPr>
        <w:pStyle w:val="ListParagraph"/>
        <w:numPr>
          <w:ilvl w:val="0"/>
          <w:numId w:val="12"/>
        </w:numPr>
        <w:tabs>
          <w:tab w:val="left" w:pos="1484"/>
        </w:tabs>
        <w:spacing w:before="10" w:line="276" w:lineRule="auto"/>
        <w:ind w:right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Principally the jurisdictions of more than one Member State are concerned. Belgium (as the country of residence) as well as the Member States A and B are possible</w:t>
      </w:r>
      <w:r w:rsidRPr="00A26A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sz w:val="24"/>
          <w:szCs w:val="24"/>
        </w:rPr>
        <w:t>forums.</w:t>
      </w:r>
    </w:p>
    <w:p w14:paraId="08C5DE39" w14:textId="77777777" w:rsidR="0067618F" w:rsidRPr="00A26AF8" w:rsidRDefault="00BE6DB5" w:rsidP="007B6E25">
      <w:pPr>
        <w:pStyle w:val="ListParagraph"/>
        <w:numPr>
          <w:ilvl w:val="0"/>
          <w:numId w:val="12"/>
        </w:numPr>
        <w:tabs>
          <w:tab w:val="left" w:pos="1484"/>
        </w:tabs>
        <w:spacing w:before="76" w:line="276" w:lineRule="auto"/>
        <w:ind w:right="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The Permanent Chamber can decide to merge the investigations under Article 26 § 5 in accordance with § 4 EPPO-Regulation. If more than one Permanent Chamber can be considered, the internal rules of procedure should determine the competent Permanent</w:t>
      </w:r>
      <w:r w:rsidRPr="00A26AF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sz w:val="24"/>
          <w:szCs w:val="24"/>
        </w:rPr>
        <w:t>Chamber.</w:t>
      </w:r>
    </w:p>
    <w:p w14:paraId="3648CDD4" w14:textId="39816F62" w:rsidR="007B6E25" w:rsidRPr="00A26AF8" w:rsidRDefault="00BE6DB5" w:rsidP="007B6E25">
      <w:pPr>
        <w:pStyle w:val="ListParagraph"/>
        <w:numPr>
          <w:ilvl w:val="0"/>
          <w:numId w:val="12"/>
        </w:numPr>
        <w:tabs>
          <w:tab w:val="left" w:pos="1484"/>
        </w:tabs>
        <w:spacing w:line="276" w:lineRule="auto"/>
        <w:ind w:right="3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lastRenderedPageBreak/>
        <w:t>The focus of the criminal activity is most likely in London. There may be a discussion if Brussels is also a focus of the offences. Furthermore, there is no Member State, where the “bulk of offences” have been</w:t>
      </w:r>
      <w:r w:rsidRPr="00A26AF8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sz w:val="24"/>
          <w:szCs w:val="24"/>
        </w:rPr>
        <w:t>committed.</w:t>
      </w:r>
    </w:p>
    <w:p w14:paraId="220D1742" w14:textId="0E467785" w:rsidR="0067618F" w:rsidRPr="00A26AF8" w:rsidRDefault="00BE6DB5" w:rsidP="007B6E25">
      <w:pPr>
        <w:pStyle w:val="ListParagraph"/>
        <w:numPr>
          <w:ilvl w:val="0"/>
          <w:numId w:val="12"/>
        </w:numPr>
        <w:tabs>
          <w:tab w:val="left" w:pos="1484"/>
        </w:tabs>
        <w:spacing w:before="1" w:line="276" w:lineRule="auto"/>
        <w:ind w:right="1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AF8">
        <w:rPr>
          <w:rFonts w:ascii="Times New Roman" w:hAnsi="Times New Roman" w:cs="Times New Roman"/>
          <w:i/>
          <w:sz w:val="24"/>
          <w:szCs w:val="24"/>
        </w:rPr>
        <w:t>The Permanent Member Chamber could decide that the investigations should take place in Belgium as “the place of the suspect’s or accused person’s habitual residence” (Article 26 § 4 (a) EPPO-Regulation). But the Chamber has to take into consideration that possibly Belgium may not have jurisdiction for the cases, since the criminal activity was  performed outside  Belgium`s territory (UK) and both A and B are not Belgium citizens (e.g. Austria would not have jurisdiction for such cases). Therefore, the Permanent Chamber could also decide not to merge the investigations and to instruct the EDP´s of the Member States A,</w:t>
      </w:r>
      <w:r w:rsidR="003E6A84" w:rsidRPr="00A26AF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26AF8">
        <w:rPr>
          <w:rFonts w:ascii="Times New Roman" w:hAnsi="Times New Roman" w:cs="Times New Roman"/>
          <w:i/>
          <w:sz w:val="24"/>
          <w:szCs w:val="24"/>
        </w:rPr>
        <w:t>B to initiate separate</w:t>
      </w:r>
      <w:r w:rsidRPr="00A26AF8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i/>
          <w:sz w:val="24"/>
          <w:szCs w:val="24"/>
        </w:rPr>
        <w:t>investigations.</w:t>
      </w:r>
    </w:p>
    <w:p w14:paraId="6B41FF43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sectPr w:rsidR="0067618F" w:rsidRPr="00A26AF8">
      <w:footerReference w:type="default" r:id="rId8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00F6" w14:textId="77777777" w:rsidR="00DE2571" w:rsidRDefault="00DE2571">
      <w:r>
        <w:separator/>
      </w:r>
    </w:p>
  </w:endnote>
  <w:endnote w:type="continuationSeparator" w:id="0">
    <w:p w14:paraId="0B39C69C" w14:textId="77777777" w:rsidR="00DE2571" w:rsidRDefault="00D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2664"/>
      <w:docPartObj>
        <w:docPartGallery w:val="Page Numbers (Bottom of Page)"/>
        <w:docPartUnique/>
      </w:docPartObj>
    </w:sdtPr>
    <w:sdtEndPr/>
    <w:sdtContent>
      <w:p w14:paraId="3BC181C9" w14:textId="61BF3F57" w:rsidR="00AB3C53" w:rsidRDefault="00AB3C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433BADF" w14:textId="3FAF1B92" w:rsidR="0067618F" w:rsidRDefault="00676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DF76" w14:textId="77777777" w:rsidR="00DE2571" w:rsidRDefault="00DE2571">
      <w:r>
        <w:separator/>
      </w:r>
    </w:p>
  </w:footnote>
  <w:footnote w:type="continuationSeparator" w:id="0">
    <w:p w14:paraId="018898D6" w14:textId="77777777" w:rsidR="00DE2571" w:rsidRDefault="00DE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 w15:restartNumberingAfterBreak="0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8F"/>
    <w:rsid w:val="000071C0"/>
    <w:rsid w:val="001121C3"/>
    <w:rsid w:val="00130005"/>
    <w:rsid w:val="001922F7"/>
    <w:rsid w:val="001944FD"/>
    <w:rsid w:val="002178B9"/>
    <w:rsid w:val="00227A40"/>
    <w:rsid w:val="002670A7"/>
    <w:rsid w:val="00296996"/>
    <w:rsid w:val="003732D0"/>
    <w:rsid w:val="003E6A84"/>
    <w:rsid w:val="00471FEA"/>
    <w:rsid w:val="004E2FD9"/>
    <w:rsid w:val="00512B9A"/>
    <w:rsid w:val="005517A7"/>
    <w:rsid w:val="00667B74"/>
    <w:rsid w:val="0067618F"/>
    <w:rsid w:val="006C586A"/>
    <w:rsid w:val="007B6E25"/>
    <w:rsid w:val="007B79C3"/>
    <w:rsid w:val="008823D0"/>
    <w:rsid w:val="008E6AB3"/>
    <w:rsid w:val="00922D60"/>
    <w:rsid w:val="00944CEC"/>
    <w:rsid w:val="00A26AF8"/>
    <w:rsid w:val="00A6473B"/>
    <w:rsid w:val="00A922B1"/>
    <w:rsid w:val="00AB3C53"/>
    <w:rsid w:val="00BB4C92"/>
    <w:rsid w:val="00BC6CC1"/>
    <w:rsid w:val="00BE6DB5"/>
    <w:rsid w:val="00CC418A"/>
    <w:rsid w:val="00DE2571"/>
    <w:rsid w:val="00EC177B"/>
    <w:rsid w:val="00EE1907"/>
    <w:rsid w:val="00F024B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15102"/>
  <w15:docId w15:val="{64F5F0B5-F7EA-4C17-85E6-F78AE0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FF42-F3B5-44D4-BDB8-E5A4D13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Greenwood Elizabeth</cp:lastModifiedBy>
  <cp:revision>12</cp:revision>
  <dcterms:created xsi:type="dcterms:W3CDTF">2020-11-06T09:21:00Z</dcterms:created>
  <dcterms:modified xsi:type="dcterms:W3CDTF">2021-05-27T04:53:00Z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