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F8D5" w14:textId="77777777" w:rsidR="00E57A12" w:rsidRPr="00A007BE" w:rsidRDefault="0099083F" w:rsidP="00A007BE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A007B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Explanatory note – investigative measures</w:t>
      </w:r>
    </w:p>
    <w:p w14:paraId="0B14C039" w14:textId="77777777" w:rsidR="00E57A12" w:rsidRPr="00A007BE" w:rsidRDefault="00E57A1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61F1111" w14:textId="1CD217B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The regime of the investigative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EPPO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60DE8227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Indeed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EPPO State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system and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no degree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harmonisation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investigative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53340F39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Some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common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systems,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execution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vary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from State to State.</w:t>
      </w:r>
    </w:p>
    <w:p w14:paraId="0F38DD9E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the EPPO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choices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govern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: 1)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a complete set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investigative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EPPO,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name and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governed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way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execution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with no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; 2)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the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executed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national system; 3)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a light degree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harmonisation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the EPPO,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discipline to the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139ABD0F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. The first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ambitious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Technically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studies on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recalling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study of the University of Luxembourg on the “model rules for the EPPO” in 2010-2012),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politically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complicated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 deep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States.</w:t>
      </w:r>
    </w:p>
    <w:p w14:paraId="3253A6F1" w14:textId="42E47D34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The second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fragmented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scenario, with no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from the EPPO establishment.</w:t>
      </w:r>
    </w:p>
    <w:p w14:paraId="4E3831C2" w14:textId="7C0B60F4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scenario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 sort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mediation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</w:t>
      </w:r>
      <w:r w:rsidR="00CF660F">
        <w:rPr>
          <w:rFonts w:ascii="Times New Roman" w:hAnsi="Times New Roman" w:cs="Times New Roman"/>
          <w:sz w:val="24"/>
          <w:szCs w:val="24"/>
        </w:rPr>
        <w:t>e</w:t>
      </w:r>
      <w:r w:rsidRPr="00A007BE"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options.</w:t>
      </w:r>
    </w:p>
    <w:p w14:paraId="5CD9C0E2" w14:textId="424E80F0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made clear in recital n</w:t>
      </w:r>
      <w:r w:rsidR="00CF660F">
        <w:rPr>
          <w:rFonts w:ascii="Times New Roman" w:hAnsi="Times New Roman" w:cs="Times New Roman"/>
          <w:sz w:val="24"/>
          <w:szCs w:val="24"/>
        </w:rPr>
        <w:t>o</w:t>
      </w:r>
      <w:r w:rsidRPr="00A007BE">
        <w:rPr>
          <w:rFonts w:ascii="Times New Roman" w:hAnsi="Times New Roman" w:cs="Times New Roman"/>
          <w:sz w:val="24"/>
          <w:szCs w:val="24"/>
        </w:rPr>
        <w:t xml:space="preserve">. 70,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prosecution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Union’s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EPPO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gather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 minimum set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respecting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proportionality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”.</w:t>
      </w:r>
    </w:p>
    <w:p w14:paraId="28C97D0A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general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mandate of the EPPO, at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punishable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a maximum penalty of at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imprisonment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for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prosecutions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with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54CEA16D" w14:textId="6A2F5FD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>I</w:t>
      </w:r>
      <w:r w:rsidR="00CF660F">
        <w:rPr>
          <w:rFonts w:ascii="Times New Roman" w:hAnsi="Times New Roman" w:cs="Times New Roman"/>
          <w:sz w:val="24"/>
          <w:szCs w:val="24"/>
        </w:rPr>
        <w:t>n</w:t>
      </w:r>
      <w:r w:rsidRPr="00A007BE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case,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0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EPPO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EPPO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national system,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1613C6AA" w14:textId="2852A1CE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the EDP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case,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by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intructing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r w:rsidR="00CF660F">
        <w:rPr>
          <w:rFonts w:ascii="Times New Roman" w:hAnsi="Times New Roman" w:cs="Times New Roman"/>
          <w:sz w:val="24"/>
          <w:szCs w:val="24"/>
        </w:rPr>
        <w:t>for</w:t>
      </w:r>
      <w:r w:rsidRPr="00A007BE">
        <w:rPr>
          <w:rFonts w:ascii="Times New Roman" w:hAnsi="Times New Roman" w:cs="Times New Roman"/>
          <w:sz w:val="24"/>
          <w:szCs w:val="24"/>
        </w:rPr>
        <w:t xml:space="preserve"> preventive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authorisation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the EP or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Chamber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figure out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EP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supervising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case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unaware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the EDP.</w:t>
      </w:r>
    </w:p>
    <w:p w14:paraId="0FB92919" w14:textId="3EBA2F2B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contrary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the EP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out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investigative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exc</w:t>
      </w:r>
      <w:r w:rsidR="00CF660F">
        <w:rPr>
          <w:rFonts w:ascii="Times New Roman" w:hAnsi="Times New Roman" w:cs="Times New Roman"/>
          <w:sz w:val="24"/>
          <w:szCs w:val="24"/>
        </w:rPr>
        <w:t>e</w:t>
      </w:r>
      <w:r w:rsidRPr="00A007BE">
        <w:rPr>
          <w:rFonts w:ascii="Times New Roman" w:hAnsi="Times New Roman" w:cs="Times New Roman"/>
          <w:sz w:val="24"/>
          <w:szCs w:val="24"/>
        </w:rPr>
        <w:t>ptional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28 para 4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455CEBA1" w14:textId="77777777" w:rsidR="00A007BE" w:rsidRDefault="00A00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6A668B" w14:textId="302638C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a list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the EPPO:</w:t>
      </w:r>
    </w:p>
    <w:p w14:paraId="66AB9948" w14:textId="1ECD34E4" w:rsidR="00E57A12" w:rsidRPr="00A007BE" w:rsidRDefault="0099083F" w:rsidP="00A007BE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Search</w:t>
      </w:r>
      <w:proofErr w:type="spellEnd"/>
    </w:p>
    <w:p w14:paraId="6C68953E" w14:textId="4172C141" w:rsidR="00E57A12" w:rsidRPr="00A007BE" w:rsidRDefault="0099083F" w:rsidP="00A007BE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production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14:paraId="3BDAE441" w14:textId="6A6CBDD1" w:rsidR="00E57A12" w:rsidRPr="00A007BE" w:rsidRDefault="0099083F" w:rsidP="00A007BE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production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computer data</w:t>
      </w:r>
    </w:p>
    <w:p w14:paraId="7EA3EFB4" w14:textId="68BAE7A5" w:rsidR="00E57A12" w:rsidRPr="00A007BE" w:rsidRDefault="0099083F" w:rsidP="00A007BE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Freezing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instrumentalities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proceeds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crime</w:t>
      </w:r>
    </w:p>
    <w:p w14:paraId="301625F7" w14:textId="65559448" w:rsidR="00E57A12" w:rsidRPr="00A007BE" w:rsidRDefault="0099083F" w:rsidP="00A007BE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Interception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</w:p>
    <w:p w14:paraId="5CBB437B" w14:textId="77777777" w:rsidR="00E57A12" w:rsidRPr="00A007BE" w:rsidRDefault="0099083F" w:rsidP="00A007BE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>f)</w:t>
      </w:r>
      <w:r w:rsidRPr="00A007BE">
        <w:rPr>
          <w:rFonts w:ascii="Times New Roman" w:hAnsi="Times New Roman" w:cs="Times New Roman"/>
          <w:sz w:val="24"/>
          <w:szCs w:val="24"/>
        </w:rPr>
        <w:t xml:space="preserve"> Tracking and tracing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technical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means</w:t>
      </w:r>
      <w:proofErr w:type="spellEnd"/>
    </w:p>
    <w:p w14:paraId="17189BDB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61FCFB1" w14:textId="14108773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just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premises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private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computer system.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execution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conservatory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preserve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contamination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the discipline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="00CF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the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EPPO State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out.</w:t>
      </w:r>
    </w:p>
    <w:p w14:paraId="2D6F7672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The production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complete the discipline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281FAF49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production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computer data,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encrypted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decrypted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in some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banking account data and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data with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exception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data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retained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with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pursuant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the second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15(1) of Directive 2002/58/EC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processing of personal data and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privacy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62943C04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Freezing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instrumentalities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proceeds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crime,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assets,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confiscation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the trial court,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possessor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controller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instrumentalities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proceeds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frustrate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ordering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confiscation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6BCF3DA4" w14:textId="1297127D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interception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and from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suspect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accused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over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suspect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accused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sensitive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some </w:t>
      </w:r>
      <w:r w:rsidR="00CF660F">
        <w:rPr>
          <w:rFonts w:ascii="Times New Roman" w:hAnsi="Times New Roman" w:cs="Times New Roman"/>
          <w:sz w:val="24"/>
          <w:szCs w:val="24"/>
        </w:rPr>
        <w:t>c</w:t>
      </w:r>
      <w:r w:rsidRPr="00A007BE">
        <w:rPr>
          <w:rFonts w:ascii="Times New Roman" w:hAnsi="Times New Roman" w:cs="Times New Roman"/>
          <w:sz w:val="24"/>
          <w:szCs w:val="24"/>
        </w:rPr>
        <w:t xml:space="preserve">ountries,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use of a new tool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interception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“Trojan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making the mobile phone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intercepted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perosn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 sort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microphone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hearing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conversation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on the phone,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precence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some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Supreme Court,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governed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the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087CB4C4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track and trace an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out by technical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deliveries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332F842B" w14:textId="7368EBF8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EPPO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sets more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restrictive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adoption of some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r w:rsidR="00CF660F">
        <w:rPr>
          <w:rFonts w:ascii="Times New Roman" w:hAnsi="Times New Roman" w:cs="Times New Roman"/>
          <w:sz w:val="24"/>
          <w:szCs w:val="24"/>
        </w:rPr>
        <w:t>p</w:t>
      </w:r>
      <w:r w:rsidRPr="00A007BE">
        <w:rPr>
          <w:rFonts w:ascii="Times New Roman" w:hAnsi="Times New Roman" w:cs="Times New Roman"/>
          <w:sz w:val="24"/>
          <w:szCs w:val="24"/>
        </w:rPr>
        <w:t xml:space="preserve">roduction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computer data, </w:t>
      </w:r>
      <w:proofErr w:type="spellStart"/>
      <w:r w:rsidR="00CF660F">
        <w:rPr>
          <w:rFonts w:ascii="Times New Roman" w:hAnsi="Times New Roman" w:cs="Times New Roman"/>
          <w:sz w:val="24"/>
          <w:szCs w:val="24"/>
        </w:rPr>
        <w:t>i</w:t>
      </w:r>
      <w:r w:rsidRPr="00A007BE">
        <w:rPr>
          <w:rFonts w:ascii="Times New Roman" w:hAnsi="Times New Roman" w:cs="Times New Roman"/>
          <w:sz w:val="24"/>
          <w:szCs w:val="24"/>
        </w:rPr>
        <w:t>nterception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</w:t>
      </w:r>
      <w:r w:rsidR="00CF660F">
        <w:rPr>
          <w:rFonts w:ascii="Times New Roman" w:hAnsi="Times New Roman" w:cs="Times New Roman"/>
          <w:sz w:val="24"/>
          <w:szCs w:val="24"/>
        </w:rPr>
        <w:t>t</w:t>
      </w:r>
      <w:r w:rsidRPr="00A007BE">
        <w:rPr>
          <w:rFonts w:ascii="Times New Roman" w:hAnsi="Times New Roman" w:cs="Times New Roman"/>
          <w:sz w:val="24"/>
          <w:szCs w:val="24"/>
        </w:rPr>
        <w:t xml:space="preserve">rack and tracing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EPPO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40EE2B9B" w14:textId="59E4CCE9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>I</w:t>
      </w:r>
      <w:r w:rsidR="00CF660F">
        <w:rPr>
          <w:rFonts w:ascii="Times New Roman" w:hAnsi="Times New Roman" w:cs="Times New Roman"/>
          <w:sz w:val="24"/>
          <w:szCs w:val="24"/>
        </w:rPr>
        <w:t>n</w:t>
      </w:r>
      <w:r w:rsidRPr="00A007BE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articular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States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CF660F">
        <w:rPr>
          <w:rFonts w:ascii="Times New Roman" w:hAnsi="Times New Roman" w:cs="Times New Roman"/>
          <w:sz w:val="24"/>
          <w:szCs w:val="24"/>
        </w:rPr>
        <w:t>i</w:t>
      </w:r>
      <w:r w:rsidRPr="00A007BE">
        <w:rPr>
          <w:rFonts w:ascii="Times New Roman" w:hAnsi="Times New Roman" w:cs="Times New Roman"/>
          <w:sz w:val="24"/>
          <w:szCs w:val="24"/>
        </w:rPr>
        <w:t>nterception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</w:t>
      </w:r>
      <w:r w:rsidR="00CF660F">
        <w:rPr>
          <w:rFonts w:ascii="Times New Roman" w:hAnsi="Times New Roman" w:cs="Times New Roman"/>
          <w:sz w:val="24"/>
          <w:szCs w:val="24"/>
        </w:rPr>
        <w:t>t</w:t>
      </w:r>
      <w:r w:rsidRPr="00A007BE">
        <w:rPr>
          <w:rFonts w:ascii="Times New Roman" w:hAnsi="Times New Roman" w:cs="Times New Roman"/>
          <w:sz w:val="24"/>
          <w:szCs w:val="24"/>
        </w:rPr>
        <w:t xml:space="preserve">rack and tracing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0C0BA5D0" w14:textId="54FA2B1D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lastRenderedPageBreak/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“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” a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can be made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7 of the PIF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severe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punishment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fot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offenses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involve a “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considerable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namely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100</w:t>
      </w:r>
      <w:r w:rsidR="00CF660F">
        <w:rPr>
          <w:rFonts w:ascii="Times New Roman" w:hAnsi="Times New Roman" w:cs="Times New Roman"/>
          <w:sz w:val="24"/>
          <w:szCs w:val="24"/>
        </w:rPr>
        <w:t xml:space="preserve"> </w:t>
      </w:r>
      <w:r w:rsidRPr="00A007BE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35E4E17F" w14:textId="1C54D965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adopting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</w:t>
      </w:r>
      <w:r w:rsidR="00CF660F">
        <w:rPr>
          <w:rFonts w:ascii="Times New Roman" w:hAnsi="Times New Roman" w:cs="Times New Roman"/>
          <w:sz w:val="24"/>
          <w:szCs w:val="24"/>
        </w:rPr>
        <w:t>a</w:t>
      </w:r>
      <w:r w:rsidRPr="00A007B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notified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States to the EPPO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117.</w:t>
      </w:r>
    </w:p>
    <w:p w14:paraId="28ABA32C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general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punishment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Delegated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Prosecutors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under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the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5B9FA740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reasonable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grounds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information 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,</w:t>
      </w:r>
    </w:p>
    <w:p w14:paraId="16E01B0B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intrusive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2E7A31D7" w14:textId="12C5CB2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>The concept of “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reasonable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” grounds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="00CF660F">
        <w:rPr>
          <w:rFonts w:ascii="Times New Roman" w:hAnsi="Times New Roman" w:cs="Times New Roman"/>
          <w:sz w:val="24"/>
          <w:szCs w:val="24"/>
        </w:rPr>
        <w:t>in</w:t>
      </w:r>
      <w:r w:rsidRPr="00A007BE">
        <w:rPr>
          <w:rFonts w:ascii="Times New Roman" w:hAnsi="Times New Roman" w:cs="Times New Roman"/>
          <w:sz w:val="24"/>
          <w:szCs w:val="24"/>
        </w:rPr>
        <w:t>terpreted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” grounds,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</w:t>
      </w:r>
      <w:r w:rsidR="00CF66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“grounds”.</w:t>
      </w:r>
    </w:p>
    <w:p w14:paraId="20D6CB77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B485D35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22CB74F" w14:textId="77777777" w:rsidR="00E57A12" w:rsidRPr="00A007BE" w:rsidRDefault="0099083F" w:rsidP="00A007BE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A007B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The case study</w:t>
      </w:r>
    </w:p>
    <w:p w14:paraId="188131AF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F5BD434" w14:textId="490F580E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The case study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 case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expenditures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70E88942" w14:textId="024903DB" w:rsidR="00E57A12" w:rsidRPr="00A007BE" w:rsidRDefault="00CF660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9083F" w:rsidRPr="00A007BE">
        <w:rPr>
          <w:rFonts w:ascii="Times New Roman" w:hAnsi="Times New Roman" w:cs="Times New Roman"/>
          <w:sz w:val="24"/>
          <w:szCs w:val="24"/>
        </w:rPr>
        <w:t xml:space="preserve">he EDP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reasonable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suspicions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offence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case the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certainly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reasonable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suspicions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9083F" w:rsidRPr="00A007BE">
        <w:rPr>
          <w:rFonts w:ascii="Times New Roman" w:hAnsi="Times New Roman" w:cs="Times New Roman"/>
          <w:sz w:val="24"/>
          <w:szCs w:val="24"/>
        </w:rPr>
        <w:t>fraud</w:t>
      </w:r>
      <w:proofErr w:type="spellEnd"/>
      <w:r w:rsidR="0099083F" w:rsidRPr="00A007BE">
        <w:rPr>
          <w:rFonts w:ascii="Times New Roman" w:hAnsi="Times New Roman" w:cs="Times New Roman"/>
          <w:sz w:val="24"/>
          <w:szCs w:val="24"/>
        </w:rPr>
        <w:t>.</w:t>
      </w:r>
    </w:p>
    <w:p w14:paraId="23E695ED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figure out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EDP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case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investigation’s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benefit,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:</w:t>
      </w:r>
    </w:p>
    <w:p w14:paraId="60125CC5" w14:textId="2E6F3975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interview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CF660F">
        <w:rPr>
          <w:rFonts w:ascii="Times New Roman" w:hAnsi="Times New Roman" w:cs="Times New Roman"/>
          <w:sz w:val="24"/>
          <w:szCs w:val="24"/>
        </w:rPr>
        <w:t>u</w:t>
      </w:r>
      <w:r w:rsidRPr="00A007BE">
        <w:rPr>
          <w:rFonts w:ascii="Times New Roman" w:hAnsi="Times New Roman" w:cs="Times New Roman"/>
          <w:sz w:val="24"/>
          <w:szCs w:val="24"/>
        </w:rPr>
        <w:t>niversities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project,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unaware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fraudulent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,</w:t>
      </w:r>
    </w:p>
    <w:p w14:paraId="3B7DC9D5" w14:textId="70BA6EC6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intercept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phone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conversation</w:t>
      </w:r>
      <w:r w:rsidR="00CF66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company A,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deemed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reveal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full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fraud</w:t>
      </w:r>
      <w:proofErr w:type="spellEnd"/>
    </w:p>
    <w:p w14:paraId="63B4C92B" w14:textId="29018A9B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company A bank record</w:t>
      </w:r>
    </w:p>
    <w:p w14:paraId="299659D4" w14:textId="61D964B4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check the company A computer,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offence</w:t>
      </w:r>
      <w:proofErr w:type="spellEnd"/>
      <w:r w:rsidR="00CF660F" w:rsidRPr="00CF660F">
        <w:rPr>
          <w:rFonts w:ascii="Times New Roman" w:hAnsi="Times New Roman" w:cs="Times New Roman"/>
          <w:sz w:val="24"/>
          <w:szCs w:val="24"/>
        </w:rPr>
        <w:t xml:space="preserve"> </w:t>
      </w:r>
      <w:r w:rsidR="00CF660F" w:rsidRPr="00A007B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F660F" w:rsidRPr="00A007BE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14:paraId="0800E061" w14:textId="708E78E9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premises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company A.</w:t>
      </w:r>
    </w:p>
    <w:p w14:paraId="24AC8BDB" w14:textId="2A3ACC12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assume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national system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CF660F">
        <w:rPr>
          <w:rFonts w:ascii="Times New Roman" w:hAnsi="Times New Roman" w:cs="Times New Roman"/>
          <w:sz w:val="24"/>
          <w:szCs w:val="24"/>
        </w:rPr>
        <w:t xml:space="preserve"> for</w:t>
      </w:r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search</w:t>
      </w:r>
      <w:r w:rsidR="00CF660F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r w:rsidR="00CF660F">
        <w:rPr>
          <w:rFonts w:ascii="Times New Roman" w:hAnsi="Times New Roman" w:cs="Times New Roman"/>
          <w:sz w:val="24"/>
          <w:szCs w:val="24"/>
        </w:rPr>
        <w:t xml:space="preserve">a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computer;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case the EDP can use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0A7E2741" w14:textId="7777777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Interviews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under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State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EDP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conducts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24B4A229" w14:textId="45CA0CAF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figure out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interceptions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under the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; the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so</w:t>
      </w:r>
      <w:r w:rsidR="00CF66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“</w:t>
      </w:r>
      <w:r w:rsidR="00CF660F">
        <w:rPr>
          <w:rFonts w:ascii="Times New Roman" w:hAnsi="Times New Roman" w:cs="Times New Roman"/>
          <w:sz w:val="24"/>
          <w:szCs w:val="24"/>
        </w:rPr>
        <w:t>T</w:t>
      </w:r>
      <w:r w:rsidRPr="00A007BE">
        <w:rPr>
          <w:rFonts w:ascii="Times New Roman" w:hAnsi="Times New Roman" w:cs="Times New Roman"/>
          <w:sz w:val="24"/>
          <w:szCs w:val="24"/>
        </w:rPr>
        <w:t xml:space="preserve">rojan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”.</w:t>
      </w:r>
    </w:p>
    <w:p w14:paraId="40BDC58D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B509713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B56A352" w14:textId="77777777" w:rsidR="00A007BE" w:rsidRDefault="00A00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C0A079" w14:textId="25C46DF6" w:rsidR="00E57A12" w:rsidRPr="00A007BE" w:rsidRDefault="0099083F" w:rsidP="00A007BE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A007B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>The quiz</w:t>
      </w:r>
    </w:p>
    <w:p w14:paraId="7BBB42CA" w14:textId="77777777" w:rsidR="00A007BE" w:rsidRPr="00A007BE" w:rsidRDefault="00A007B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B6C9D23" w14:textId="77777777" w:rsidR="00A007BE" w:rsidRDefault="0099083F">
      <w:pPr>
        <w:pStyle w:val="Standard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1:</w:t>
      </w:r>
    </w:p>
    <w:p w14:paraId="11D9235E" w14:textId="60D50036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a).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under an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scenario.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Certainly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EP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supervises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the EDP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under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rules of procedure, of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techinically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EDP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EP”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522E85B8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0F06924" w14:textId="77777777" w:rsidR="00A007BE" w:rsidRDefault="0099083F">
      <w:pPr>
        <w:pStyle w:val="Standard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2:</w:t>
      </w:r>
    </w:p>
    <w:p w14:paraId="5DCCC300" w14:textId="557DAA05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c): the regime of the investigative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 mix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14:paraId="1361CB11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F9AAA60" w14:textId="77777777" w:rsidR="00A007BE" w:rsidRDefault="0099083F">
      <w:pPr>
        <w:pStyle w:val="Standard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3:</w:t>
      </w:r>
    </w:p>
    <w:p w14:paraId="29B80C84" w14:textId="0A12001A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a),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</w:p>
    <w:p w14:paraId="14C4E66B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B473AC6" w14:textId="77777777" w:rsidR="00A007BE" w:rsidRDefault="0099083F">
      <w:pPr>
        <w:pStyle w:val="Standard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4:</w:t>
      </w:r>
      <w:r w:rsidRPr="00A007B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60C84EC4" w14:textId="1B87294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b);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options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by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</w:p>
    <w:p w14:paraId="7F82A25F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27A32D5" w14:textId="77777777" w:rsid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5:</w:t>
      </w:r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C094D" w14:textId="3D4B72A7" w:rsidR="00E57A12" w:rsidRPr="00A007BE" w:rsidRDefault="0099083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a).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case to the general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punishment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at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imprisonment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national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theoretically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use of the Trojan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punished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sanction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, for the EPPO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set in the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7BE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A007BE">
        <w:rPr>
          <w:rFonts w:ascii="Times New Roman" w:hAnsi="Times New Roman" w:cs="Times New Roman"/>
          <w:sz w:val="24"/>
          <w:szCs w:val="24"/>
        </w:rPr>
        <w:t>.</w:t>
      </w:r>
    </w:p>
    <w:p w14:paraId="6A1DB34D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0747322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E7190E1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5CFE40D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36C982B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8169479" w14:textId="77777777" w:rsidR="00E57A12" w:rsidRPr="00A007BE" w:rsidRDefault="00E57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sectPr w:rsidR="00E57A12" w:rsidRPr="00A007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B119" w14:textId="77777777" w:rsidR="00136803" w:rsidRDefault="00136803">
      <w:pPr>
        <w:spacing w:after="0" w:line="240" w:lineRule="auto"/>
      </w:pPr>
      <w:r>
        <w:separator/>
      </w:r>
    </w:p>
  </w:endnote>
  <w:endnote w:type="continuationSeparator" w:id="0">
    <w:p w14:paraId="4856C1D4" w14:textId="77777777" w:rsidR="00136803" w:rsidRDefault="0013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C7F3" w14:textId="77777777" w:rsidR="006011F5" w:rsidRDefault="00601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232581"/>
      <w:docPartObj>
        <w:docPartGallery w:val="Page Numbers (Bottom of Page)"/>
        <w:docPartUnique/>
      </w:docPartObj>
    </w:sdtPr>
    <w:sdtEndPr/>
    <w:sdtContent>
      <w:p w14:paraId="7F763B8B" w14:textId="5E559B76" w:rsidR="006011F5" w:rsidRDefault="006011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69CD267C" w14:textId="77777777" w:rsidR="006011F5" w:rsidRDefault="00601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AAC8" w14:textId="77777777" w:rsidR="006011F5" w:rsidRDefault="00601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3C1D" w14:textId="77777777" w:rsidR="00136803" w:rsidRDefault="001368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D23D73" w14:textId="77777777" w:rsidR="00136803" w:rsidRDefault="0013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6845" w14:textId="77777777" w:rsidR="006011F5" w:rsidRDefault="00601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E3DD" w14:textId="77777777" w:rsidR="006011F5" w:rsidRDefault="00601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E071" w14:textId="77777777" w:rsidR="006011F5" w:rsidRDefault="00601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12"/>
    <w:rsid w:val="00136803"/>
    <w:rsid w:val="006011F5"/>
    <w:rsid w:val="0099083F"/>
    <w:rsid w:val="00A007BE"/>
    <w:rsid w:val="00B13986"/>
    <w:rsid w:val="00CF660F"/>
    <w:rsid w:val="00E4515C"/>
    <w:rsid w:val="00E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BD58"/>
  <w15:docId w15:val="{E8FC3B3F-831E-4A68-9436-D089DF3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A007B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A007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F5"/>
  </w:style>
  <w:style w:type="paragraph" w:styleId="Footer">
    <w:name w:val="footer"/>
    <w:basedOn w:val="Normal"/>
    <w:link w:val="FooterChar"/>
    <w:uiPriority w:val="99"/>
    <w:unhideWhenUsed/>
    <w:rsid w:val="0060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8631</Characters>
  <Application>Microsoft Office Word</Application>
  <DocSecurity>0</DocSecurity>
  <Lines>71</Lines>
  <Paragraphs>19</Paragraphs>
  <ScaleCrop>false</ScaleCrop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Greenwood Elizabeth</cp:lastModifiedBy>
  <cp:revision>5</cp:revision>
  <dcterms:created xsi:type="dcterms:W3CDTF">2021-02-28T10:39:00Z</dcterms:created>
  <dcterms:modified xsi:type="dcterms:W3CDTF">2021-05-27T05:22:00Z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