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711C" w14:textId="10D1E111" w:rsidR="00F43211" w:rsidRPr="001C3E65" w:rsidRDefault="002C0F24" w:rsidP="001C3E65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1C3E6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Explanatory note – Cooperation with national authorit</w:t>
      </w:r>
      <w:r w:rsidR="001C3E65" w:rsidRPr="001C3E65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ies</w:t>
      </w:r>
    </w:p>
    <w:p w14:paraId="0F26EF34" w14:textId="77777777" w:rsidR="00F43211" w:rsidRPr="001C3E65" w:rsidRDefault="00F43211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3B361EC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essential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for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functioning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resources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cover whatever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necessary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carry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out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functions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3C0983D" w14:textId="20C027FC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derives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from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fact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shaped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 body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some limited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(the PIF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)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exclusive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happen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connected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or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problems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deriving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from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sort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concurrent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must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faced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E9D3F84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takes place 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different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levels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;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want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divide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great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sectors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identifiy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sector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exchange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information and one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sector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operational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stage, in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course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19A7F66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information flow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involves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transmission of the first information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F163ABC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national authority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possession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information 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“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without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delay” by forwarding the information. The transmission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instrumental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allow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assessing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information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2D7E722" w14:textId="368C76F9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“National authority”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interpreted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authority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potentially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entitled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information,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enforcement bodies,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police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c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ustoms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tax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and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bodies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management of the EU funds.</w:t>
      </w:r>
    </w:p>
    <w:p w14:paraId="0FCADCF8" w14:textId="288DFCA5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EPPO must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case,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receive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information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strating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information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their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attention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ongoing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48BD2DC" w14:textId="1528339B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EPPO must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referred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25 para 3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falls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factual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elements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suggest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are more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entitled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case.</w:t>
      </w:r>
    </w:p>
    <w:p w14:paraId="332527AD" w14:textId="5CC060E2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information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mechanism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work on the opposite side: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aware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an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m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fall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’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without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delay.</w:t>
      </w:r>
    </w:p>
    <w:p w14:paraId="336FE51A" w14:textId="057919D9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issue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transfer of information,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can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result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the transfer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corroborating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rm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ation,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very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sensitive,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involve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evolution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from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stage to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stage.</w:t>
      </w:r>
    </w:p>
    <w:p w14:paraId="66B4D456" w14:textId="3C9F6865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mention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an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ssue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left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unless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govern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practicalities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i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nternal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rules of procedure.</w:t>
      </w:r>
    </w:p>
    <w:p w14:paraId="4242C26E" w14:textId="2D49F749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In some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c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ountries,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Italy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example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authority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elements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suggesting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could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emerge,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immediately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suspend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enquire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and continue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under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with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consequent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guarantees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doesn’t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act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way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later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transmits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information to the EPPO,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receive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“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poisoned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fruit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”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consisting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of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piece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legally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acquired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629D1FA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issues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reflections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be appropriate.</w:t>
      </w:r>
    </w:p>
    <w:p w14:paraId="5D691964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operational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involves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behaviour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EPPO and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4000CAA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assessing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information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abstain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from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taking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except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possibility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undertake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urgent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0F2887C" w14:textId="67B3E3AB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case,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taking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of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consult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for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clarification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content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information.</w:t>
      </w:r>
    </w:p>
    <w:p w14:paraId="636AD5C3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decides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send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file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stop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investigative action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allegation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the case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remains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still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again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should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new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elements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emerge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determine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4977614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kind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EPPO with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involves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execution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investigative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undertaken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199A7BF" w14:textId="6AB612E5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own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police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necessarily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police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instructed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execution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measures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by the EDP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handling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case,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obliged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assist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EC512FE" w14:textId="1F5ECD1C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same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happen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Prosecutor in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exceptional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(art. 28 para 4).</w:t>
      </w:r>
    </w:p>
    <w:p w14:paraId="7976747C" w14:textId="77777777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EPPO,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particular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Permanent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Chamber,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refer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case to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reveals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criminal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under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committed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(art. 34).</w:t>
      </w:r>
    </w:p>
    <w:p w14:paraId="505FAD8F" w14:textId="65B4C24C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case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involves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less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100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000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euros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no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specific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need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for the EPPO to look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into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case,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decide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leave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The rules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govern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a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situation must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adopted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by the college,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art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.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34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already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for a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detailed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description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mechanism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192322D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09B990D" w14:textId="77777777" w:rsidR="00F43211" w:rsidRPr="001C3E65" w:rsidRDefault="002C0F24" w:rsidP="001C3E65">
      <w:pPr>
        <w:pStyle w:val="Standard"/>
        <w:jc w:val="center"/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</w:pPr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  <w:t>The case study</w:t>
      </w:r>
    </w:p>
    <w:p w14:paraId="4C4B641C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34C6A0E" w14:textId="3F66F820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case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 VAT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fraud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in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tense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exchange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information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between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takes place and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PIF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and non PIF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offences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are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stake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so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specific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taken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respect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each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them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58D536F" w14:textId="39AE1EC4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The VAT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cases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issues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because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small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VAT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transferred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the EU budget,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rest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>being</w:t>
      </w:r>
      <w:proofErr w:type="spellEnd"/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a re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v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e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n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ue of the national budget.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e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stablish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clarified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EU part of VAT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considered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or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entire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amount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At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present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no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provision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or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specific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indication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9C69395" w14:textId="4D60A2D8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Regarding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case study,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can use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acquired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transmitted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in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e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EPPO can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certainly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use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51D319E3" w14:textId="5141203E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In the case study,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nothing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suggests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evidence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illegally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acquired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C6833A5" w14:textId="77777777" w:rsidR="001C3E65" w:rsidRDefault="001C3E65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</w:p>
    <w:p w14:paraId="2A950DAE" w14:textId="4A7EC569" w:rsidR="00F43211" w:rsidRPr="001C3E65" w:rsidRDefault="002C0F24" w:rsidP="001C3E65">
      <w:pPr>
        <w:pStyle w:val="Standard"/>
        <w:jc w:val="center"/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</w:pPr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8"/>
          <w:szCs w:val="28"/>
        </w:rPr>
        <w:t>The quiz</w:t>
      </w:r>
    </w:p>
    <w:p w14:paraId="333A9B7C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851C9C3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1: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6A6BC4A1" w14:textId="02734FE0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b),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wording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t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he EPPO </w:t>
      </w:r>
      <w:r w:rsidR="00440A88" w:rsidRPr="001C3E65">
        <w:rPr>
          <w:rFonts w:ascii="Times New Roman" w:eastAsia="Segoe UI Emoji" w:hAnsi="Times New Roman" w:cs="Times New Roman"/>
          <w:sz w:val="24"/>
          <w:szCs w:val="24"/>
        </w:rPr>
        <w:t xml:space="preserve">must 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first be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informed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;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consultations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possible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after the tra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ns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mission of the information,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decide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whether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exercise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competenece</w:t>
      </w:r>
      <w:proofErr w:type="spellEnd"/>
      <w:r w:rsidR="00440A88">
        <w:rPr>
          <w:rFonts w:ascii="Times New Roman" w:eastAsia="Segoe UI Emoji" w:hAnsi="Times New Roman" w:cs="Times New Roman"/>
          <w:sz w:val="24"/>
          <w:szCs w:val="24"/>
        </w:rPr>
        <w:t xml:space="preserve"> or </w:t>
      </w:r>
      <w:proofErr w:type="spellStart"/>
      <w:r w:rsidR="00440A88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</w:p>
    <w:p w14:paraId="4363337F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3A6DA36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2: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4FBB7543" w14:textId="64B5F5E2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a),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wording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</w:p>
    <w:p w14:paraId="658E7B48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D34568C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1C3E65"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3</w:t>
      </w:r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261C613C" w14:textId="1CCBF694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c);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what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provides</w:t>
      </w:r>
      <w:proofErr w:type="spellEnd"/>
    </w:p>
    <w:p w14:paraId="29CAF9BD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D6FCA4A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4: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6ADB9150" w14:textId="59950CD5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b);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consistent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with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alternative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competence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</w:t>
      </w:r>
      <w:r w:rsidR="00440A88">
        <w:rPr>
          <w:rFonts w:ascii="Times New Roman" w:eastAsia="Segoe UI Emoji" w:hAnsi="Times New Roman" w:cs="Times New Roman"/>
          <w:sz w:val="24"/>
          <w:szCs w:val="24"/>
        </w:rPr>
        <w:t>et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>ween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and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</w:p>
    <w:p w14:paraId="0462991C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6912C5C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5: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55988224" w14:textId="14B03295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a);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consultation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just a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possibility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and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obligation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c)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incorrect</w:t>
      </w:r>
      <w:proofErr w:type="spellEnd"/>
    </w:p>
    <w:p w14:paraId="56C5770B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1D7FA3A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6:</w:t>
      </w:r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</w:p>
    <w:p w14:paraId="7074C446" w14:textId="4A5FA208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a);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in line with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cooperation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between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the EPPO and the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</w:p>
    <w:p w14:paraId="4A9AA51E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0B84769" w14:textId="77777777" w:rsidR="001C3E65" w:rsidRDefault="002C0F24">
      <w:pPr>
        <w:pStyle w:val="Standard"/>
        <w:jc w:val="both"/>
        <w:rPr>
          <w:rFonts w:ascii="Times New Roman" w:eastAsia="Segoe UI Emoji" w:hAnsi="Times New Roman" w:cs="Times New Roman"/>
          <w:color w:val="4472C4" w:themeColor="accent1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>Question</w:t>
      </w:r>
      <w:proofErr w:type="spellEnd"/>
      <w:r w:rsidRPr="001C3E65">
        <w:rPr>
          <w:rFonts w:ascii="Times New Roman" w:eastAsia="Segoe UI Emoji" w:hAnsi="Times New Roman" w:cs="Times New Roman"/>
          <w:b/>
          <w:bCs/>
          <w:color w:val="4472C4" w:themeColor="accent1"/>
          <w:sz w:val="24"/>
          <w:szCs w:val="24"/>
        </w:rPr>
        <w:t xml:space="preserve"> 7:</w:t>
      </w:r>
      <w:r w:rsidRPr="001C3E65">
        <w:rPr>
          <w:rFonts w:ascii="Times New Roman" w:eastAsia="Segoe UI Emoji" w:hAnsi="Times New Roman" w:cs="Times New Roman"/>
          <w:color w:val="4472C4" w:themeColor="accent1"/>
          <w:sz w:val="24"/>
          <w:szCs w:val="24"/>
        </w:rPr>
        <w:t xml:space="preserve"> </w:t>
      </w:r>
    </w:p>
    <w:p w14:paraId="29BD5B1F" w14:textId="65A75D6F" w:rsidR="00F43211" w:rsidRPr="001C3E65" w:rsidRDefault="002C0F24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answer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c); the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provide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rule on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issue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1C3E65">
        <w:rPr>
          <w:rFonts w:ascii="Times New Roman" w:eastAsia="Segoe UI Emoji" w:hAnsi="Times New Roman" w:cs="Times New Roman"/>
          <w:sz w:val="24"/>
          <w:szCs w:val="24"/>
        </w:rPr>
        <w:t xml:space="preserve"> by national </w:t>
      </w:r>
      <w:proofErr w:type="spellStart"/>
      <w:r w:rsidRPr="001C3E65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</w:p>
    <w:p w14:paraId="605D8B54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FB6F1E6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86B0356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2C6BBA9B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BE2A746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137EF8A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9ED4312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E32DD62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063E7B9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3BD6612" w14:textId="77777777" w:rsidR="00F43211" w:rsidRPr="001C3E65" w:rsidRDefault="00F43211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sectPr w:rsidR="00F43211" w:rsidRPr="001C3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20A" w14:textId="77777777" w:rsidR="00A8038C" w:rsidRDefault="00A8038C">
      <w:pPr>
        <w:spacing w:after="0" w:line="240" w:lineRule="auto"/>
      </w:pPr>
      <w:r>
        <w:separator/>
      </w:r>
    </w:p>
  </w:endnote>
  <w:endnote w:type="continuationSeparator" w:id="0">
    <w:p w14:paraId="708C5458" w14:textId="77777777" w:rsidR="00A8038C" w:rsidRDefault="00A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598B" w14:textId="77777777" w:rsidR="002876C2" w:rsidRDefault="002876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968183"/>
      <w:docPartObj>
        <w:docPartGallery w:val="Page Numbers (Bottom of Page)"/>
        <w:docPartUnique/>
      </w:docPartObj>
    </w:sdtPr>
    <w:sdtEndPr/>
    <w:sdtContent>
      <w:p w14:paraId="00CF81B2" w14:textId="63B56C2A" w:rsidR="002876C2" w:rsidRDefault="002876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84EAABF" w14:textId="77777777" w:rsidR="002876C2" w:rsidRDefault="00287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8DC8" w14:textId="77777777" w:rsidR="002876C2" w:rsidRDefault="0028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CA71" w14:textId="77777777" w:rsidR="00A8038C" w:rsidRDefault="00A803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2428B8" w14:textId="77777777" w:rsidR="00A8038C" w:rsidRDefault="00A8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AD1B" w14:textId="77777777" w:rsidR="002876C2" w:rsidRDefault="002876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0092" w14:textId="77777777" w:rsidR="002876C2" w:rsidRDefault="00287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4E1A" w14:textId="77777777" w:rsidR="002876C2" w:rsidRDefault="00287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11"/>
    <w:rsid w:val="001C3E65"/>
    <w:rsid w:val="002876C2"/>
    <w:rsid w:val="002C0F24"/>
    <w:rsid w:val="00440A88"/>
    <w:rsid w:val="00452944"/>
    <w:rsid w:val="009D4274"/>
    <w:rsid w:val="00A8038C"/>
    <w:rsid w:val="00F4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D9E8"/>
  <w15:docId w15:val="{E5DC0E93-B61C-44AF-995D-F60EAE83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1C3E6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1C3E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C2"/>
  </w:style>
  <w:style w:type="paragraph" w:styleId="Footer">
    <w:name w:val="footer"/>
    <w:basedOn w:val="Normal"/>
    <w:link w:val="FooterChar"/>
    <w:uiPriority w:val="99"/>
    <w:unhideWhenUsed/>
    <w:rsid w:val="0028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Greenwood Elizabeth</cp:lastModifiedBy>
  <cp:revision>5</cp:revision>
  <dcterms:created xsi:type="dcterms:W3CDTF">2021-02-28T11:31:00Z</dcterms:created>
  <dcterms:modified xsi:type="dcterms:W3CDTF">2021-05-27T06:45:00Z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