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22.xml" ContentType="application/vnd.openxmlformats-officedocument.wordprocessingml.header+xml"/>
  <Override PartName="/word/footer322.xml" ContentType="application/vnd.openxmlformats-officedocument.wordprocessingml.footer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AB389E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Quiz - </w:t>
      </w:r>
      <w:r w:rsidR="008E1F95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Recouvrement et confiscation des avoirs      </w:t>
      </w:r>
    </w:p>
    <w:p w:rsidR="00AB389E" w:rsidRDefault="00AB389E" w14:paraId="785ED2C1" w14:textId="77777777">
      <w:pPr>
        <w:pStyle w:val="Standard1"/>
        <w:rPr>
          <w:rFonts w:ascii="Times New Roman" w:hAnsi="Times New Roman" w:eastAsia="Segoe UI Emoji" w:cs="Times New Roman"/>
        </w:rPr>
      </w:pPr>
    </w:p>
    <w:p>
      <w:pPr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Q1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) La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saisie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des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produits du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crime dans la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procédure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OEPP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régi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par 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droit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national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de la PDE qui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traite 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affaire.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régi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par 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règlement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UE/1805/2018.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régie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par la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directive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européenne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2014/42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dans la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mesure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où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directement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applicable.</w:t>
      </w:r>
    </w:p>
    <w:p w:rsidRPr="008E1F95" w:rsidR="008E1F95" w:rsidP="008E1F95" w:rsidRDefault="008E1F95" w14:paraId="71AD502A" w14:textId="77777777">
      <w:pPr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Q2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) Dans les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cas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transfrontaliers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,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lorsque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service informatique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chargé du traitement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doit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saisir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ou confisquer les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produits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du crime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situés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sur le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territoire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d'un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autre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Etat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participant de l'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OEPP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EDP 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traitement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fera appel à l'EIO.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informatique 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traitement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soumettra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demande d'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AML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traitement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informatique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agira conformément à 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article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31 du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règlement de 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OEPP.</w:t>
      </w:r>
    </w:p>
    <w:p w:rsidRPr="008E1F95" w:rsidR="008E1F95" w:rsidP="008E1F95" w:rsidRDefault="008E1F95" w14:paraId="6C961840" w14:textId="77777777">
      <w:pPr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Q3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) La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directive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2014/42/UE :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un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instrument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juridique d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harmonisation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, de sorte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dans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chaque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État membre, les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mêmes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types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saisie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et 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confiscation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sont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applicables.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outil 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reconnaissance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mutuelle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, qui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permet à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l'EDP d'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exécuter une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saisie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et une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confiscation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dans un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autre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EM.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instrument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juridique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directement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applicable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régissant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exécution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de la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saisie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et de la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confiscation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dans l'UE.</w:t>
      </w:r>
    </w:p>
    <w:p w:rsidRPr="008E1F95" w:rsidR="008E1F95" w:rsidP="008E1F95" w:rsidRDefault="008E1F95" w14:paraId="261CE38F" w14:textId="77777777">
      <w:pPr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Q4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)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On entend par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"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produits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du crime"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uniquement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produits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directs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de 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activité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criminelle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tous les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avantages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indirects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tirés de l'infraction,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y compris 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réinvestissement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ou la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transformation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ultérieurs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produits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directs.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produit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peut être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quantifié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en argent</w:t>
      </w:r>
    </w:p>
    <w:p w:rsidRPr="008E1F95" w:rsidR="008E1F95" w:rsidP="008E1F95" w:rsidRDefault="008E1F95" w14:paraId="44FA9204" w14:textId="77777777">
      <w:pPr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Q5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) Dans la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législation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européenne,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on entend par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"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confiscation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"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prendre les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biens d'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une personne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directement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liés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à une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infraction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pénale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à la suite d'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décision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judiciaire 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condamnation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prendre les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biens d'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une personne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dont la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possession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disproportionnée par rapport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conditions 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vie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non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justifiée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suite à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décision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judiciaire 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condamnation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prendre les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biens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de quelqu'un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suite à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décision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judiciaire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sans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condamnation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pénale</w:t>
      </w:r>
    </w:p>
    <w:p w:rsidRPr="008E1F95" w:rsidR="008E1F95" w:rsidP="008E1F95" w:rsidRDefault="008E1F95" w14:paraId="37FE189B" w14:textId="77777777">
      <w:pPr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Q6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)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Afin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récupérer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montant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fraudé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dans le cadre de la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procédure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OEPP </w:t>
      </w:r>
      <w:r w:rsidRPr="008E1F9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: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a) 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OLAF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ne peut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jouer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aucun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rôle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car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règlement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empêche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d'ouvrir une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administrative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alors que 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enquête 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l'OEPP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en cours.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b) 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OLAF et l'OEPP peuvent coopérer en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échangeant des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informations</w:t>
      </w:r>
    </w:p>
    <w:p>
      <w:pPr>
        <w:ind w:start="708"/>
        <w:rPr>
          <w:rFonts w:ascii="Times New Roman" w:hAnsi="Times New Roman" w:eastAsia="Segoe UI Emoji" w:cs="Times New Roman"/>
          <w:sz w:val="24"/>
          <w:szCs w:val="24"/>
        </w:rPr>
      </w:pPr>
      <w:r w:rsidRPr="007942F9">
        <w:rPr>
          <w:rFonts w:ascii="Times New Roman" w:hAnsi="Times New Roman" w:eastAsia="Segoe UI Emoji" w:cs="Times New Roman"/>
          <w:i/>
          <w:iCs/>
          <w:sz w:val="24"/>
          <w:szCs w:val="24"/>
        </w:rPr>
        <w:t xml:space="preserve">c) l'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OEPP peut déléguer à l'OLAF le soin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s'occuper du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recouvrement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financier du </w:t>
      </w:r>
      <w:r w:rsidRPr="008E1F95">
        <w:rPr>
          <w:rFonts w:ascii="Times New Roman" w:hAnsi="Times New Roman" w:eastAsia="Segoe UI Emoji" w:cs="Times New Roman"/>
          <w:sz w:val="24"/>
          <w:szCs w:val="24"/>
        </w:rPr>
        <w:t xml:space="preserve">montant</w:t>
      </w:r>
    </w:p>
    <w:p w:rsidRPr="008E1F95" w:rsidR="00720D68" w:rsidRDefault="00720D68" w14:paraId="1AA57EFA" w14:textId="77777777">
      <w:pPr>
        <w:pStyle w:val="Standard1"/>
        <w:rPr>
          <w:rFonts w:ascii="Times New Roman" w:hAnsi="Times New Roman" w:eastAsia="Segoe UI Emoji" w:cs="Times New Roman"/>
          <w:sz w:val="24"/>
          <w:szCs w:val="24"/>
        </w:rPr>
      </w:pPr>
    </w:p>
    <w:p w:rsidRPr="008E1F95" w:rsidR="00720D68" w:rsidRDefault="00720D68" w14:paraId="5A0507BF" w14:textId="77777777">
      <w:pPr>
        <w:pStyle w:val="Standard1"/>
        <w:rPr>
          <w:rFonts w:ascii="Times New Roman" w:hAnsi="Times New Roman" w:eastAsia="Segoe UI Emoji" w:cs="Times New Roman"/>
          <w:sz w:val="24"/>
          <w:szCs w:val="24"/>
        </w:rPr>
      </w:pPr>
    </w:p>
    <w:p w:rsidRPr="008E1F95" w:rsidR="00720D68" w:rsidRDefault="00720D68" w14:paraId="0E071CCE" w14:textId="77777777">
      <w:pPr>
        <w:pStyle w:val="Standard1"/>
        <w:rPr>
          <w:rFonts w:ascii="Times New Roman" w:hAnsi="Times New Roman" w:eastAsia="Segoe UI Emoji" w:cs="Times New Roman"/>
          <w:sz w:val="24"/>
          <w:szCs w:val="24"/>
        </w:rPr>
      </w:pPr>
    </w:p>
    <w:p w:rsidRPr="00AB389E" w:rsidR="00720D68" w:rsidRDefault="00720D68" w14:paraId="41E8CC53" w14:textId="77777777">
      <w:pPr>
        <w:pStyle w:val="Standard1"/>
        <w:rPr>
          <w:rFonts w:ascii="Times New Roman" w:hAnsi="Times New Roman" w:eastAsia="Segoe UI Emoji" w:cs="Times New Roman"/>
        </w:rPr>
      </w:pPr>
    </w:p>
    <w:p w:rsidRPr="00AB389E" w:rsidR="00720D68" w:rsidRDefault="00720D68" w14:paraId="1AF35C8E" w14:textId="77777777">
      <w:pPr>
        <w:pStyle w:val="Standard1"/>
        <w:rPr>
          <w:rFonts w:ascii="Times New Roman" w:hAnsi="Times New Roman" w:eastAsia="Segoe UI Emoji" w:cs="Times New Roman"/>
        </w:rPr>
      </w:pPr>
    </w:p>
    <w:p w:rsidRPr="00AB389E" w:rsidR="00720D68" w:rsidRDefault="00720D68" w14:paraId="0532633F" w14:textId="77777777">
      <w:pPr>
        <w:pStyle w:val="Standard1"/>
        <w:rPr>
          <w:rFonts w:ascii="Times New Roman" w:hAnsi="Times New Roman" w:eastAsia="Segoe UI Emoji" w:cs="Times New Roman"/>
        </w:rPr>
      </w:pPr>
    </w:p>
    <w:p w:rsidRPr="00AB389E" w:rsidR="00720D68" w:rsidRDefault="00720D68" w14:paraId="79160914" w14:textId="77777777">
      <w:pPr>
        <w:pStyle w:val="Standard1"/>
        <w:rPr>
          <w:rFonts w:ascii="Times New Roman" w:hAnsi="Times New Roman" w:eastAsia="Segoe UI Emoji" w:cs="Times New Roman"/>
        </w:rPr>
      </w:pPr>
    </w:p>
    <w:sectPr w:rsidRPr="00AB389E" w:rsidR="00720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A15" w:rsidRDefault="00265A15" w14:paraId="4DA1EA33" w14:textId="77777777">
      <w:pPr>
        <w:spacing w:after="0" w:line="240" w:lineRule="auto"/>
      </w:pPr>
      <w:r>
        <w:separator/>
      </w:r>
    </w:p>
  </w:endnote>
  <w:endnote w:type="continuationSeparator" w:id="0">
    <w:p w:rsidR="00265A15" w:rsidRDefault="00265A15" w14:paraId="11BB95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2BF3D99E" w14:textId="77777777">
    <w:pPr>
      <w:pStyle w:val="Fuzeile"/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0944"/>
      <w:docPartObj>
        <w:docPartGallery w:val="Page Numbers (Bottom of Page)"/>
        <w:docPartUnique/>
      </w:docPartObj>
    </w:sdtPr>
    <w:sdtEndPr/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D91103" w:rsidRDefault="00D91103" w14:paraId="52D05030" w14:textId="77777777">
    <w:pPr>
      <w:pStyle w:val="Fuzeile"/>
    </w:pPr>
  </w:p>
</w:ftr>
</file>

<file path=word/footer3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7DBD22DC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A15" w:rsidRDefault="00265A15" w14:paraId="24B3E1DB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5A15" w:rsidRDefault="00265A15" w14:paraId="3D06BE67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1D646CB7" w14:textId="77777777">
    <w:pPr>
      <w:pStyle w:val="Kopfzeile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3DF2BE20" w14:textId="77777777">
    <w:pPr>
      <w:pStyle w:val="Kopfzeile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103" w:rsidRDefault="00D91103" w14:paraId="6B1EEA48" w14:textId="77777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265A15"/>
    <w:rsid w:val="004E3A83"/>
    <w:rsid w:val="006A0A00"/>
    <w:rsid w:val="00720D68"/>
    <w:rsid w:val="007942F9"/>
    <w:rsid w:val="008E1F95"/>
    <w:rsid w:val="00AB389E"/>
    <w:rsid w:val="00B05DE3"/>
    <w:rsid w:val="00C06421"/>
    <w:rsid w:val="00D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customStyle="1" w:styleId="Default">
    <w:name w:val="Default"/>
    <w:basedOn w:val="Standard1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Standard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Fett">
    <w:name w:val="Strong"/>
    <w:basedOn w:val="Absatz-Standardschriftart"/>
    <w:rsid w:val="00AB389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03"/>
  </w:style>
  <w:style w:type="paragraph" w:styleId="Fuzeile">
    <w:name w:val="footer"/>
    <w:basedOn w:val="Standard"/>
    <w:link w:val="Fu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theme" Target="/word/theme/theme111.xml" Id="rId13" /><Relationship Type="http://schemas.openxmlformats.org/officeDocument/2006/relationships/webSettings" Target="/word/webSettings.xml" Id="rId3" /><Relationship Type="http://schemas.openxmlformats.org/officeDocument/2006/relationships/header" Target="/word/header211.xml" Id="rId7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22.xml" Id="rId6" /><Relationship Type="http://schemas.openxmlformats.org/officeDocument/2006/relationships/footer" Target="/word/footer322.xml" Id="rId11" /><Relationship Type="http://schemas.openxmlformats.org/officeDocument/2006/relationships/endnotes" Target="/word/endnotes.xml" Id="rId5" /><Relationship Type="http://schemas.openxmlformats.org/officeDocument/2006/relationships/header" Target="/word/header333.xml" Id="rId10" /><Relationship Type="http://schemas.openxmlformats.org/officeDocument/2006/relationships/footnotes" Target="/word/footnotes.xml" Id="rId4" /><Relationship Type="http://schemas.openxmlformats.org/officeDocument/2006/relationships/footer" Target="/word/footer233.xml" Id="rId9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294</ap:Words>
  <ap:Characters>1678</ap:Characters>
  <ap:Application>Microsoft Office Word</ap:Application>
  <ap:DocSecurity>0</ap:DocSecurity>
  <ap:Lines>13</ap:Lines>
  <ap:Paragraphs>3</ap:Paragraphs>
  <ap:ScaleCrop>false</ap:ScaleCrop>
  <ap:Company/>
  <ap:LinksUpToDate>false</ap:LinksUpToDate>
  <ap:CharactersWithSpaces>1969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Frank Lanzrath</lastModifiedBy>
  <revision>3</revision>
  <dcterms:created xsi:type="dcterms:W3CDTF">2021-06-13T15:42:00.0000000Z</dcterms:created>
  <dcterms:modified xsi:type="dcterms:W3CDTF">2021-06-13T15:44:00.0000000Z</dcterms:modified>
  <keywords>, docId:2C70587401F9BC997CE3D85FBC7A4026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