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AB92" w14:textId="4CFA0998" w:rsidR="00720D68" w:rsidRPr="00AB389E" w:rsidRDefault="00AB389E" w:rsidP="00AB389E">
      <w:pPr>
        <w:pStyle w:val="Test"/>
        <w:shd w:val="clear" w:color="auto" w:fill="DED888"/>
        <w:spacing w:after="160"/>
        <w:jc w:val="center"/>
        <w:rPr>
          <w:rStyle w:val="Fett"/>
          <w:rFonts w:ascii="Times New Roman" w:hAnsi="Times New Roman"/>
          <w:b/>
          <w:bCs w:val="0"/>
          <w:color w:val="4472C4" w:themeColor="accent1"/>
          <w:sz w:val="32"/>
          <w:szCs w:val="32"/>
        </w:rPr>
        <w:bidi w:val="0"/>
      </w:pPr>
      <w:r>
        <w:rPr>
          <w:rStyle w:val="Fett"/>
          <w:rFonts w:ascii="Times New Roman" w:hAnsi="Times New Roman"/>
          <w:color w:val="4472C4" w:themeColor="accent1"/>
          <w:sz w:val="32"/>
          <w:szCs w:val="32"/>
          <w:lang w:val="nl"/>
          <w:b w:val="1"/>
          <w:bCs w:val="1"/>
          <w:i w:val="0"/>
          <w:iCs w:val="0"/>
          <w:u w:val="none"/>
          <w:vertAlign w:val="baseline"/>
          <w:rtl w:val="0"/>
        </w:rPr>
        <w:t xml:space="preserve">Toets - Verhaal en inbeslagneming van vermogensbestanddelen       </w:t>
      </w:r>
    </w:p>
    <w:p w14:paraId="785ED2C1" w14:textId="77777777" w:rsidR="00AB389E" w:rsidRDefault="00AB389E">
      <w:pPr>
        <w:pStyle w:val="Standard1"/>
        <w:rPr>
          <w:rFonts w:ascii="Times New Roman" w:eastAsia="Segoe UI Emoji" w:hAnsi="Times New Roman" w:cs="Times New Roman"/>
        </w:rPr>
      </w:pPr>
    </w:p>
    <w:p w14:paraId="1FB83810" w14:textId="052CF2D0" w:rsidR="008E1F95" w:rsidRPr="008E1F95" w:rsidRDefault="008E1F95" w:rsidP="008E1F95">
      <w:pPr>
        <w:rPr>
          <w:rFonts w:ascii="Times New Roman" w:eastAsia="Segoe UI Emoji" w:hAnsi="Times New Roman" w:cs="Times New Roman"/>
          <w:b/>
          <w:bCs/>
          <w:sz w:val="24"/>
          <w:szCs w:val="24"/>
        </w:rPr>
        <w:bidi w:val="0"/>
      </w:pPr>
      <w:r>
        <w:rPr>
          <w:rFonts w:ascii="Times New Roman" w:cs="Times New Roman" w:eastAsia="Segoe UI Emoji" w:hAnsi="Times New Roman"/>
          <w:sz w:val="24"/>
          <w:szCs w:val="24"/>
          <w:lang w:val="nl"/>
          <w:b w:val="1"/>
          <w:bCs w:val="1"/>
          <w:i w:val="0"/>
          <w:iCs w:val="0"/>
          <w:u w:val="none"/>
          <w:vertAlign w:val="baseline"/>
          <w:rtl w:val="0"/>
        </w:rPr>
        <w:t xml:space="preserve">V1) De inbeslagneming van opbrengsten van strafbare feiten in de EOM-procedure:</w:t>
      </w:r>
    </w:p>
    <w:p w14:paraId="794B884A" w14:textId="77777777" w:rsidR="008E1F95" w:rsidRPr="008E1F95" w:rsidRDefault="008E1F95" w:rsidP="008E1F95">
      <w:pPr>
        <w:ind w:left="708"/>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a)</w:t>
      </w:r>
      <w:r>
        <w:rPr>
          <w:rFonts w:ascii="Times New Roman" w:cs="Times New Roman" w:eastAsia="Segoe UI Emoji" w:hAnsi="Times New Roman"/>
          <w:sz w:val="24"/>
          <w:szCs w:val="24"/>
          <w:lang w:val="nl"/>
          <w:b w:val="0"/>
          <w:bCs w:val="0"/>
          <w:i w:val="0"/>
          <w:iCs w:val="0"/>
          <w:u w:val="none"/>
          <w:vertAlign w:val="baseline"/>
          <w:rtl w:val="0"/>
        </w:rPr>
        <w:t xml:space="preserve"> valt onder het nationale recht van de gedelegeerd Europese aanklager die de zaak behandelt</w:t>
      </w:r>
    </w:p>
    <w:p w14:paraId="61B86DDA" w14:textId="77777777" w:rsidR="008E1F95" w:rsidRPr="008E1F95" w:rsidRDefault="008E1F95" w:rsidP="008E1F95">
      <w:pPr>
        <w:ind w:left="708"/>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b)</w:t>
      </w:r>
      <w:r>
        <w:rPr>
          <w:rFonts w:ascii="Times New Roman" w:cs="Times New Roman" w:eastAsia="Segoe UI Emoji" w:hAnsi="Times New Roman"/>
          <w:sz w:val="24"/>
          <w:szCs w:val="24"/>
          <w:lang w:val="nl"/>
          <w:b w:val="0"/>
          <w:bCs w:val="0"/>
          <w:i w:val="0"/>
          <w:iCs w:val="0"/>
          <w:u w:val="none"/>
          <w:vertAlign w:val="baseline"/>
          <w:rtl w:val="0"/>
        </w:rPr>
        <w:t xml:space="preserve"> valt onder verordening EU/1805/2018</w:t>
      </w:r>
    </w:p>
    <w:p w14:paraId="7B5B1E7B" w14:textId="77777777" w:rsidR="008E1F95" w:rsidRPr="008E1F95" w:rsidRDefault="008E1F95" w:rsidP="008E1F95">
      <w:pPr>
        <w:ind w:left="708"/>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c)</w:t>
      </w:r>
      <w:r>
        <w:rPr>
          <w:rFonts w:ascii="Times New Roman" w:cs="Times New Roman" w:eastAsia="Segoe UI Emoji" w:hAnsi="Times New Roman"/>
          <w:sz w:val="24"/>
          <w:szCs w:val="24"/>
          <w:lang w:val="nl"/>
          <w:b w:val="0"/>
          <w:bCs w:val="0"/>
          <w:i w:val="0"/>
          <w:iCs w:val="0"/>
          <w:u w:val="none"/>
          <w:vertAlign w:val="baseline"/>
          <w:rtl w:val="0"/>
        </w:rPr>
        <w:t xml:space="preserve"> valt onder EU-richtlijn 2014/42 zolang deze direct toepasbaar is</w:t>
      </w:r>
    </w:p>
    <w:p w14:paraId="71AD502A" w14:textId="77777777" w:rsidR="008E1F95" w:rsidRPr="008E1F95" w:rsidRDefault="008E1F95" w:rsidP="008E1F95">
      <w:pPr>
        <w:rPr>
          <w:rFonts w:ascii="Times New Roman" w:eastAsia="Segoe UI Emoji" w:hAnsi="Times New Roman" w:cs="Times New Roman"/>
          <w:sz w:val="24"/>
          <w:szCs w:val="24"/>
        </w:rPr>
      </w:pPr>
    </w:p>
    <w:p w14:paraId="20E94249" w14:textId="286BBBED" w:rsidR="008E1F95" w:rsidRPr="008E1F95" w:rsidRDefault="008E1F95" w:rsidP="008E1F95">
      <w:pPr>
        <w:rPr>
          <w:rFonts w:ascii="Times New Roman" w:eastAsia="Segoe UI Emoji" w:hAnsi="Times New Roman" w:cs="Times New Roman"/>
          <w:b/>
          <w:bCs/>
          <w:sz w:val="24"/>
          <w:szCs w:val="24"/>
        </w:rPr>
        <w:bidi w:val="0"/>
      </w:pPr>
      <w:r>
        <w:rPr>
          <w:rFonts w:ascii="Times New Roman" w:cs="Times New Roman" w:eastAsia="Segoe UI Emoji" w:hAnsi="Times New Roman"/>
          <w:sz w:val="24"/>
          <w:szCs w:val="24"/>
          <w:lang w:val="nl"/>
          <w:b w:val="1"/>
          <w:bCs w:val="1"/>
          <w:i w:val="0"/>
          <w:iCs w:val="0"/>
          <w:u w:val="none"/>
          <w:vertAlign w:val="baseline"/>
          <w:rtl w:val="0"/>
        </w:rPr>
        <w:t xml:space="preserve">V2) Bij grensoverschrijdende zaken, waarbij de behandelend gedelegeerd Europese aanklager opbrengsten van strafbare feiten in beslag moet nemen of moet confisqueren die zich bevinden op het grondgebied van een andere deelnemende staat van het EOM:</w:t>
      </w:r>
    </w:p>
    <w:p w14:paraId="2FA0BB12" w14:textId="77777777" w:rsidR="008E1F95" w:rsidRPr="008E1F95" w:rsidRDefault="008E1F95" w:rsidP="008E1F95">
      <w:pPr>
        <w:ind w:left="708"/>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a)</w:t>
      </w:r>
      <w:r>
        <w:rPr>
          <w:rFonts w:ascii="Times New Roman" w:cs="Times New Roman" w:eastAsia="Segoe UI Emoji" w:hAnsi="Times New Roman"/>
          <w:sz w:val="24"/>
          <w:szCs w:val="24"/>
          <w:lang w:val="nl"/>
          <w:b w:val="0"/>
          <w:bCs w:val="0"/>
          <w:i w:val="0"/>
          <w:iCs w:val="0"/>
          <w:u w:val="none"/>
          <w:vertAlign w:val="baseline"/>
          <w:rtl w:val="0"/>
        </w:rPr>
        <w:t xml:space="preserve"> maakt de gedelegeerd Europese aanklager gebruik van het EOB</w:t>
      </w:r>
    </w:p>
    <w:p w14:paraId="44355F21" w14:textId="77777777" w:rsidR="008E1F95" w:rsidRPr="008E1F95" w:rsidRDefault="008E1F95" w:rsidP="008E1F95">
      <w:pPr>
        <w:ind w:left="708"/>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b)</w:t>
      </w:r>
      <w:r>
        <w:rPr>
          <w:rFonts w:ascii="Times New Roman" w:cs="Times New Roman" w:eastAsia="Segoe UI Emoji" w:hAnsi="Times New Roman"/>
          <w:sz w:val="24"/>
          <w:szCs w:val="24"/>
          <w:lang w:val="nl"/>
          <w:b w:val="0"/>
          <w:bCs w:val="0"/>
          <w:i w:val="0"/>
          <w:iCs w:val="0"/>
          <w:u w:val="none"/>
          <w:vertAlign w:val="baseline"/>
          <w:rtl w:val="0"/>
        </w:rPr>
        <w:t xml:space="preserve"> dient de gedelegeerd Europese aanklager een rechtshulpverzoek in</w:t>
      </w:r>
    </w:p>
    <w:p w14:paraId="4E8F5AAA" w14:textId="77777777" w:rsidR="008E1F95" w:rsidRPr="008E1F95" w:rsidRDefault="008E1F95" w:rsidP="008E1F95">
      <w:pPr>
        <w:ind w:left="708"/>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c)</w:t>
      </w:r>
      <w:r>
        <w:rPr>
          <w:rFonts w:ascii="Times New Roman" w:cs="Times New Roman" w:eastAsia="Segoe UI Emoji" w:hAnsi="Times New Roman"/>
          <w:sz w:val="24"/>
          <w:szCs w:val="24"/>
          <w:lang w:val="nl"/>
          <w:b w:val="0"/>
          <w:bCs w:val="0"/>
          <w:i w:val="0"/>
          <w:iCs w:val="0"/>
          <w:u w:val="none"/>
          <w:vertAlign w:val="baseline"/>
          <w:rtl w:val="0"/>
        </w:rPr>
        <w:t xml:space="preserve"> treedt de gedelegeerd Europese aanklager op krachtens artikel 31 van de EOM-verordening</w:t>
      </w:r>
    </w:p>
    <w:p w14:paraId="6C961840" w14:textId="77777777" w:rsidR="008E1F95" w:rsidRPr="008E1F95" w:rsidRDefault="008E1F95" w:rsidP="008E1F95">
      <w:pPr>
        <w:rPr>
          <w:rFonts w:ascii="Times New Roman" w:eastAsia="Segoe UI Emoji" w:hAnsi="Times New Roman" w:cs="Times New Roman"/>
          <w:sz w:val="24"/>
          <w:szCs w:val="24"/>
        </w:rPr>
      </w:pPr>
    </w:p>
    <w:p w14:paraId="552D500D" w14:textId="48154CF0" w:rsidR="008E1F95" w:rsidRPr="008E1F95" w:rsidRDefault="008E1F95" w:rsidP="008E1F95">
      <w:pPr>
        <w:rPr>
          <w:rFonts w:ascii="Times New Roman" w:eastAsia="Segoe UI Emoji" w:hAnsi="Times New Roman" w:cs="Times New Roman"/>
          <w:b/>
          <w:bCs/>
          <w:sz w:val="24"/>
          <w:szCs w:val="24"/>
        </w:rPr>
        <w:bidi w:val="0"/>
      </w:pPr>
      <w:r>
        <w:rPr>
          <w:rFonts w:ascii="Times New Roman" w:cs="Times New Roman" w:eastAsia="Segoe UI Emoji" w:hAnsi="Times New Roman"/>
          <w:sz w:val="24"/>
          <w:szCs w:val="24"/>
          <w:lang w:val="nl"/>
          <w:b w:val="1"/>
          <w:bCs w:val="1"/>
          <w:i w:val="0"/>
          <w:iCs w:val="0"/>
          <w:u w:val="none"/>
          <w:vertAlign w:val="baseline"/>
          <w:rtl w:val="0"/>
        </w:rPr>
        <w:t xml:space="preserve">V3) Richtlijn 2014/42/EU:</w:t>
      </w:r>
    </w:p>
    <w:p w14:paraId="4664E5DA" w14:textId="77777777" w:rsidR="008E1F95" w:rsidRPr="008E1F95" w:rsidRDefault="008E1F95" w:rsidP="008E1F95">
      <w:pPr>
        <w:ind w:left="708"/>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a)</w:t>
      </w:r>
      <w:r>
        <w:rPr>
          <w:rFonts w:ascii="Times New Roman" w:cs="Times New Roman" w:eastAsia="Segoe UI Emoji" w:hAnsi="Times New Roman"/>
          <w:sz w:val="24"/>
          <w:szCs w:val="24"/>
          <w:lang w:val="nl"/>
          <w:b w:val="0"/>
          <w:bCs w:val="0"/>
          <w:i w:val="0"/>
          <w:iCs w:val="0"/>
          <w:u w:val="none"/>
          <w:vertAlign w:val="baseline"/>
          <w:rtl w:val="0"/>
        </w:rPr>
        <w:t xml:space="preserve"> is een rechtsinstrument voor harmonisatie, zodat in elke lidstaat dezelfde vorm van inbeslagneming en confiscatie geldt</w:t>
      </w:r>
    </w:p>
    <w:p w14:paraId="27D2C1F3" w14:textId="77777777" w:rsidR="008E1F95" w:rsidRPr="008E1F95" w:rsidRDefault="008E1F95" w:rsidP="008E1F95">
      <w:pPr>
        <w:ind w:left="708"/>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b)</w:t>
      </w:r>
      <w:r>
        <w:rPr>
          <w:rFonts w:ascii="Times New Roman" w:cs="Times New Roman" w:eastAsia="Segoe UI Emoji" w:hAnsi="Times New Roman"/>
          <w:sz w:val="24"/>
          <w:szCs w:val="24"/>
          <w:lang w:val="nl"/>
          <w:b w:val="0"/>
          <w:bCs w:val="0"/>
          <w:i w:val="0"/>
          <w:iCs w:val="0"/>
          <w:u w:val="none"/>
          <w:vertAlign w:val="baseline"/>
          <w:rtl w:val="0"/>
        </w:rPr>
        <w:t xml:space="preserve"> is een instrument van wederzijdse erkenning, waarmee de gedelegeerd Europese aanklager inbeslagnemingen en confisquatie in een andere lidstaat kan uitvoeren</w:t>
      </w:r>
    </w:p>
    <w:p w14:paraId="5B675461" w14:textId="77777777" w:rsidR="008E1F95" w:rsidRPr="008E1F95" w:rsidRDefault="008E1F95" w:rsidP="008E1F95">
      <w:pPr>
        <w:ind w:left="708"/>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c)</w:t>
      </w:r>
      <w:r>
        <w:rPr>
          <w:rFonts w:ascii="Times New Roman" w:cs="Times New Roman" w:eastAsia="Segoe UI Emoji" w:hAnsi="Times New Roman"/>
          <w:sz w:val="24"/>
          <w:szCs w:val="24"/>
          <w:lang w:val="nl"/>
          <w:b w:val="0"/>
          <w:bCs w:val="0"/>
          <w:i w:val="0"/>
          <w:iCs w:val="0"/>
          <w:u w:val="none"/>
          <w:vertAlign w:val="baseline"/>
          <w:rtl w:val="0"/>
        </w:rPr>
        <w:t xml:space="preserve"> is een direct toepasbaar rechtsinstrument dat de tenuitvoerlegging van inbeslagneming en confisquatie in de EU regelt</w:t>
      </w:r>
    </w:p>
    <w:p w14:paraId="261CE38F" w14:textId="77777777" w:rsidR="008E1F95" w:rsidRPr="008E1F95" w:rsidRDefault="008E1F95" w:rsidP="008E1F95">
      <w:pPr>
        <w:rPr>
          <w:rFonts w:ascii="Times New Roman" w:eastAsia="Segoe UI Emoji" w:hAnsi="Times New Roman" w:cs="Times New Roman"/>
          <w:sz w:val="24"/>
          <w:szCs w:val="24"/>
        </w:rPr>
      </w:pPr>
    </w:p>
    <w:p w14:paraId="3D52A204" w14:textId="743564DB" w:rsidR="008E1F95" w:rsidRPr="008E1F95" w:rsidRDefault="008E1F95" w:rsidP="008E1F95">
      <w:pPr>
        <w:rPr>
          <w:rFonts w:ascii="Times New Roman" w:eastAsia="Segoe UI Emoji" w:hAnsi="Times New Roman" w:cs="Times New Roman"/>
          <w:b/>
          <w:bCs/>
          <w:sz w:val="24"/>
          <w:szCs w:val="24"/>
        </w:rPr>
        <w:bidi w:val="0"/>
      </w:pPr>
      <w:r>
        <w:rPr>
          <w:rFonts w:ascii="Times New Roman" w:cs="Times New Roman" w:eastAsia="Segoe UI Emoji" w:hAnsi="Times New Roman"/>
          <w:sz w:val="24"/>
          <w:szCs w:val="24"/>
          <w:lang w:val="nl"/>
          <w:b w:val="1"/>
          <w:bCs w:val="1"/>
          <w:i w:val="0"/>
          <w:iCs w:val="0"/>
          <w:u w:val="none"/>
          <w:vertAlign w:val="baseline"/>
          <w:rtl w:val="0"/>
        </w:rPr>
        <w:t xml:space="preserve">V4) Onder “Opbrengsten van strafbare feiten” wordt verstaan:</w:t>
      </w:r>
    </w:p>
    <w:p w14:paraId="261E4EB8" w14:textId="77777777" w:rsidR="008E1F95" w:rsidRPr="008E1F95" w:rsidRDefault="008E1F95" w:rsidP="008E1F95">
      <w:pPr>
        <w:ind w:left="708"/>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a)</w:t>
      </w:r>
      <w:r>
        <w:rPr>
          <w:rFonts w:ascii="Times New Roman" w:cs="Times New Roman" w:eastAsia="Segoe UI Emoji" w:hAnsi="Times New Roman"/>
          <w:sz w:val="24"/>
          <w:szCs w:val="24"/>
          <w:lang w:val="nl"/>
          <w:b w:val="0"/>
          <w:bCs w:val="0"/>
          <w:i w:val="0"/>
          <w:iCs w:val="0"/>
          <w:u w:val="none"/>
          <w:vertAlign w:val="baseline"/>
          <w:rtl w:val="0"/>
        </w:rPr>
        <w:t xml:space="preserve"> alleen de directe opbrengsten van criminele activiteiten</w:t>
      </w:r>
    </w:p>
    <w:p w14:paraId="73BEA575" w14:textId="77777777" w:rsidR="008E1F95" w:rsidRPr="008E1F95" w:rsidRDefault="008E1F95" w:rsidP="008E1F95">
      <w:pPr>
        <w:ind w:left="708"/>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b)</w:t>
      </w:r>
      <w:r>
        <w:rPr>
          <w:rFonts w:ascii="Times New Roman" w:cs="Times New Roman" w:eastAsia="Segoe UI Emoji" w:hAnsi="Times New Roman"/>
          <w:sz w:val="24"/>
          <w:szCs w:val="24"/>
          <w:lang w:val="nl"/>
          <w:b w:val="0"/>
          <w:bCs w:val="0"/>
          <w:i w:val="0"/>
          <w:iCs w:val="0"/>
          <w:u w:val="none"/>
          <w:vertAlign w:val="baseline"/>
          <w:rtl w:val="0"/>
        </w:rPr>
        <w:t xml:space="preserve"> alle indirecte voordelen van het strafbare feit, zoals de daaropvolgende herinvestering of transformatie van directe opbrengsten</w:t>
      </w:r>
    </w:p>
    <w:p w14:paraId="38A249EB" w14:textId="3F6B2550" w:rsidR="008E1F95" w:rsidRPr="008E1F95" w:rsidRDefault="008E1F95" w:rsidP="008E1F95">
      <w:pPr>
        <w:ind w:left="708"/>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c)</w:t>
      </w:r>
      <w:r>
        <w:rPr>
          <w:rFonts w:ascii="Times New Roman" w:cs="Times New Roman" w:eastAsia="Segoe UI Emoji" w:hAnsi="Times New Roman"/>
          <w:sz w:val="24"/>
          <w:szCs w:val="24"/>
          <w:lang w:val="nl"/>
          <w:b w:val="0"/>
          <w:bCs w:val="0"/>
          <w:i w:val="0"/>
          <w:iCs w:val="0"/>
          <w:u w:val="none"/>
          <w:vertAlign w:val="baseline"/>
          <w:rtl w:val="0"/>
        </w:rPr>
        <w:t xml:space="preserve"> opbrengsten die in geld uit te drukken zijn</w:t>
      </w:r>
    </w:p>
    <w:p w14:paraId="44FA9204" w14:textId="77777777" w:rsidR="008E1F95" w:rsidRPr="008E1F95" w:rsidRDefault="008E1F95" w:rsidP="008E1F95">
      <w:pPr>
        <w:rPr>
          <w:rFonts w:ascii="Times New Roman" w:eastAsia="Segoe UI Emoji" w:hAnsi="Times New Roman" w:cs="Times New Roman"/>
          <w:sz w:val="24"/>
          <w:szCs w:val="24"/>
        </w:rPr>
      </w:pPr>
    </w:p>
    <w:p w14:paraId="5BC06E88" w14:textId="0C833C5E" w:rsidR="008E1F95" w:rsidRPr="008E1F95" w:rsidRDefault="008E1F95" w:rsidP="008E1F95">
      <w:pPr>
        <w:rPr>
          <w:rFonts w:ascii="Times New Roman" w:eastAsia="Segoe UI Emoji" w:hAnsi="Times New Roman" w:cs="Times New Roman"/>
          <w:b/>
          <w:bCs/>
          <w:sz w:val="24"/>
          <w:szCs w:val="24"/>
        </w:rPr>
        <w:bidi w:val="0"/>
      </w:pPr>
      <w:r>
        <w:rPr>
          <w:rFonts w:ascii="Times New Roman" w:cs="Times New Roman" w:eastAsia="Segoe UI Emoji" w:hAnsi="Times New Roman"/>
          <w:sz w:val="24"/>
          <w:szCs w:val="24"/>
          <w:lang w:val="nl"/>
          <w:b w:val="1"/>
          <w:bCs w:val="1"/>
          <w:i w:val="0"/>
          <w:iCs w:val="0"/>
          <w:u w:val="none"/>
          <w:vertAlign w:val="baseline"/>
          <w:rtl w:val="0"/>
        </w:rPr>
        <w:t xml:space="preserve">V5) In de EU-wetgeving wordt onder “Confiscatie” verstaan:</w:t>
      </w:r>
    </w:p>
    <w:p w14:paraId="005D3166" w14:textId="77777777" w:rsidR="008E1F95" w:rsidRPr="008E1F95" w:rsidRDefault="008E1F95" w:rsidP="008E1F95">
      <w:pPr>
        <w:ind w:left="708"/>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a)</w:t>
      </w:r>
      <w:r>
        <w:rPr>
          <w:rFonts w:ascii="Times New Roman" w:cs="Times New Roman" w:eastAsia="Segoe UI Emoji" w:hAnsi="Times New Roman"/>
          <w:sz w:val="24"/>
          <w:szCs w:val="24"/>
          <w:lang w:val="nl"/>
          <w:b w:val="0"/>
          <w:bCs w:val="0"/>
          <w:i w:val="0"/>
          <w:iCs w:val="0"/>
          <w:u w:val="none"/>
          <w:vertAlign w:val="baseline"/>
          <w:rtl w:val="0"/>
        </w:rPr>
        <w:t xml:space="preserve"> het meenemen van iemands goederen die direct verband houden met een strafbaar feit naar aanleiding van een rechterlijke uitspraak of een veroordeling</w:t>
      </w:r>
    </w:p>
    <w:p w14:paraId="123CCF4E" w14:textId="77777777" w:rsidR="008E1F95" w:rsidRPr="008E1F95" w:rsidRDefault="008E1F95" w:rsidP="008E1F95">
      <w:pPr>
        <w:ind w:left="708"/>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b)</w:t>
      </w:r>
      <w:r>
        <w:rPr>
          <w:rFonts w:ascii="Times New Roman" w:cs="Times New Roman" w:eastAsia="Segoe UI Emoji" w:hAnsi="Times New Roman"/>
          <w:sz w:val="24"/>
          <w:szCs w:val="24"/>
          <w:lang w:val="nl"/>
          <w:b w:val="0"/>
          <w:bCs w:val="0"/>
          <w:i w:val="0"/>
          <w:iCs w:val="0"/>
          <w:u w:val="none"/>
          <w:vertAlign w:val="baseline"/>
          <w:rtl w:val="0"/>
        </w:rPr>
        <w:t xml:space="preserve"> het meenemen van iemands goederen waarvan het bezit buitenproportioneel is ten opzichte van de levensstandaard van die persoon en niet gerechtvaardigd is, naar aanleiding van een rechtelijke uitspraak of een veroordeling</w:t>
      </w:r>
    </w:p>
    <w:p w14:paraId="41E98E1F" w14:textId="77777777" w:rsidR="008E1F95" w:rsidRPr="008E1F95" w:rsidRDefault="008E1F95" w:rsidP="008E1F95">
      <w:pPr>
        <w:ind w:left="708"/>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c)</w:t>
      </w:r>
      <w:r>
        <w:rPr>
          <w:rFonts w:ascii="Times New Roman" w:cs="Times New Roman" w:eastAsia="Segoe UI Emoji" w:hAnsi="Times New Roman"/>
          <w:sz w:val="24"/>
          <w:szCs w:val="24"/>
          <w:lang w:val="nl"/>
          <w:b w:val="0"/>
          <w:bCs w:val="0"/>
          <w:i w:val="0"/>
          <w:iCs w:val="0"/>
          <w:u w:val="none"/>
          <w:vertAlign w:val="baseline"/>
          <w:rtl w:val="0"/>
        </w:rPr>
        <w:t xml:space="preserve"> het meenemen van iemands goederen naar aanleiding van een rechterlijke uitspraak of een strafrechtelijke veroordeling</w:t>
      </w:r>
    </w:p>
    <w:p w14:paraId="37FE189B" w14:textId="77777777" w:rsidR="008E1F95" w:rsidRPr="008E1F95" w:rsidRDefault="008E1F95" w:rsidP="008E1F95">
      <w:pPr>
        <w:rPr>
          <w:rFonts w:ascii="Times New Roman" w:eastAsia="Segoe UI Emoji" w:hAnsi="Times New Roman" w:cs="Times New Roman"/>
          <w:sz w:val="24"/>
          <w:szCs w:val="24"/>
        </w:rPr>
      </w:pPr>
    </w:p>
    <w:p w14:paraId="2A02BA17" w14:textId="21AF8E82" w:rsidR="008E1F95" w:rsidRPr="008E1F95" w:rsidRDefault="008E1F95" w:rsidP="008E1F95">
      <w:pPr>
        <w:rPr>
          <w:rFonts w:ascii="Times New Roman" w:eastAsia="Segoe UI Emoji" w:hAnsi="Times New Roman" w:cs="Times New Roman"/>
          <w:b/>
          <w:bCs/>
          <w:sz w:val="24"/>
          <w:szCs w:val="24"/>
        </w:rPr>
        <w:bidi w:val="0"/>
      </w:pPr>
      <w:r>
        <w:rPr>
          <w:rFonts w:ascii="Times New Roman" w:cs="Times New Roman" w:eastAsia="Segoe UI Emoji" w:hAnsi="Times New Roman"/>
          <w:sz w:val="24"/>
          <w:szCs w:val="24"/>
          <w:lang w:val="nl"/>
          <w:b w:val="1"/>
          <w:bCs w:val="1"/>
          <w:i w:val="0"/>
          <w:iCs w:val="0"/>
          <w:u w:val="none"/>
          <w:vertAlign w:val="baseline"/>
          <w:rtl w:val="0"/>
        </w:rPr>
        <w:t xml:space="preserve">V6) Om het frauduleus verkregen bedrag te verhalen in de EOM-procedure:</w:t>
      </w:r>
    </w:p>
    <w:p w14:paraId="45A9DEA5" w14:textId="77777777" w:rsidR="008E1F95" w:rsidRPr="008E1F95" w:rsidRDefault="008E1F95" w:rsidP="008E1F95">
      <w:pPr>
        <w:ind w:left="708"/>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a)</w:t>
      </w:r>
      <w:r>
        <w:rPr>
          <w:rFonts w:ascii="Times New Roman" w:cs="Times New Roman" w:eastAsia="Segoe UI Emoji" w:hAnsi="Times New Roman"/>
          <w:sz w:val="24"/>
          <w:szCs w:val="24"/>
          <w:lang w:val="nl"/>
          <w:b w:val="0"/>
          <w:bCs w:val="0"/>
          <w:i w:val="0"/>
          <w:iCs w:val="0"/>
          <w:u w:val="none"/>
          <w:vertAlign w:val="baseline"/>
          <w:rtl w:val="0"/>
        </w:rPr>
        <w:t xml:space="preserve"> kan OLAF geen rol spelen, omdat de verordening in de weg staat aan het door OLAF openen van een bestuursrechtelijk onderzoek terwijl het EOM-onderzoek nog loopt</w:t>
      </w:r>
    </w:p>
    <w:p w14:paraId="20CF3510" w14:textId="77777777" w:rsidR="008E1F95" w:rsidRPr="008E1F95" w:rsidRDefault="008E1F95" w:rsidP="008E1F95">
      <w:pPr>
        <w:ind w:left="708"/>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b)</w:t>
      </w:r>
      <w:r>
        <w:rPr>
          <w:rFonts w:ascii="Times New Roman" w:cs="Times New Roman" w:eastAsia="Segoe UI Emoji" w:hAnsi="Times New Roman"/>
          <w:sz w:val="24"/>
          <w:szCs w:val="24"/>
          <w:lang w:val="nl"/>
          <w:b w:val="0"/>
          <w:bCs w:val="0"/>
          <w:i w:val="0"/>
          <w:iCs w:val="0"/>
          <w:u w:val="none"/>
          <w:vertAlign w:val="baseline"/>
          <w:rtl w:val="0"/>
        </w:rPr>
        <w:t xml:space="preserve"> kunnen OLAF en het EOM samenwerken door middel van uitwisseling van informatie</w:t>
      </w:r>
    </w:p>
    <w:p w14:paraId="4833677A" w14:textId="77777777" w:rsidR="008E1F95" w:rsidRPr="008E1F95" w:rsidRDefault="008E1F95" w:rsidP="008E1F95">
      <w:pPr>
        <w:ind w:left="708"/>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1"/>
          <w:iCs w:val="1"/>
          <w:u w:val="none"/>
          <w:vertAlign w:val="baseline"/>
          <w:rtl w:val="0"/>
        </w:rPr>
        <w:t xml:space="preserve">c) </w:t>
      </w:r>
      <w:r>
        <w:rPr>
          <w:rFonts w:ascii="Times New Roman" w:cs="Times New Roman" w:eastAsia="Segoe UI Emoji" w:hAnsi="Times New Roman"/>
          <w:sz w:val="24"/>
          <w:szCs w:val="24"/>
          <w:lang w:val="nl"/>
          <w:b w:val="0"/>
          <w:bCs w:val="0"/>
          <w:i w:val="0"/>
          <w:iCs w:val="0"/>
          <w:u w:val="none"/>
          <w:vertAlign w:val="baseline"/>
          <w:rtl w:val="0"/>
        </w:rPr>
        <w:t xml:space="preserve">kan het EOM het financieel verhaal van het bedrag delegeren aan OLAF</w:t>
      </w:r>
    </w:p>
    <w:p w14:paraId="1AA57EFA" w14:textId="77777777" w:rsidR="00720D68" w:rsidRPr="008E1F95" w:rsidRDefault="00720D68">
      <w:pPr>
        <w:pStyle w:val="Standard1"/>
        <w:rPr>
          <w:rFonts w:ascii="Times New Roman" w:eastAsia="Segoe UI Emoji" w:hAnsi="Times New Roman" w:cs="Times New Roman"/>
          <w:sz w:val="24"/>
          <w:szCs w:val="24"/>
        </w:rPr>
      </w:pPr>
    </w:p>
    <w:p w14:paraId="5A0507BF" w14:textId="77777777" w:rsidR="00720D68" w:rsidRPr="008E1F95" w:rsidRDefault="00720D68">
      <w:pPr>
        <w:pStyle w:val="Standard1"/>
        <w:rPr>
          <w:rFonts w:ascii="Times New Roman" w:eastAsia="Segoe UI Emoji" w:hAnsi="Times New Roman" w:cs="Times New Roman"/>
          <w:sz w:val="24"/>
          <w:szCs w:val="24"/>
        </w:rPr>
      </w:pPr>
    </w:p>
    <w:p w14:paraId="0E071CCE" w14:textId="77777777" w:rsidR="00720D68" w:rsidRPr="008E1F95" w:rsidRDefault="00720D68">
      <w:pPr>
        <w:pStyle w:val="Standard1"/>
        <w:rPr>
          <w:rFonts w:ascii="Times New Roman" w:eastAsia="Segoe UI Emoji" w:hAnsi="Times New Roman" w:cs="Times New Roman"/>
          <w:sz w:val="24"/>
          <w:szCs w:val="24"/>
        </w:rPr>
      </w:pPr>
    </w:p>
    <w:p w14:paraId="41E8CC53" w14:textId="77777777" w:rsidR="00720D68" w:rsidRPr="00AB389E" w:rsidRDefault="00720D68">
      <w:pPr>
        <w:pStyle w:val="Standard1"/>
        <w:rPr>
          <w:rFonts w:ascii="Times New Roman" w:eastAsia="Segoe UI Emoji" w:hAnsi="Times New Roman" w:cs="Times New Roman"/>
        </w:rPr>
      </w:pPr>
    </w:p>
    <w:p w14:paraId="1AF35C8E" w14:textId="77777777" w:rsidR="00720D68" w:rsidRPr="00AB389E" w:rsidRDefault="00720D68">
      <w:pPr>
        <w:pStyle w:val="Standard1"/>
        <w:rPr>
          <w:rFonts w:ascii="Times New Roman" w:eastAsia="Segoe UI Emoji" w:hAnsi="Times New Roman" w:cs="Times New Roman"/>
        </w:rPr>
      </w:pPr>
    </w:p>
    <w:p w14:paraId="0532633F" w14:textId="77777777" w:rsidR="00720D68" w:rsidRPr="00AB389E" w:rsidRDefault="00720D68">
      <w:pPr>
        <w:pStyle w:val="Standard1"/>
        <w:rPr>
          <w:rFonts w:ascii="Times New Roman" w:eastAsia="Segoe UI Emoji" w:hAnsi="Times New Roman" w:cs="Times New Roman"/>
        </w:rPr>
      </w:pPr>
    </w:p>
    <w:p w14:paraId="79160914" w14:textId="77777777" w:rsidR="00720D68" w:rsidRPr="00AB389E" w:rsidRDefault="00720D68">
      <w:pPr>
        <w:pStyle w:val="Standard1"/>
        <w:rPr>
          <w:rFonts w:ascii="Times New Roman" w:eastAsia="Segoe UI Emoji" w:hAnsi="Times New Roman" w:cs="Times New Roman"/>
        </w:rPr>
      </w:pPr>
    </w:p>
    <w:sectPr w:rsidR="00720D68" w:rsidRPr="00AB389E">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EA33" w14:textId="77777777" w:rsidR="00265A15" w:rsidRDefault="00265A15">
      <w:pPr>
        <w:spacing w:after="0" w:line="240" w:lineRule="auto"/>
      </w:pPr>
      <w:r>
        <w:separator/>
      </w:r>
    </w:p>
  </w:endnote>
  <w:endnote w:type="continuationSeparator" w:id="0">
    <w:p w14:paraId="11BB9576" w14:textId="77777777" w:rsidR="00265A15" w:rsidRDefault="0026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UAlbertina, 'EU Albertina'">
    <w:charset w:val="00"/>
    <w:family w:val="roman"/>
    <w:pitch w:val="default"/>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D99E" w14:textId="77777777" w:rsidR="00D91103" w:rsidRDefault="00D911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50944"/>
      <w:docPartObj>
        <w:docPartGallery w:val="Page Numbers (Bottom of Page)"/>
        <w:docPartUnique/>
      </w:docPartObj>
    </w:sdtPr>
    <w:sdtEndPr/>
    <w:sdtContent>
      <w:p w14:paraId="7AFB5AF7" w14:textId="31540FA8" w:rsidR="00D91103" w:rsidRDefault="00D91103">
        <w:pPr>
          <w:pStyle w:val="Fuzeile"/>
          <w:jc w:val="right"/>
          <w:bidi w:val="0"/>
        </w:pPr>
        <w:r>
          <w:rPr>
            <w:lang w:val="nl"/>
            <w:b w:val="0"/>
            <w:bCs w:val="0"/>
            <w:i w:val="0"/>
            <w:iCs w:val="0"/>
            <w:u w:val="none"/>
            <w:vertAlign w:val="baseline"/>
            <w:rtl w:val="0"/>
          </w:rPr>
          <w:fldChar w:fldCharType="begin"/>
        </w:r>
        <w:r>
          <w:rPr>
            <w:lang w:val="nl"/>
            <w:b w:val="0"/>
            <w:bCs w:val="0"/>
            <w:i w:val="0"/>
            <w:iCs w:val="0"/>
            <w:u w:val="none"/>
            <w:vertAlign w:val="baseline"/>
            <w:rtl w:val="0"/>
          </w:rPr>
          <w:instrText>PAGE   \* MERGEFORMAT</w:instrText>
        </w:r>
        <w:r>
          <w:rPr>
            <w:lang w:val="nl"/>
            <w:b w:val="0"/>
            <w:bCs w:val="0"/>
            <w:i w:val="0"/>
            <w:iCs w:val="0"/>
            <w:u w:val="none"/>
            <w:vertAlign w:val="baseline"/>
            <w:rtl w:val="0"/>
          </w:rPr>
          <w:fldChar w:fldCharType="separate"/>
        </w:r>
        <w:r>
          <w:rPr>
            <w:lang w:val="nl"/>
            <w:b w:val="0"/>
            <w:bCs w:val="0"/>
            <w:i w:val="0"/>
            <w:iCs w:val="0"/>
            <w:u w:val="none"/>
            <w:vertAlign w:val="baseline"/>
            <w:rtl w:val="0"/>
          </w:rPr>
          <w:t xml:space="preserve">2</w:t>
        </w:r>
        <w:r>
          <w:rPr>
            <w:lang w:val="nl"/>
            <w:b w:val="0"/>
            <w:bCs w:val="0"/>
            <w:i w:val="0"/>
            <w:iCs w:val="0"/>
            <w:u w:val="none"/>
            <w:vertAlign w:val="baseline"/>
            <w:rtl w:val="0"/>
          </w:rPr>
          <w:fldChar w:fldCharType="end"/>
        </w:r>
      </w:p>
    </w:sdtContent>
  </w:sdt>
  <w:p w14:paraId="52D05030" w14:textId="77777777" w:rsidR="00D91103" w:rsidRDefault="00D911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22DC" w14:textId="77777777" w:rsidR="00D91103" w:rsidRDefault="00D911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E1DB" w14:textId="77777777" w:rsidR="00265A15" w:rsidRDefault="00265A15">
      <w:pPr>
        <w:spacing w:after="0" w:line="240" w:lineRule="auto"/>
      </w:pPr>
      <w:r>
        <w:rPr>
          <w:color w:val="000000"/>
        </w:rPr>
        <w:separator/>
      </w:r>
    </w:p>
  </w:footnote>
  <w:footnote w:type="continuationSeparator" w:id="0">
    <w:p w14:paraId="3D06BE67" w14:textId="77777777" w:rsidR="00265A15" w:rsidRDefault="00265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6CB7" w14:textId="77777777" w:rsidR="00D91103" w:rsidRDefault="00D911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BE20" w14:textId="77777777" w:rsidR="00D91103" w:rsidRDefault="00D911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EA48" w14:textId="77777777" w:rsidR="00D91103" w:rsidRDefault="00D9110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68"/>
    <w:rsid w:val="00265A15"/>
    <w:rsid w:val="004E3A83"/>
    <w:rsid w:val="006A0A00"/>
    <w:rsid w:val="00720D68"/>
    <w:rsid w:val="007942F9"/>
    <w:rsid w:val="008E1F95"/>
    <w:rsid w:val="00AB389E"/>
    <w:rsid w:val="00B05DE3"/>
    <w:rsid w:val="00C06421"/>
    <w:rsid w:val="00D9110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CDB3"/>
  <w15:docId w15:val="{1BCA93DD-7013-41AE-BF2E-8E88F719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it-IT"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suppressAutoHyphens/>
    </w:pPr>
  </w:style>
  <w:style w:type="paragraph" w:customStyle="1" w:styleId="Normale">
    <w:name w:val="Normale"/>
    <w:pPr>
      <w:suppressAutoHyphens/>
    </w:pPr>
  </w:style>
  <w:style w:type="paragraph" w:customStyle="1" w:styleId="Heading">
    <w:name w:val="Heading"/>
    <w:basedOn w:val="Standard1"/>
    <w:next w:val="Textbody"/>
    <w:pPr>
      <w:keepNext/>
      <w:spacing w:before="240" w:after="120"/>
    </w:pPr>
    <w:rPr>
      <w:rFonts w:ascii="Arial" w:eastAsia="Microsoft YaHei" w:hAnsi="Arial" w:cs="Mangal"/>
      <w:sz w:val="28"/>
      <w:szCs w:val="28"/>
    </w:rPr>
  </w:style>
  <w:style w:type="paragraph" w:customStyle="1" w:styleId="Textbody">
    <w:name w:val="Text body"/>
    <w:basedOn w:val="Standard1"/>
    <w:pPr>
      <w:spacing w:after="120"/>
    </w:pPr>
  </w:style>
  <w:style w:type="paragraph" w:styleId="Liste">
    <w:name w:val="List"/>
    <w:basedOn w:val="Textbody"/>
    <w:rPr>
      <w:rFonts w:cs="Mangal"/>
    </w:rPr>
  </w:style>
  <w:style w:type="paragraph" w:styleId="Beschriftung">
    <w:name w:val="caption"/>
    <w:basedOn w:val="Standard1"/>
    <w:pPr>
      <w:suppressLineNumbers/>
      <w:spacing w:before="120" w:after="120"/>
    </w:pPr>
    <w:rPr>
      <w:rFonts w:cs="Mangal"/>
      <w:i/>
      <w:iCs/>
      <w:sz w:val="24"/>
      <w:szCs w:val="24"/>
    </w:rPr>
  </w:style>
  <w:style w:type="paragraph" w:customStyle="1" w:styleId="Index">
    <w:name w:val="Index"/>
    <w:basedOn w:val="Standard1"/>
    <w:pPr>
      <w:suppressLineNumbers/>
    </w:pPr>
    <w:rPr>
      <w:rFonts w:cs="Mangal"/>
    </w:rPr>
  </w:style>
  <w:style w:type="paragraph" w:customStyle="1" w:styleId="Default">
    <w:name w:val="Default"/>
    <w:basedOn w:val="Standard1"/>
    <w:pPr>
      <w:suppressAutoHyphens w:val="0"/>
      <w:autoSpaceDE w:val="0"/>
    </w:pPr>
    <w:rPr>
      <w:rFonts w:ascii="EUAlbertina, 'EU Albertina'" w:eastAsia="EUAlbertina, 'EU Albertina'" w:hAnsi="EUAlbertina, 'EU Albertina'" w:cs="EUAlbertina, 'EU Albertina'"/>
      <w:color w:val="000000"/>
      <w:sz w:val="24"/>
      <w:szCs w:val="24"/>
    </w:rPr>
  </w:style>
  <w:style w:type="paragraph" w:customStyle="1" w:styleId="CM1">
    <w:name w:val="CM1"/>
    <w:basedOn w:val="Default"/>
    <w:next w:val="Default"/>
    <w:rPr>
      <w:rFonts w:ascii="Calibri" w:eastAsia="SimSun" w:hAnsi="Calibri" w:cs="Tahoma"/>
      <w:color w:val="auto"/>
      <w:sz w:val="22"/>
      <w:szCs w:val="22"/>
    </w:rPr>
  </w:style>
  <w:style w:type="paragraph" w:customStyle="1" w:styleId="CM3">
    <w:name w:val="CM3"/>
    <w:basedOn w:val="Default"/>
    <w:next w:val="Default"/>
    <w:rPr>
      <w:rFonts w:ascii="Calibri" w:eastAsia="SimSun" w:hAnsi="Calibri" w:cs="Tahoma"/>
      <w:color w:val="auto"/>
      <w:sz w:val="22"/>
      <w:szCs w:val="22"/>
    </w:rPr>
  </w:style>
  <w:style w:type="paragraph" w:customStyle="1" w:styleId="CM4">
    <w:name w:val="CM4"/>
    <w:basedOn w:val="Default"/>
    <w:next w:val="Default"/>
    <w:rPr>
      <w:rFonts w:ascii="Calibri" w:eastAsia="SimSun" w:hAnsi="Calibri" w:cs="Tahoma"/>
      <w:color w:val="auto"/>
      <w:sz w:val="22"/>
      <w:szCs w:val="22"/>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Standard"/>
    <w:rsid w:val="00AB389E"/>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Fett">
    <w:name w:val="Strong"/>
    <w:basedOn w:val="Absatz-Standardschriftart"/>
    <w:rsid w:val="00AB389E"/>
    <w:rPr>
      <w:b/>
      <w:bCs/>
    </w:rPr>
  </w:style>
  <w:style w:type="paragraph" w:styleId="Kopfzeile">
    <w:name w:val="header"/>
    <w:basedOn w:val="Standard"/>
    <w:link w:val="KopfzeileZchn"/>
    <w:uiPriority w:val="99"/>
    <w:unhideWhenUsed/>
    <w:rsid w:val="00D911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1103"/>
  </w:style>
  <w:style w:type="paragraph" w:styleId="Fuzeile">
    <w:name w:val="footer"/>
    <w:basedOn w:val="Standard"/>
    <w:link w:val="FuzeileZchn"/>
    <w:uiPriority w:val="99"/>
    <w:unhideWhenUsed/>
    <w:rsid w:val="00D911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4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Frank Lanzrath</cp:lastModifiedBy>
  <cp:revision>3</cp:revision>
  <dcterms:created xsi:type="dcterms:W3CDTF">2021-06-13T15:42:00Z</dcterms:created>
  <dcterms:modified xsi:type="dcterms:W3CDTF">2021-06-13T15:44:00Z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